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a994b649dae51f86c01efc614ea8a8ed2086c2"/>
      <w:r>
        <w:t xml:space="preserve">Runbook de produção — Triscal Apontamento de Horas</w:t>
      </w:r>
      <w:bookmarkEnd w:id="20"/>
    </w:p>
    <w:p>
      <w:pPr>
        <w:pStyle w:val="FirstParagraph"/>
      </w:pPr>
      <w:r>
        <w:t xml:space="preserve">Sequência ponta a ponta para colocar o sistema em produção no Azure:</w:t>
      </w:r>
      <w:r>
        <w:t xml:space="preserve"> </w:t>
      </w:r>
      <w:r>
        <w:rPr>
          <w:b/>
        </w:rPr>
        <w:t xml:space="preserve">provisionar → publicar →</w:t>
      </w:r>
      <w:r>
        <w:rPr>
          <w:b/>
        </w:rPr>
        <w:t xml:space="preserve"> </w:t>
      </w:r>
      <w:r>
        <w:rPr>
          <w:b/>
        </w:rPr>
        <w:t xml:space="preserve">migrar dados → configurar SSO → validar → cutover</w:t>
      </w:r>
      <w:r>
        <w:t xml:space="preserve">. Detalhes de cada comando em</w:t>
      </w:r>
      <w:r>
        <w:t xml:space="preserve"> </w:t>
      </w:r>
      <w:r>
        <w:rPr>
          <w:rStyle w:val="VerbatimChar"/>
        </w:rPr>
        <w:t xml:space="preserve">docs/DEPLOY_AZURE.md</w:t>
      </w:r>
      <w:r>
        <w:t xml:space="preserve"> </w:t>
      </w:r>
      <w:r>
        <w:t xml:space="preserve">(Azure),</w:t>
      </w:r>
      <w:r>
        <w:t xml:space="preserve"> </w:t>
      </w:r>
      <w:r>
        <w:rPr>
          <w:rStyle w:val="VerbatimChar"/>
        </w:rPr>
        <w:t xml:space="preserve">docs/AUTENTICACAO.md</w:t>
      </w:r>
      <w:r>
        <w:t xml:space="preserve"> </w:t>
      </w:r>
      <w:r>
        <w:t xml:space="preserve">(SSO/Entra) e</w:t>
      </w:r>
      <w:r>
        <w:t xml:space="preserve"> </w:t>
      </w:r>
      <w:r>
        <w:rPr>
          <w:rStyle w:val="VerbatimChar"/>
        </w:rPr>
        <w:t xml:space="preserve">migration/README.md</w:t>
      </w:r>
      <w:r>
        <w:t xml:space="preserve"> </w:t>
      </w:r>
      <w:r>
        <w:t xml:space="preserve">(dados).</w:t>
      </w:r>
    </w:p>
    <w:p>
      <w:pPr>
        <w:pStyle w:val="BodyText"/>
      </w:pPr>
      <w:r>
        <w:t xml:space="preserve">Pré-condição: a assinatura Azure já existe (com outros sistemas). Esta aplicação ganha um</w:t>
      </w:r>
      <w:r>
        <w:t xml:space="preserve"> </w:t>
      </w:r>
      <w:r>
        <w:rPr>
          <w:b/>
        </w:rPr>
        <w:t xml:space="preserve">resource group próprio</w:t>
      </w:r>
      <w:r>
        <w:t xml:space="preserve"> </w:t>
      </w:r>
      <w:r>
        <w:t xml:space="preserve">e service principal dedicado, reaproveitando recursos compartilhados</w:t>
      </w:r>
      <w:r>
        <w:t xml:space="preserve"> </w:t>
      </w:r>
      <w:r>
        <w:t xml:space="preserve">(Key Vault corporativo, Log Analytics, DNS, VNet) quando fizer sentido.</w:t>
      </w:r>
    </w:p>
    <w:p>
      <w:pPr>
        <w:pStyle w:val="Heading2"/>
      </w:pPr>
      <w:bookmarkStart w:id="21" w:name="antes-de-começar-decisões-e-segredos"/>
      <w:r>
        <w:t xml:space="preserve">0. Antes de começar (decisões e segredos)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☐ Definir a</w:t>
      </w:r>
      <w:r>
        <w:t xml:space="preserve"> </w:t>
      </w:r>
      <w:r>
        <w:rPr>
          <w:b/>
        </w:rPr>
        <w:t xml:space="preserve">assinatura</w:t>
      </w:r>
      <w:r>
        <w:t xml:space="preserve"> </w:t>
      </w:r>
      <w:r>
        <w:t xml:space="preserve">e o</w:t>
      </w:r>
      <w:r>
        <w:t xml:space="preserve"> </w:t>
      </w:r>
      <w:r>
        <w:rPr>
          <w:b/>
        </w:rPr>
        <w:t xml:space="preserve">resource group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rg-triscal-timesheet</w:t>
      </w:r>
      <w:r>
        <w:t xml:space="preserve">) e a região (</w:t>
      </w:r>
      <w:r>
        <w:rPr>
          <w:rStyle w:val="VerbatimChar"/>
        </w:rPr>
        <w:t xml:space="preserve">brazilsouth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☐ Confirmar</w:t>
      </w:r>
      <w:r>
        <w:t xml:space="preserve"> </w:t>
      </w:r>
      <w:r>
        <w:rPr>
          <w:b/>
        </w:rPr>
        <w:t xml:space="preserve">domínios</w:t>
      </w:r>
      <w:r>
        <w:t xml:space="preserve"> </w:t>
      </w:r>
      <w:r>
        <w:t xml:space="preserve">finais: app (ex.:</w:t>
      </w:r>
      <w:r>
        <w:t xml:space="preserve"> </w:t>
      </w:r>
      <w:r>
        <w:rPr>
          <w:rStyle w:val="VerbatimChar"/>
        </w:rPr>
        <w:t xml:space="preserve">app.triscal.com.br</w:t>
      </w:r>
      <w:r>
        <w:t xml:space="preserve">) e Keycloak (ex.:</w:t>
      </w:r>
      <w:r>
        <w:t xml:space="preserve"> </w:t>
      </w:r>
      <w:r>
        <w:rPr>
          <w:rStyle w:val="VerbatimChar"/>
        </w:rPr>
        <w:t xml:space="preserve">keycloak.triscal.com.br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Rotacionar o client secret</w:t>
      </w:r>
      <w:r>
        <w:t xml:space="preserve"> </w:t>
      </w:r>
      <w:r>
        <w:t xml:space="preserve">do Entra (o atual foi compartilhado em texto) e guardar no Key Vault.</w:t>
      </w:r>
    </w:p>
    <w:p>
      <w:pPr>
        <w:numPr>
          <w:ilvl w:val="0"/>
          <w:numId w:val="1001"/>
        </w:numPr>
        <w:pStyle w:val="Compact"/>
      </w:pPr>
      <w:r>
        <w:t xml:space="preserve">☐ Primeiro</w:t>
      </w:r>
      <w:r>
        <w:t xml:space="preserve"> </w:t>
      </w:r>
      <w:r>
        <w:rPr>
          <w:b/>
        </w:rPr>
        <w:t xml:space="preserve">ADMIN_RH</w:t>
      </w:r>
      <w:r>
        <w:t xml:space="preserve">:</w:t>
      </w:r>
      <w:r>
        <w:t xml:space="preserve"> </w:t>
      </w:r>
      <w:r>
        <w:rPr>
          <w:b/>
        </w:rPr>
        <w:t xml:space="preserve">André Vieira de Mello</w:t>
      </w:r>
      <w:r>
        <w:t xml:space="preserve"> </w:t>
      </w:r>
      <w:r>
        <w:t xml:space="preserve">(concedido via</w:t>
      </w:r>
      <w:r>
        <w:t xml:space="preserve"> </w:t>
      </w:r>
      <w:r>
        <w:rPr>
          <w:rStyle w:val="VerbatimChar"/>
        </w:rPr>
        <w:t xml:space="preserve">migration/seed_admin_rh.sql</w:t>
      </w:r>
      <w:r>
        <w:t xml:space="preserve"> </w:t>
      </w:r>
      <w:r>
        <w:t xml:space="preserve">após o ETL).</w:t>
      </w:r>
    </w:p>
    <w:p>
      <w:pPr>
        <w:numPr>
          <w:ilvl w:val="0"/>
          <w:numId w:val="1001"/>
        </w:numPr>
        <w:pStyle w:val="Compact"/>
      </w:pPr>
      <w:r>
        <w:t xml:space="preserve">☐ Garantir acesso de</w:t>
      </w:r>
      <w:r>
        <w:t xml:space="preserve"> </w:t>
      </w:r>
      <w:r>
        <w:rPr>
          <w:b/>
        </w:rPr>
        <w:t xml:space="preserve">leitura ao Oracle legado</w:t>
      </w:r>
      <w:r>
        <w:t xml:space="preserve"> </w:t>
      </w:r>
      <w:r>
        <w:t xml:space="preserve">(usuário/DSN) para o ETL.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Nunca</w:t>
      </w:r>
      <w:r>
        <w:t xml:space="preserve"> </w:t>
      </w:r>
      <w:r>
        <w:t xml:space="preserve">comitar segredos — usar Key Vault e</w:t>
      </w:r>
      <w:r>
        <w:t xml:space="preserve"> </w:t>
      </w:r>
      <w:r>
        <w:rPr>
          <w:rStyle w:val="VerbatimChar"/>
        </w:rPr>
        <w:t xml:space="preserve">infra/.env</w:t>
      </w:r>
      <w:r>
        <w:t xml:space="preserve"> </w:t>
      </w:r>
      <w:r>
        <w:t xml:space="preserve">(gitignored).</w:t>
      </w:r>
    </w:p>
    <w:p>
      <w:pPr>
        <w:pStyle w:val="Heading2"/>
      </w:pPr>
      <w:bookmarkStart w:id="22" w:name="build-das-imagens"/>
      <w:r>
        <w:t xml:space="preserve">1. Build das imagens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az acr build -r $ACR -t triscal-api:&lt;tag&gt; ./backend</w:t>
      </w:r>
    </w:p>
    <w:p>
      <w:pPr>
        <w:numPr>
          <w:ilvl w:val="0"/>
          <w:numId w:val="1002"/>
        </w:numPr>
        <w:pStyle w:val="Compact"/>
      </w:pPr>
      <w:r>
        <w:t xml:space="preserve">☐ Gerar</w:t>
      </w:r>
      <w:r>
        <w:t xml:space="preserve"> </w:t>
      </w:r>
      <w:r>
        <w:rPr>
          <w:rStyle w:val="VerbatimChar"/>
        </w:rPr>
        <w:t xml:space="preserve">frontend/.env.production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apontando para o Keycloak/app finais e</w:t>
      </w:r>
      <w:r>
        <w:t xml:space="preserve"> </w:t>
      </w:r>
      <w:r>
        <w:rPr>
          <w:rStyle w:val="VerbatimChar"/>
        </w:rPr>
        <w:t xml:space="preserve">az acr build -r $ACR -t triscal-web:&lt;tag&gt; ./frontend</w:t>
      </w:r>
      <w:r>
        <w:t xml:space="preserve"> </w:t>
      </w:r>
      <w:r>
        <w:t xml:space="preserve">(Vite injeta as variáveis</w:t>
      </w:r>
      <w:r>
        <w:t xml:space="preserve"> </w:t>
      </w:r>
      <w:r>
        <w:rPr>
          <w:b/>
        </w:rPr>
        <w:t xml:space="preserve">no build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☐ CI verde (</w:t>
      </w:r>
      <w:r>
        <w:rPr>
          <w:rStyle w:val="VerbatimChar"/>
        </w:rPr>
        <w:t xml:space="preserve">mvn clean verify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/test) antes de promover a tag.</w:t>
      </w:r>
    </w:p>
    <w:p>
      <w:pPr>
        <w:pStyle w:val="Heading2"/>
      </w:pPr>
      <w:bookmarkStart w:id="23" w:name="provisionar-a-infraestrutura"/>
      <w:r>
        <w:t xml:space="preserve">2. Provisionar a infraestrutura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az account set --subscription &lt;ID&gt;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az group create</w:t>
      </w:r>
      <w:r>
        <w:t xml:space="preserve"> </w:t>
      </w:r>
      <w:r>
        <w:t xml:space="preserve">(ou usar o RG corporativo).</w:t>
      </w:r>
    </w:p>
    <w:p>
      <w:pPr>
        <w:numPr>
          <w:ilvl w:val="0"/>
          <w:numId w:val="1003"/>
        </w:numPr>
        <w:pStyle w:val="Compact"/>
      </w:pPr>
      <w:r>
        <w:t xml:space="preserve">☐ ACR, Container Apps Environment,</w:t>
      </w:r>
      <w:r>
        <w:t xml:space="preserve"> </w:t>
      </w:r>
      <w:r>
        <w:rPr>
          <w:b/>
        </w:rPr>
        <w:t xml:space="preserve">PostgreSQL Flexible Server 16</w:t>
      </w:r>
      <w:r>
        <w:t xml:space="preserve">, Key Vault (passos 4–6 do guia).</w:t>
      </w:r>
    </w:p>
    <w:p>
      <w:pPr>
        <w:numPr>
          <w:ilvl w:val="0"/>
          <w:numId w:val="1003"/>
        </w:numPr>
        <w:pStyle w:val="Compact"/>
      </w:pPr>
      <w:r>
        <w:t xml:space="preserve">☐ Opção IaC:</w:t>
      </w:r>
      <w:r>
        <w:t xml:space="preserve"> </w:t>
      </w:r>
      <w:r>
        <w:rPr>
          <w:rStyle w:val="VerbatimChar"/>
        </w:rPr>
        <w:t xml:space="preserve">infra/azure/main.bicep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(parametrizado por</w:t>
      </w:r>
      <w:r>
        <w:t xml:space="preserve"> </w:t>
      </w:r>
      <w:r>
        <w:rPr>
          <w:rStyle w:val="VerbatimChar"/>
        </w:rPr>
        <w:t xml:space="preserve">main.parameters.example.json</w:t>
      </w:r>
      <w:r>
        <w:t xml:space="preserve">),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corporativas.</w:t>
      </w:r>
    </w:p>
    <w:p>
      <w:pPr>
        <w:numPr>
          <w:ilvl w:val="0"/>
          <w:numId w:val="1003"/>
        </w:numPr>
        <w:pStyle w:val="Compact"/>
      </w:pPr>
      <w:r>
        <w:t xml:space="preserve">☐ Segredos no Key Vault:</w:t>
      </w:r>
      <w:r>
        <w:t xml:space="preserve"> </w:t>
      </w:r>
      <w:r>
        <w:rPr>
          <w:rStyle w:val="VerbatimChar"/>
        </w:rPr>
        <w:t xml:space="preserve">db-password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entra-client-secret</w:t>
      </w:r>
      <w:r>
        <w:t xml:space="preserve"> </w:t>
      </w:r>
      <w:r>
        <w:t xml:space="preserve">(e SMTP, se aplicável).</w:t>
      </w:r>
    </w:p>
    <w:p>
      <w:pPr>
        <w:pStyle w:val="Heading2"/>
      </w:pPr>
      <w:bookmarkStart w:id="24" w:name="publicar-a-aplicação"/>
      <w:r>
        <w:t xml:space="preserve">3. Publicar a aplicação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☐ Subir</w:t>
      </w:r>
      <w:r>
        <w:t xml:space="preserve"> </w:t>
      </w:r>
      <w:r>
        <w:rPr>
          <w:b/>
        </w:rPr>
        <w:t xml:space="preserve">Keycloak</w:t>
      </w:r>
      <w:r>
        <w:t xml:space="preserve"> </w:t>
      </w:r>
      <w:r>
        <w:t xml:space="preserve">(Container Apps), importar o realm</w:t>
      </w:r>
      <w:r>
        <w:t xml:space="preserve"> </w:t>
      </w:r>
      <w:r>
        <w:rPr>
          <w:rStyle w:val="VerbatimChar"/>
        </w:rPr>
        <w:t xml:space="preserve">infra/keycloak/realm-triscal.json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Subir</w:t>
      </w:r>
      <w:r>
        <w:t xml:space="preserve"> </w:t>
      </w:r>
      <w:r>
        <w:rPr>
          <w:b/>
        </w:rPr>
        <w:t xml:space="preserve">API</w:t>
      </w:r>
      <w:r>
        <w:t xml:space="preserve"> </w:t>
      </w:r>
      <w:r>
        <w:t xml:space="preserve">(</w:t>
      </w:r>
      <w:r>
        <w:rPr>
          <w:rStyle w:val="VerbatimChar"/>
        </w:rPr>
        <w:t xml:space="preserve">triscal-api</w:t>
      </w:r>
      <w:r>
        <w:t xml:space="preserve">) com</w:t>
      </w:r>
      <w:r>
        <w:t xml:space="preserve"> </w:t>
      </w:r>
      <w:r>
        <w:rPr>
          <w:rStyle w:val="VerbatimChar"/>
        </w:rPr>
        <w:t xml:space="preserve">DB_URL</w:t>
      </w:r>
      <w:r>
        <w:t xml:space="preserve"> </w:t>
      </w:r>
      <w:r>
        <w:t xml:space="preserve">(sslmode=require),</w:t>
      </w:r>
      <w:r>
        <w:t xml:space="preserve"> </w:t>
      </w:r>
      <w:r>
        <w:rPr>
          <w:rStyle w:val="VerbatimChar"/>
        </w:rPr>
        <w:t xml:space="preserve">OIDC_ISSUER_URI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OIDC_AUDIENCE</w:t>
      </w:r>
      <w:r>
        <w:t xml:space="preserve">, SMTP.</w:t>
      </w:r>
    </w:p>
    <w:p>
      <w:pPr>
        <w:numPr>
          <w:ilvl w:val="0"/>
          <w:numId w:val="1004"/>
        </w:numPr>
        <w:pStyle w:val="Compact"/>
      </w:pPr>
      <w:r>
        <w:t xml:space="preserve">☐ Subir</w:t>
      </w:r>
      <w:r>
        <w:t xml:space="preserve"> </w:t>
      </w:r>
      <w:r>
        <w:rPr>
          <w:b/>
        </w:rPr>
        <w:t xml:space="preserve">Web</w:t>
      </w:r>
      <w:r>
        <w:t xml:space="preserve"> </w:t>
      </w:r>
      <w:r>
        <w:t xml:space="preserve">(</w:t>
      </w:r>
      <w:r>
        <w:rPr>
          <w:rStyle w:val="VerbatimChar"/>
        </w:rPr>
        <w:t xml:space="preserve">triscal-web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☐ No</w:t>
      </w:r>
      <w:r>
        <w:t xml:space="preserve"> </w:t>
      </w:r>
      <w:r>
        <w:rPr>
          <w:b/>
        </w:rPr>
        <w:t xml:space="preserve">startup da API</w:t>
      </w:r>
      <w:r>
        <w:t xml:space="preserve">, o</w:t>
      </w:r>
      <w:r>
        <w:t xml:space="preserve"> </w:t>
      </w:r>
      <w:r>
        <w:rPr>
          <w:b/>
        </w:rPr>
        <w:t xml:space="preserve">Flyway aplica V1…V8</w:t>
      </w:r>
      <w:r>
        <w:t xml:space="preserve"> </w:t>
      </w:r>
      <w:r>
        <w:t xml:space="preserve">(schema + cortes de quinzena 1/16). Conferir no log.</w:t>
      </w:r>
    </w:p>
    <w:p>
      <w:pPr>
        <w:pStyle w:val="Heading2"/>
      </w:pPr>
      <w:bookmarkStart w:id="25" w:name="X81cb41ce2b50aecb6f6c91a54f1ac6b047dc789"/>
      <w:r>
        <w:t xml:space="preserve">4. Migração de dados do legado (Oracle → PostgreSQL)</w:t>
      </w:r>
      <w:bookmarkEnd w:id="25"/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migration/README.md</w:t>
      </w:r>
      <w:r>
        <w:t xml:space="preserve">. Roda</w:t>
      </w:r>
      <w:r>
        <w:t xml:space="preserve"> </w:t>
      </w:r>
      <w:r>
        <w:rPr>
          <w:b/>
        </w:rPr>
        <w:t xml:space="preserve">uma vez</w:t>
      </w:r>
      <w:r>
        <w:t xml:space="preserve">, na janela de cutover, com a aplicação no ar (schema já criado).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pip install -r migration/requirements.txt</w:t>
      </w:r>
      <w:r>
        <w:t xml:space="preserve">; preencher</w:t>
      </w:r>
      <w:r>
        <w:t xml:space="preserve"> </w:t>
      </w:r>
      <w:r>
        <w:rPr>
          <w:rStyle w:val="VerbatimChar"/>
        </w:rPr>
        <w:t xml:space="preserve">migration/.env</w:t>
      </w:r>
      <w:r>
        <w:t xml:space="preserve"> </w:t>
      </w:r>
      <w:r>
        <w:t xml:space="preserve">(Oracle + PostgreSQL de produção).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Ensaio</w:t>
      </w:r>
      <w:r>
        <w:t xml:space="preserve">: rodar</w:t>
      </w:r>
      <w:r>
        <w:t xml:space="preserve"> </w:t>
      </w:r>
      <w:r>
        <w:rPr>
          <w:rStyle w:val="VerbatimChar"/>
        </w:rPr>
        <w:t xml:space="preserve">python etl.py</w:t>
      </w:r>
      <w:r>
        <w:t xml:space="preserve"> </w:t>
      </w:r>
      <w:r>
        <w:t xml:space="preserve">num banco de homologação e validar.</w:t>
      </w:r>
      <w:r>
        <w:t xml:space="preserve"> </w:t>
      </w:r>
      <w:r>
        <w:t xml:space="preserve">- [ ] Produção:</w:t>
      </w:r>
      <w:r>
        <w:t xml:space="preserve"> </w:t>
      </w:r>
      <w:r>
        <w:rPr>
          <w:rStyle w:val="VerbatimChar"/>
        </w:rPr>
        <w:t xml:space="preserve">python etl.py --truncate</w:t>
      </w:r>
      <w:r>
        <w:t xml:space="preserve"> </w:t>
      </w:r>
      <w:r>
        <w:t xml:space="preserve">(recarga total) na janela de corte.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Validação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psql ... -f migration/validacao.sql</w:t>
      </w:r>
      <w:r>
        <w:t xml:space="preserve"> </w:t>
      </w:r>
      <w:r>
        <w:t xml:space="preserve">— conferir:</w:t>
      </w:r>
      <w:r>
        <w:t xml:space="preserve"> </w:t>
      </w:r>
      <w:r>
        <w:t xml:space="preserve">contagens × Oracle; reconciliação de BHE; tarefas órfãs = 0; acentuação;</w:t>
      </w:r>
      <w:r>
        <w:t xml:space="preserve"> </w:t>
      </w:r>
      <w:r>
        <w:rPr>
          <w:b/>
        </w:rPr>
        <w:t xml:space="preserve">status traduzido</w:t>
      </w:r>
      <w:r>
        <w:t xml:space="preserve"> </w:t>
      </w:r>
      <w:r>
        <w:t xml:space="preserve">(não pode sobrar</w:t>
      </w:r>
      <w:r>
        <w:t xml:space="preserve"> </w:t>
      </w:r>
      <w:r>
        <w:rPr>
          <w:rStyle w:val="VerbatimChar"/>
        </w:rPr>
        <w:t xml:space="preserve">AT</w:t>
      </w:r>
      <w:r>
        <w:t xml:space="preserve">; alocações</w:t>
      </w:r>
      <w:r>
        <w:t xml:space="preserve"> </w:t>
      </w:r>
      <w:r>
        <w:rPr>
          <w:rStyle w:val="VerbatimChar"/>
        </w:rPr>
        <w:t xml:space="preserve">INI</w:t>
      </w:r>
      <w:r>
        <w:t xml:space="preserve"> </w:t>
      </w:r>
      <w:r>
        <w:t xml:space="preserve">são as lançáveis);</w:t>
      </w:r>
      <w:r>
        <w:t xml:space="preserve"> </w:t>
      </w:r>
      <w:r>
        <w:rPr>
          <w:b/>
        </w:rPr>
        <w:t xml:space="preserve">perfis</w:t>
      </w:r>
      <w:r>
        <w:t xml:space="preserve"> </w:t>
      </w:r>
      <w:r>
        <w:t xml:space="preserve">(existe ao menos um</w:t>
      </w:r>
      <w:r>
        <w:t xml:space="preserve"> </w:t>
      </w:r>
      <w:r>
        <w:rPr>
          <w:rStyle w:val="VerbatimChar"/>
        </w:rPr>
        <w:t xml:space="preserve">ADMIN_RH</w:t>
      </w:r>
      <w:r>
        <w:t xml:space="preserve">);</w:t>
      </w:r>
      <w:r>
        <w:t xml:space="preserve"> </w:t>
      </w:r>
      <w:r>
        <w:rPr>
          <w:b/>
        </w:rPr>
        <w:t xml:space="preserve">cortes</w:t>
      </w:r>
      <w:r>
        <w:t xml:space="preserve"> </w:t>
      </w:r>
      <w:r>
        <w:t xml:space="preserve">= 1 e 16.</w:t>
      </w:r>
      <w:r>
        <w:t xml:space="preserve"> </w:t>
      </w:r>
      <w:r>
        <w:t xml:space="preserve">- [ ] Observação: status de tarefa/alocação é traduzido</w:t>
      </w:r>
      <w:r>
        <w:t xml:space="preserve"> </w:t>
      </w:r>
      <w:r>
        <w:rPr>
          <w:rStyle w:val="VerbatimChar"/>
        </w:rPr>
        <w:t xml:space="preserve">AT → INI</w:t>
      </w:r>
      <w:r>
        <w:t xml:space="preserve">, demais →</w:t>
      </w:r>
      <w:r>
        <w:t xml:space="preserve"> </w:t>
      </w:r>
      <w:r>
        <w:rPr>
          <w:rStyle w:val="VerbatimChar"/>
        </w:rPr>
        <w:t xml:space="preserve">ENC</w:t>
      </w:r>
      <w:r>
        <w:t xml:space="preserve"> </w:t>
      </w:r>
      <w:r>
        <w:t xml:space="preserve">(premissa do ETL;</w:t>
      </w:r>
      <w:r>
        <w:t xml:space="preserve"> </w:t>
      </w:r>
      <w:r>
        <w:t xml:space="preserve">ajustar o CASE se o legado usar outros códigos).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Primeiro administrador</w:t>
      </w:r>
      <w:r>
        <w:t xml:space="preserve">:</w:t>
      </w:r>
      <w:r>
        <w:t xml:space="preserve"> </w:t>
      </w:r>
      <w:r>
        <w:rPr>
          <w:rStyle w:val="VerbatimChar"/>
        </w:rPr>
        <w:t xml:space="preserve">psql ... -f migration/seed_admin_rh.sql</w:t>
      </w:r>
      <w:r>
        <w:t xml:space="preserve"> </w:t>
      </w:r>
      <w:r>
        <w:t xml:space="preserve">(concede ADMIN_RH ao André Vieira de Mello). Conferir que o SELECT final retorna o registro.</w:t>
      </w:r>
    </w:p>
    <w:p>
      <w:pPr>
        <w:pStyle w:val="Heading2"/>
      </w:pPr>
      <w:bookmarkStart w:id="26" w:name="sso-entra-id-keycloak"/>
      <w:r>
        <w:t xml:space="preserve">5. SSO (Entra ID + Keycloak)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☐ No</w:t>
      </w:r>
      <w:r>
        <w:t xml:space="preserve"> </w:t>
      </w:r>
      <w:r>
        <w:rPr>
          <w:b/>
        </w:rPr>
        <w:t xml:space="preserve">Entra</w:t>
      </w:r>
      <w:r>
        <w:t xml:space="preserve">, registrar as</w:t>
      </w:r>
      <w:r>
        <w:t xml:space="preserve"> </w:t>
      </w:r>
      <w:r>
        <w:rPr>
          <w:b/>
        </w:rPr>
        <w:t xml:space="preserve">Redirect URIs de produção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https://&lt;keycloak-final&gt;/realms/triscal/broker/oidc/endpoint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No</w:t>
      </w:r>
      <w:r>
        <w:t xml:space="preserve"> </w:t>
      </w:r>
      <w:r>
        <w:rPr>
          <w:b/>
        </w:rPr>
        <w:t xml:space="preserve">Keycloak</w:t>
      </w:r>
      <w:r>
        <w:t xml:space="preserve">, IdP Entra validado; clients</w:t>
      </w:r>
      <w:r>
        <w:t xml:space="preserve"> </w:t>
      </w:r>
      <w:r>
        <w:rPr>
          <w:rStyle w:val="VerbatimChar"/>
        </w:rPr>
        <w:t xml:space="preserve">timesheet-web</w:t>
      </w:r>
      <w:r>
        <w:t xml:space="preserve"> </w:t>
      </w:r>
      <w:r>
        <w:t xml:space="preserve">(público, PKCE, redirect do domínio final)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timesheet-api</w:t>
      </w:r>
      <w:r>
        <w:t xml:space="preserve"> </w:t>
      </w:r>
      <w:r>
        <w:t xml:space="preserve">(audience); login redirecionando direto ao Entra.</w:t>
      </w:r>
    </w:p>
    <w:p>
      <w:pPr>
        <w:numPr>
          <w:ilvl w:val="0"/>
          <w:numId w:val="1005"/>
        </w:numPr>
        <w:pStyle w:val="Compact"/>
      </w:pPr>
      <w:r>
        <w:t xml:space="preserve">☐ Claim de vínculo =</w:t>
      </w:r>
      <w:r>
        <w:t xml:space="preserve"> </w:t>
      </w:r>
      <w:r>
        <w:rPr>
          <w:b/>
        </w:rPr>
        <w:t xml:space="preserve">e-mail corporativo</w:t>
      </w:r>
      <w:r>
        <w:t xml:space="preserve"> </w:t>
      </w:r>
      <w:r>
        <w:t xml:space="preserve">casando com</w:t>
      </w:r>
      <w:r>
        <w:t xml:space="preserve"> </w:t>
      </w:r>
      <w:r>
        <w:rPr>
          <w:rStyle w:val="VerbatimChar"/>
        </w:rPr>
        <w:t xml:space="preserve">funcionario.cdg_usur</w:t>
      </w:r>
      <w:r>
        <w:t xml:space="preserve">.</w:t>
      </w:r>
    </w:p>
    <w:p>
      <w:pPr>
        <w:pStyle w:val="Heading2"/>
      </w:pPr>
      <w:bookmarkStart w:id="27" w:name="domínios-tls-e-rede"/>
      <w:r>
        <w:t xml:space="preserve">6. Domínios, TLS e rede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☐ CNAMEs no DNS da Triscal → FQDNs dos Container Apps; bind dos hostnames (TLS gerenciado).</w:t>
      </w:r>
    </w:p>
    <w:p>
      <w:pPr>
        <w:numPr>
          <w:ilvl w:val="0"/>
          <w:numId w:val="1006"/>
        </w:numPr>
        <w:pStyle w:val="Compact"/>
      </w:pPr>
      <w:r>
        <w:t xml:space="preserve">☐ Ajustar Redirect URIs/realm para os domínios finais.</w:t>
      </w:r>
    </w:p>
    <w:p>
      <w:pPr>
        <w:numPr>
          <w:ilvl w:val="0"/>
          <w:numId w:val="1006"/>
        </w:numPr>
        <w:pStyle w:val="Compact"/>
      </w:pPr>
      <w:r>
        <w:t xml:space="preserve">☐ PostgreSQL com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; restringir por</w:t>
      </w:r>
      <w:r>
        <w:t xml:space="preserve"> </w:t>
      </w:r>
      <w:r>
        <w:rPr>
          <w:b/>
        </w:rPr>
        <w:t xml:space="preserve">Private Endpoint/VNet</w:t>
      </w:r>
      <w:r>
        <w:t xml:space="preserve"> </w:t>
      </w:r>
      <w:r>
        <w:t xml:space="preserve">se a política exigir.</w:t>
      </w:r>
    </w:p>
    <w:p>
      <w:pPr>
        <w:pStyle w:val="Heading2"/>
      </w:pPr>
      <w:bookmarkStart w:id="28" w:name="smoke-test-produção"/>
      <w:r>
        <w:t xml:space="preserve">7. Smoke test (produção)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☐ Login SSO de um usuário real →</w:t>
      </w:r>
      <w:r>
        <w:t xml:space="preserve"> </w:t>
      </w:r>
      <w:r>
        <w:rPr>
          <w:rStyle w:val="VerbatimChar"/>
        </w:rPr>
        <w:t xml:space="preserve">GET /api/v1/me</w:t>
      </w:r>
      <w:r>
        <w:t xml:space="preserve"> </w:t>
      </w:r>
      <w:r>
        <w:t xml:space="preserve">retorna os</w:t>
      </w:r>
      <w:r>
        <w:t xml:space="preserve"> </w:t>
      </w:r>
      <w:r>
        <w:rPr>
          <w:b/>
        </w:rPr>
        <w:t xml:space="preserve">papéis</w:t>
      </w:r>
      <w:r>
        <w:t xml:space="preserve"> </w:t>
      </w:r>
      <w:r>
        <w:t xml:space="preserve">corretos.</w:t>
      </w:r>
    </w:p>
    <w:p>
      <w:pPr>
        <w:numPr>
          <w:ilvl w:val="0"/>
          <w:numId w:val="1007"/>
        </w:numPr>
        <w:pStyle w:val="Compact"/>
      </w:pPr>
      <w:r>
        <w:t xml:space="preserve">☐ Colaborador:</w:t>
      </w:r>
      <w:r>
        <w:t xml:space="preserve"> </w:t>
      </w:r>
      <w:r>
        <w:rPr>
          <w:b/>
        </w:rPr>
        <w:t xml:space="preserve">lançar um dia</w:t>
      </w:r>
      <w:r>
        <w:t xml:space="preserve">, fechar quinzena.</w:t>
      </w:r>
    </w:p>
    <w:p>
      <w:pPr>
        <w:numPr>
          <w:ilvl w:val="0"/>
          <w:numId w:val="1007"/>
        </w:numPr>
        <w:pStyle w:val="Compact"/>
      </w:pPr>
      <w:r>
        <w:t xml:space="preserve">☐ Gestor: ver pendência,</w:t>
      </w:r>
      <w:r>
        <w:t xml:space="preserve"> </w:t>
      </w:r>
      <w:r>
        <w:rPr>
          <w:b/>
        </w:rPr>
        <w:t xml:space="preserve">aprovar e rejeitar</w:t>
      </w:r>
      <w:r>
        <w:t xml:space="preserve"> </w:t>
      </w:r>
      <w:r>
        <w:t xml:space="preserve">um dia (BHE creditado).</w:t>
      </w:r>
    </w:p>
    <w:p>
      <w:pPr>
        <w:numPr>
          <w:ilvl w:val="0"/>
          <w:numId w:val="1007"/>
        </w:numPr>
        <w:pStyle w:val="Compact"/>
      </w:pPr>
      <w:r>
        <w:t xml:space="preserve">☐ Gestão: abrir</w:t>
      </w:r>
      <w:r>
        <w:t xml:space="preserve"> </w:t>
      </w:r>
      <w:r>
        <w:rPr>
          <w:b/>
        </w:rPr>
        <w:t xml:space="preserve">Dashboards</w:t>
      </w:r>
      <w:r>
        <w:t xml:space="preserve"> </w:t>
      </w:r>
      <w:r>
        <w:t xml:space="preserve">e os</w:t>
      </w:r>
      <w:r>
        <w:t xml:space="preserve"> </w:t>
      </w:r>
      <w:r>
        <w:rPr>
          <w:b/>
        </w:rPr>
        <w:t xml:space="preserve">Relatórios</w:t>
      </w:r>
      <w:r>
        <w:t xml:space="preserve"> </w:t>
      </w:r>
      <w:r>
        <w:t xml:space="preserve">(logs pendentes, acompanhamento, BHE).</w:t>
      </w:r>
    </w:p>
    <w:p>
      <w:pPr>
        <w:numPr>
          <w:ilvl w:val="0"/>
          <w:numId w:val="1007"/>
        </w:numPr>
        <w:pStyle w:val="Compact"/>
      </w:pPr>
      <w:r>
        <w:t xml:space="preserve">☐ Admin/RH: abrir</w:t>
      </w:r>
      <w:r>
        <w:t xml:space="preserve"> </w:t>
      </w:r>
      <w:r>
        <w:rPr>
          <w:b/>
        </w:rPr>
        <w:t xml:space="preserve">Cadastros</w:t>
      </w:r>
      <w:r>
        <w:t xml:space="preserve"> </w:t>
      </w:r>
      <w:r>
        <w:t xml:space="preserve">e a</w:t>
      </w:r>
      <w:r>
        <w:t xml:space="preserve"> </w:t>
      </w:r>
      <w:r>
        <w:rPr>
          <w:b/>
        </w:rPr>
        <w:t xml:space="preserve">pesquisa de funcionários</w:t>
      </w:r>
      <w:r>
        <w:t xml:space="preserve">.</w:t>
      </w:r>
    </w:p>
    <w:p>
      <w:pPr>
        <w:pStyle w:val="Heading2"/>
      </w:pPr>
      <w:bookmarkStart w:id="29" w:name="pós-go-live"/>
      <w:r>
        <w:t xml:space="preserve">8. Pós-go-live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☐ Ativar</w:t>
      </w:r>
      <w:r>
        <w:t xml:space="preserve"> </w:t>
      </w:r>
      <w:r>
        <w:rPr>
          <w:b/>
        </w:rPr>
        <w:t xml:space="preserve">backup</w:t>
      </w:r>
      <w:r>
        <w:t xml:space="preserve"> </w:t>
      </w:r>
      <w:r>
        <w:t xml:space="preserve">do PostgreSQL (retenção ≥ 7 dias) e</w:t>
      </w:r>
      <w:r>
        <w:t xml:space="preserve"> </w:t>
      </w:r>
      <w:r>
        <w:rPr>
          <w:b/>
        </w:rPr>
        <w:t xml:space="preserve">alertas de custo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☐ Conferir os</w:t>
      </w:r>
      <w:r>
        <w:t xml:space="preserve"> </w:t>
      </w:r>
      <w:r>
        <w:rPr>
          <w:b/>
        </w:rPr>
        <w:t xml:space="preserve">crons de alerta</w:t>
      </w:r>
      <w:r>
        <w:t xml:space="preserve"> </w:t>
      </w:r>
      <w:r>
        <w:t xml:space="preserve">(diário/quinzenal/semanal) e o SMTP.</w:t>
      </w:r>
    </w:p>
    <w:p>
      <w:pPr>
        <w:numPr>
          <w:ilvl w:val="0"/>
          <w:numId w:val="1008"/>
        </w:numPr>
        <w:pStyle w:val="Compact"/>
      </w:pPr>
      <w:r>
        <w:t xml:space="preserve">☐ CI/CD de produção (job de deploy no push à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com</w:t>
      </w:r>
      <w:r>
        <w:t xml:space="preserve"> </w:t>
      </w:r>
      <w:r>
        <w:rPr>
          <w:rStyle w:val="VerbatimChar"/>
        </w:rPr>
        <w:t xml:space="preserve">AZURE_CREDENTIALS</w:t>
      </w:r>
      <w:r>
        <w:t xml:space="preserve"> </w:t>
      </w:r>
      <w:r>
        <w:t xml:space="preserve">nos Secrets do GitHub.</w:t>
      </w:r>
    </w:p>
    <w:p>
      <w:pPr>
        <w:numPr>
          <w:ilvl w:val="0"/>
          <w:numId w:val="1008"/>
        </w:numPr>
        <w:pStyle w:val="Compact"/>
      </w:pPr>
      <w:r>
        <w:t xml:space="preserve">☐ Agendar</w:t>
      </w:r>
      <w:r>
        <w:t xml:space="preserve"> </w:t>
      </w:r>
      <w:r>
        <w:rPr>
          <w:b/>
        </w:rPr>
        <w:t xml:space="preserve">rotação</w:t>
      </w:r>
      <w:r>
        <w:t xml:space="preserve"> </w:t>
      </w:r>
      <w:r>
        <w:t xml:space="preserve">periódica do client secret do Entra e da senha do banco.</w:t>
      </w:r>
    </w:p>
    <w:p>
      <w:pPr>
        <w:pStyle w:val="Heading2"/>
      </w:pPr>
      <w:bookmarkStart w:id="30" w:name="rollback-se-o-cutover-falhar"/>
      <w:r>
        <w:t xml:space="preserve">9. Rollback (se o cutover falhar)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☐ Manter o</w:t>
      </w:r>
      <w:r>
        <w:t xml:space="preserve"> </w:t>
      </w:r>
      <w:r>
        <w:rPr>
          <w:b/>
        </w:rPr>
        <w:t xml:space="preserve">sistema legado disponível</w:t>
      </w:r>
      <w:r>
        <w:t xml:space="preserve"> </w:t>
      </w:r>
      <w:r>
        <w:t xml:space="preserve">até o smoke test passar.</w:t>
      </w:r>
    </w:p>
    <w:p>
      <w:pPr>
        <w:numPr>
          <w:ilvl w:val="0"/>
          <w:numId w:val="1009"/>
        </w:numPr>
        <w:pStyle w:val="Compact"/>
      </w:pPr>
      <w:r>
        <w:t xml:space="preserve">☐ Recarga limpa:</w:t>
      </w:r>
      <w:r>
        <w:t xml:space="preserve"> </w:t>
      </w:r>
      <w:r>
        <w:rPr>
          <w:rStyle w:val="VerbatimChar"/>
        </w:rPr>
        <w:t xml:space="preserve">python etl.py --truncate</w:t>
      </w:r>
      <w:r>
        <w:t xml:space="preserve"> </w:t>
      </w:r>
      <w:r>
        <w:t xml:space="preserve">reexecuta do zero (idempotente).</w:t>
      </w:r>
    </w:p>
    <w:p>
      <w:pPr>
        <w:numPr>
          <w:ilvl w:val="0"/>
          <w:numId w:val="1009"/>
        </w:numPr>
        <w:pStyle w:val="Compact"/>
      </w:pPr>
      <w:r>
        <w:t xml:space="preserve">☐ Banco de produção com backup/restore point antes da carga.</w:t>
      </w:r>
    </w:p>
    <w:p>
      <w:pPr>
        <w:numPr>
          <w:ilvl w:val="0"/>
          <w:numId w:val="1009"/>
        </w:numPr>
        <w:pStyle w:val="Compact"/>
      </w:pPr>
      <w:r>
        <w:t xml:space="preserve">☐ Reverter imagens:</w:t>
      </w:r>
      <w:r>
        <w:t xml:space="preserve"> </w:t>
      </w:r>
      <w:r>
        <w:rPr>
          <w:rStyle w:val="VerbatimChar"/>
        </w:rPr>
        <w:t xml:space="preserve">az containerapp update ... --image &lt;tag-anterior&gt;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2026-06-23T16:50:36Z</dcterms:created>
  <dcterms:modified xsi:type="dcterms:W3CDTF">2026-06-23T16:50:36Z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