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06BF" w14:textId="77777777" w:rsidR="00443C9B" w:rsidRPr="00443C9B" w:rsidRDefault="00443C9B" w:rsidP="00443C9B">
      <w:pPr>
        <w:jc w:val="both"/>
        <w:rPr>
          <w:rFonts w:ascii="Cambria" w:hAnsi="Cambria"/>
        </w:rPr>
      </w:pPr>
      <w:r w:rsidRPr="00443C9B">
        <w:rPr>
          <w:rFonts w:ascii="Cambria" w:hAnsi="Cambria"/>
          <w:b/>
          <w:bCs/>
        </w:rPr>
        <w:t>MineOS</w:t>
      </w:r>
      <w:r w:rsidRPr="00443C9B">
        <w:rPr>
          <w:rFonts w:ascii="Cambria" w:hAnsi="Cambria"/>
        </w:rPr>
        <w:t xml:space="preserve"> is a first-of-its-kind, proof-based execution platform that bridges the gap between mining plans and on-ground reality by verifying that every critical operation is </w:t>
      </w:r>
      <w:proofErr w:type="gramStart"/>
      <w:r w:rsidRPr="00443C9B">
        <w:rPr>
          <w:rFonts w:ascii="Cambria" w:hAnsi="Cambria"/>
        </w:rPr>
        <w:t>actually performed</w:t>
      </w:r>
      <w:proofErr w:type="gramEnd"/>
      <w:r w:rsidRPr="00443C9B">
        <w:rPr>
          <w:rFonts w:ascii="Cambria" w:hAnsi="Cambria"/>
        </w:rPr>
        <w:t xml:space="preserve"> as intended.</w:t>
      </w:r>
      <w:r w:rsidRPr="00443C9B">
        <w:rPr>
          <w:rFonts w:ascii="Cambria" w:hAnsi="Cambria"/>
        </w:rPr>
        <w:br/>
        <w:t>It enhances accountability, eliminates invisible losses, and ensures seamless alignment between planning, execution, and outcomes—without replacing existing systems.</w:t>
      </w:r>
    </w:p>
    <w:p w14:paraId="07429FF6" w14:textId="77777777" w:rsidR="00443C9B" w:rsidRPr="00443C9B" w:rsidRDefault="00443C9B" w:rsidP="00443C9B">
      <w:pPr>
        <w:jc w:val="both"/>
        <w:rPr>
          <w:rFonts w:ascii="Cambria" w:hAnsi="Cambria"/>
        </w:rPr>
      </w:pPr>
      <w:r w:rsidRPr="00443C9B">
        <w:rPr>
          <w:rFonts w:ascii="Cambria" w:hAnsi="Cambria"/>
        </w:rPr>
        <w:br/>
        <w:t xml:space="preserve">By </w:t>
      </w:r>
      <w:r w:rsidRPr="00443C9B">
        <w:rPr>
          <w:rFonts w:ascii="Cambria" w:hAnsi="Cambria"/>
          <w:b/>
          <w:bCs/>
        </w:rPr>
        <w:t>TERRAMET</w:t>
      </w:r>
      <w:r w:rsidRPr="00443C9B">
        <w:rPr>
          <w:rFonts w:ascii="Cambria" w:hAnsi="Cambria"/>
        </w:rPr>
        <w:t xml:space="preserve"> in collaboration with </w:t>
      </w:r>
      <w:r w:rsidRPr="00443C9B">
        <w:rPr>
          <w:rFonts w:ascii="Cambria" w:hAnsi="Cambria"/>
          <w:b/>
          <w:bCs/>
        </w:rPr>
        <w:t>BLSX LIMITED</w:t>
      </w:r>
      <w:r w:rsidRPr="00443C9B">
        <w:rPr>
          <w:rFonts w:ascii="Cambria" w:hAnsi="Cambria"/>
        </w:rPr>
        <w:t>—a 35-year manufacturing expert in reinforced hose systems—it delivers a targeted, reliable solution for critical industrial operations. TRANSMUTE is a high-performance, rubber-based reinforced hose system designed to optimize high-wear, high-movement sections in mining and slurry transport, reducing failures, downtime, and lifecycle costs where rigid pipelines fall short.</w:t>
      </w:r>
    </w:p>
    <w:p w14:paraId="21FF5A4A" w14:textId="77777777" w:rsidR="00443C9B" w:rsidRPr="00443C9B" w:rsidRDefault="00443C9B" w:rsidP="00443C9B">
      <w:pPr>
        <w:jc w:val="both"/>
        <w:rPr>
          <w:rFonts w:ascii="Cambria" w:hAnsi="Cambria"/>
        </w:rPr>
      </w:pPr>
      <w:r w:rsidRPr="00443C9B">
        <w:rPr>
          <w:rFonts w:ascii="Cambria" w:hAnsi="Cambria"/>
        </w:rPr>
        <w:t xml:space="preserve">The </w:t>
      </w:r>
      <w:r w:rsidRPr="00443C9B">
        <w:rPr>
          <w:rFonts w:ascii="Cambria" w:hAnsi="Cambria"/>
          <w:b/>
          <w:bCs/>
        </w:rPr>
        <w:t>Infrastructure &amp; Engineering</w:t>
      </w:r>
      <w:r w:rsidRPr="00443C9B">
        <w:rPr>
          <w:rFonts w:ascii="Cambria" w:hAnsi="Cambria"/>
        </w:rPr>
        <w:t xml:space="preserve"> arm embodies a modern, technology-driven approach, leveraging advanced systems and engineering intelligence to execute complex, large-scale projects with precision and foresight. With over a decade of proven expertise, it stands distinguished for its executional rigor, cost discipline, and uncompromising quality in delivering high-performance infrastructure.</w:t>
      </w:r>
    </w:p>
    <w:p w14:paraId="5C378C04" w14:textId="77777777" w:rsidR="00443C9B" w:rsidRPr="00443C9B" w:rsidRDefault="00443C9B" w:rsidP="00443C9B">
      <w:pPr>
        <w:jc w:val="both"/>
        <w:rPr>
          <w:rFonts w:ascii="Cambria" w:hAnsi="Cambria"/>
        </w:rPr>
      </w:pPr>
      <w:r w:rsidRPr="00443C9B">
        <w:rPr>
          <w:rFonts w:ascii="Cambria" w:hAnsi="Cambria"/>
        </w:rPr>
        <w:t xml:space="preserve">The </w:t>
      </w:r>
      <w:r w:rsidRPr="00443C9B">
        <w:rPr>
          <w:rFonts w:ascii="Cambria" w:hAnsi="Cambria"/>
          <w:b/>
          <w:bCs/>
        </w:rPr>
        <w:t>Project Management Consultancy (PMC)</w:t>
      </w:r>
      <w:r w:rsidRPr="00443C9B">
        <w:rPr>
          <w:rFonts w:ascii="Cambria" w:hAnsi="Cambria"/>
        </w:rPr>
        <w:t xml:space="preserve"> arm represents a technology-enabled, process-driven approach to project governance, ensuring absolute control over planning, execution, and delivery across complex developments. With deep domain expertise and disciplined oversight, it drives stakeholder alignment, cost integrity, and timeline certainty—transforming project intent into precisely executed outcomes.</w:t>
      </w:r>
    </w:p>
    <w:p w14:paraId="1FD9AEC4" w14:textId="77777777" w:rsidR="00DB369A" w:rsidRPr="00443C9B" w:rsidRDefault="00DB369A">
      <w:pPr>
        <w:rPr>
          <w:rFonts w:ascii="Cambria" w:hAnsi="Cambria"/>
        </w:rPr>
      </w:pPr>
    </w:p>
    <w:sectPr w:rsidR="00DB369A" w:rsidRPr="00443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9B"/>
    <w:rsid w:val="00443C9B"/>
    <w:rsid w:val="00762A18"/>
    <w:rsid w:val="007A07B2"/>
    <w:rsid w:val="00B0026F"/>
    <w:rsid w:val="00DB369A"/>
    <w:rsid w:val="00E41951"/>
    <w:rsid w:val="00F57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EFAA"/>
  <w15:chartTrackingRefBased/>
  <w15:docId w15:val="{4EB460C3-485C-4FD4-9C66-817CBB68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C9B"/>
  </w:style>
  <w:style w:type="paragraph" w:styleId="Heading1">
    <w:name w:val="heading 1"/>
    <w:basedOn w:val="Normal"/>
    <w:next w:val="Normal"/>
    <w:link w:val="Heading1Char"/>
    <w:uiPriority w:val="9"/>
    <w:qFormat/>
    <w:rsid w:val="00443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C9B"/>
    <w:rPr>
      <w:rFonts w:eastAsiaTheme="majorEastAsia" w:cstheme="majorBidi"/>
      <w:color w:val="272727" w:themeColor="text1" w:themeTint="D8"/>
    </w:rPr>
  </w:style>
  <w:style w:type="paragraph" w:styleId="Title">
    <w:name w:val="Title"/>
    <w:basedOn w:val="Normal"/>
    <w:next w:val="Normal"/>
    <w:link w:val="TitleChar"/>
    <w:uiPriority w:val="10"/>
    <w:qFormat/>
    <w:rsid w:val="00443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C9B"/>
    <w:pPr>
      <w:spacing w:before="160"/>
      <w:jc w:val="center"/>
    </w:pPr>
    <w:rPr>
      <w:i/>
      <w:iCs/>
      <w:color w:val="404040" w:themeColor="text1" w:themeTint="BF"/>
    </w:rPr>
  </w:style>
  <w:style w:type="character" w:customStyle="1" w:styleId="QuoteChar">
    <w:name w:val="Quote Char"/>
    <w:basedOn w:val="DefaultParagraphFont"/>
    <w:link w:val="Quote"/>
    <w:uiPriority w:val="29"/>
    <w:rsid w:val="00443C9B"/>
    <w:rPr>
      <w:i/>
      <w:iCs/>
      <w:color w:val="404040" w:themeColor="text1" w:themeTint="BF"/>
    </w:rPr>
  </w:style>
  <w:style w:type="paragraph" w:styleId="ListParagraph">
    <w:name w:val="List Paragraph"/>
    <w:basedOn w:val="Normal"/>
    <w:uiPriority w:val="34"/>
    <w:qFormat/>
    <w:rsid w:val="00443C9B"/>
    <w:pPr>
      <w:ind w:left="720"/>
      <w:contextualSpacing/>
    </w:pPr>
  </w:style>
  <w:style w:type="character" w:styleId="IntenseEmphasis">
    <w:name w:val="Intense Emphasis"/>
    <w:basedOn w:val="DefaultParagraphFont"/>
    <w:uiPriority w:val="21"/>
    <w:qFormat/>
    <w:rsid w:val="00443C9B"/>
    <w:rPr>
      <w:i/>
      <w:iCs/>
      <w:color w:val="2F5496" w:themeColor="accent1" w:themeShade="BF"/>
    </w:rPr>
  </w:style>
  <w:style w:type="paragraph" w:styleId="IntenseQuote">
    <w:name w:val="Intense Quote"/>
    <w:basedOn w:val="Normal"/>
    <w:next w:val="Normal"/>
    <w:link w:val="IntenseQuoteChar"/>
    <w:uiPriority w:val="30"/>
    <w:qFormat/>
    <w:rsid w:val="00443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C9B"/>
    <w:rPr>
      <w:i/>
      <w:iCs/>
      <w:color w:val="2F5496" w:themeColor="accent1" w:themeShade="BF"/>
    </w:rPr>
  </w:style>
  <w:style w:type="character" w:styleId="IntenseReference">
    <w:name w:val="Intense Reference"/>
    <w:basedOn w:val="DefaultParagraphFont"/>
    <w:uiPriority w:val="32"/>
    <w:qFormat/>
    <w:rsid w:val="00443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Mohammed Aasim</dc:creator>
  <cp:keywords/>
  <dc:description/>
  <cp:lastModifiedBy>Dr. Mohammed Aasim</cp:lastModifiedBy>
  <cp:revision>1</cp:revision>
  <dcterms:created xsi:type="dcterms:W3CDTF">2026-04-15T09:29:00Z</dcterms:created>
  <dcterms:modified xsi:type="dcterms:W3CDTF">2026-04-15T09:30:00Z</dcterms:modified>
</cp:coreProperties>
</file>