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20"/>
        <w:jc w:val="center"/>
      </w:pPr>
      <w:r>
        <w:rPr>
          <w:rFonts w:ascii="Calibri" w:cs="Calibri" w:eastAsia="Calibri" w:hAnsi="Calibri"/>
          <w:b/>
          <w:bCs/>
          <w:color w:val="C8A35B"/>
          <w:spacing w:val="60"/>
          <w:sz w:val="44"/>
          <w:szCs w:val="44"/>
        </w:rPr>
        <w:t xml:space="preserve">BOOGIES ICE CREAM</w:t>
      </w:r>
    </w:p>
    <w:p>
      <w:pPr>
        <w:spacing w:after="300"/>
        <w:jc w:val="center"/>
      </w:pPr>
      <w:r>
        <w:rPr>
          <w:rFonts w:ascii="Calibri" w:cs="Calibri" w:eastAsia="Calibri" w:hAnsi="Calibri"/>
          <w:color w:val="555555"/>
          <w:spacing w:val="80"/>
          <w:sz w:val="20"/>
          <w:szCs w:val="20"/>
        </w:rPr>
        <w:t xml:space="preserve">MANUFACTURER  ·  DISTRIBUTOR ACQUISITION</w:t>
      </w:r>
    </w:p>
    <w:p>
      <w:pPr>
        <w:spacing w:after="80"/>
        <w:jc w:val="center"/>
      </w:pPr>
      <w:r>
        <w:rPr>
          <w:rFonts w:ascii="Calibri" w:cs="Calibri" w:eastAsia="Calibri" w:hAnsi="Calibri"/>
          <w:b/>
          <w:bCs/>
          <w:color w:val="1A2B3C"/>
          <w:sz w:val="56"/>
          <w:szCs w:val="56"/>
        </w:rPr>
        <w:t xml:space="preserve">Website Sitemap</w:t>
      </w:r>
    </w:p>
    <w:p>
      <w:pPr>
        <w:spacing w:after="400"/>
        <w:jc w:val="center"/>
      </w:pPr>
      <w:r>
        <w:rPr>
          <w:rFonts w:ascii="Calibri" w:cs="Calibri" w:eastAsia="Calibri" w:hAnsi="Calibri"/>
          <w:color w:val="555555"/>
          <w:sz w:val="28"/>
          <w:szCs w:val="28"/>
        </w:rPr>
        <w:t xml:space="preserve">Strategy &amp;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What this document contains</w:t>
            </w:r>
          </w:p>
          <w:p>
            <w:pPr>
              <w:spacing w:after="40" w:before="40" w:line="280"/>
            </w:pPr>
            <w:r>
              <w:rPr>
                <w:rFonts w:ascii="Calibri" w:cs="Calibri" w:eastAsia="Calibri" w:hAnsi="Calibri"/>
                <w:color w:val="1A1A1A"/>
                <w:sz w:val="21"/>
                <w:szCs w:val="21"/>
              </w:rPr>
              <w:t xml:space="preserve">The complete architectural record for the Boogies Ice Cream website rebuild: the five sealed decisions that govern the structure, the four build steps that produced it, and the full page inventory with rationale for every page.</w:t>
            </w:r>
          </w:p>
          <w:p>
            <w:pPr>
              <w:spacing w:after="40" w:before="40" w:line="280"/>
            </w:pPr>
            <w:r>
              <w:rPr>
                <w:rFonts w:ascii="Calibri" w:cs="Calibri" w:eastAsia="Calibri" w:hAnsi="Calibri"/>
                <w:color w:val="1A1A1A"/>
                <w:sz w:val="21"/>
                <w:szCs w:val="21"/>
              </w:rPr>
              <w:t xml:space="preserve">It is the reference for any future question beginning 'why' — why this CTA, why this page, why this URL. The paired CSV answers questions beginning 'what'.</w:t>
            </w:r>
          </w:p>
        </w:tc>
      </w:tr>
    </w:tbl>
    <w:p>
      <w:pPr>
        <w:spacing w:after="80" w:before="80"/>
      </w:pPr>
      <w:r>
        <w:t xml:space="preserve"/>
      </w:r>
    </w:p>
    <w:p>
      <w:pPr>
        <w:spacing w:after="80" w:before="80"/>
      </w:pPr>
      <w:r>
        <w:t xml:space="preserve"/>
      </w:r>
    </w:p>
    <w:p>
      <w:pPr>
        <w:spacing w:after="80" w:before="80" w:line="300"/>
        <w:jc w:val="center"/>
      </w:pPr>
      <w:r>
        <w:rPr>
          <w:rFonts w:ascii="Calibri" w:cs="Calibri" w:eastAsia="Calibri" w:hAnsi="Calibri"/>
          <w:color w:val="555555"/>
          <w:sz w:val="22"/>
          <w:szCs w:val="22"/>
        </w:rPr>
        <w:t xml:space="preserve">Prepared for:  Boogies Ice Cream — Icehome Foods Private Limited (Kerala) · Mountbell Foods Private Limited (Tamil Nadu)</w:t>
      </w:r>
    </w:p>
    <w:p>
      <w:pPr>
        <w:spacing w:after="80" w:before="80" w:line="300"/>
        <w:jc w:val="center"/>
      </w:pPr>
      <w:r>
        <w:rPr>
          <w:rFonts w:ascii="Calibri" w:cs="Calibri" w:eastAsia="Calibri" w:hAnsi="Calibri"/>
          <w:color w:val="555555"/>
          <w:sz w:val="22"/>
          <w:szCs w:val="22"/>
        </w:rPr>
        <w:t xml:space="preserve">Prepared by:  Growthmak</w:t>
      </w:r>
    </w:p>
    <w:p>
      <w:pPr>
        <w:spacing w:after="80" w:before="80" w:line="300"/>
        <w:jc w:val="center"/>
      </w:pPr>
      <w:r>
        <w:rPr>
          <w:rFonts w:ascii="Calibri" w:cs="Calibri" w:eastAsia="Calibri" w:hAnsi="Calibri"/>
          <w:color w:val="555555"/>
          <w:sz w:val="22"/>
          <w:szCs w:val="22"/>
        </w:rPr>
        <w:t xml:space="preserve">Version 1.0  ·  17 August 2026</w:t>
      </w:r>
    </w:p>
    <w:p>
      <w:pPr>
        <w:spacing w:after="80" w:before="80" w:line="300"/>
        <w:jc w:val="center"/>
      </w:pPr>
      <w:r>
        <w:rPr>
          <w:rFonts w:ascii="Calibri" w:cs="Calibri" w:eastAsia="Calibri" w:hAnsi="Calibri"/>
          <w:i/>
          <w:iCs/>
          <w:color w:val="555555"/>
          <w:sz w:val="22"/>
          <w:szCs w:val="22"/>
        </w:rPr>
        <w:t xml:space="preserve">Phase 4 of 4  ·  Supersedes nothing. First issue.</w:t>
      </w:r>
    </w:p>
    <w:p>
      <w:pPr>
        <w:pStyle w:val="Heading1"/>
        <w:pageBreakBefore/>
        <w:spacing w:after="200" w:before="480"/>
      </w:pPr>
      <w:r>
        <w:rPr>
          <w:rFonts w:ascii="Calibri" w:cs="Calibri" w:eastAsia="Calibri" w:hAnsi="Calibri"/>
          <w:b/>
          <w:bCs/>
          <w:color w:val="1A2B3C"/>
          <w:sz w:val="36"/>
          <w:szCs w:val="36"/>
        </w:rPr>
        <w:t xml:space="preserve">Executive Summary</w:t>
      </w:r>
    </w:p>
    <w:p>
      <w:pPr>
        <w:spacing w:after="80" w:before="80" w:line="300"/>
      </w:pPr>
      <w:r>
        <w:rPr>
          <w:rFonts w:ascii="Calibri" w:cs="Calibri" w:eastAsia="Calibri" w:hAnsi="Calibri"/>
          <w:color w:val="1A1A1A"/>
          <w:sz w:val="22"/>
          <w:szCs w:val="22"/>
        </w:rPr>
        <w:t xml:space="preserve">Boogies has a real business with no argument attached to it. The company holds the strongest verified third-party trust record of any manufacturer in its category, a catalogue broad enough to fill a freezer from one relationship, a published price ladder that nearly doubles from entry to top band, more than a decade of unadvertised repeat demand across seventeen towns, and the ability to supply the vans and freezers a partner needs to start. Every one of those is something a distributor would act on. None of them is currently published as an argument to a distributor anywhere.</w:t>
      </w:r>
    </w:p>
    <w:p>
      <w:pPr>
        <w:spacing w:after="80" w:before="80" w:line="300"/>
      </w:pPr>
      <w:r>
        <w:rPr>
          <w:rFonts w:ascii="Calibri" w:cs="Calibri" w:eastAsia="Calibri" w:hAnsi="Calibri"/>
          <w:color w:val="1A1A1A"/>
          <w:sz w:val="22"/>
          <w:szCs w:val="22"/>
        </w:rPr>
        <w:t xml:space="preserve">This sitemap converts proof the company already owns into a case a prospective distributor can check — in a category where, verified live across every significant competitor, not one manufacturer publishes a margin position, a territory policy, a freezer term or a replacement policy. The architecture is built to occupy that space before somebody else does.</w:t>
      </w:r>
    </w:p>
    <w:p>
      <w:pPr>
        <w:pStyle w:val="Heading2"/>
        <w:spacing w:after="140" w:before="320"/>
      </w:pPr>
      <w:r>
        <w:rPr>
          <w:rFonts w:ascii="Calibri" w:cs="Calibri" w:eastAsia="Calibri" w:hAnsi="Calibri"/>
          <w:b/>
          <w:bCs/>
          <w:color w:val="1A2B3C"/>
          <w:sz w:val="28"/>
          <w:szCs w:val="28"/>
        </w:rPr>
        <w:t xml:space="preserve">The five sealed decisions</w:t>
      </w:r>
    </w:p>
    <w:p>
      <w:pPr>
        <w:pStyle w:val="ListParagraph"/>
        <w:numPr>
          <w:ilvl w:val="0"/>
          <w:numId w:val="2"/>
        </w:numPr>
        <w:spacing w:after="40" w:before="40" w:line="280"/>
      </w:pPr>
      <w:r>
        <w:rPr>
          <w:rFonts w:ascii="Calibri" w:cs="Calibri" w:eastAsia="Calibri" w:hAnsi="Calibri"/>
          <w:color w:val="1A1A1A"/>
          <w:sz w:val="22"/>
          <w:szCs w:val="22"/>
        </w:rPr>
        <w:t xml:space="preserve">CTA hierarchy — dual primary: "Check if your territory is open" for the distributor journey, "Partner with Boogies" as the universal five-way router. The territory question is one Boogies answers, reversing the category norm of asking the prospect to disclose first.</w:t>
      </w:r>
    </w:p>
    <w:p>
      <w:pPr>
        <w:pStyle w:val="ListParagraph"/>
        <w:numPr>
          <w:ilvl w:val="0"/>
          <w:numId w:val="2"/>
        </w:numPr>
        <w:spacing w:after="40" w:before="40" w:line="280"/>
      </w:pPr>
      <w:r>
        <w:rPr>
          <w:rFonts w:ascii="Calibri" w:cs="Calibri" w:eastAsia="Calibri" w:hAnsi="Calibri"/>
          <w:color w:val="1A1A1A"/>
          <w:sz w:val="22"/>
          <w:szCs w:val="22"/>
        </w:rPr>
        <w:t xml:space="preserve">User intent tiers — sixteen intents across eight audience groups, tiered four ways. Five mission-critical intents form the spine; seven earn dedicated pages; four are accommodated as sub-sections; six URL slots are reserved for deferred intents.</w:t>
      </w:r>
    </w:p>
    <w:p>
      <w:pPr>
        <w:pStyle w:val="ListParagraph"/>
        <w:numPr>
          <w:ilvl w:val="0"/>
          <w:numId w:val="2"/>
        </w:numPr>
        <w:spacing w:after="40" w:before="40" w:line="280"/>
      </w:pPr>
      <w:r>
        <w:rPr>
          <w:rFonts w:ascii="Calibri" w:cs="Calibri" w:eastAsia="Calibri" w:hAnsi="Calibri"/>
          <w:color w:val="1A1A1A"/>
          <w:sz w:val="22"/>
          <w:szCs w:val="22"/>
        </w:rPr>
        <w:t xml:space="preserve">Offering hierarchy — three layers (the Core, the Bridge, the Commercial Surface) mapped to six top-level navigation slots, with the distributor proposition built as a section with its own hierarchy rather than as a single page.</w:t>
      </w:r>
    </w:p>
    <w:p>
      <w:pPr>
        <w:pStyle w:val="ListParagraph"/>
        <w:numPr>
          <w:ilvl w:val="0"/>
          <w:numId w:val="2"/>
        </w:numPr>
        <w:spacing w:after="40" w:before="40" w:line="280"/>
      </w:pPr>
      <w:r>
        <w:rPr>
          <w:rFonts w:ascii="Calibri" w:cs="Calibri" w:eastAsia="Calibri" w:hAnsi="Calibri"/>
          <w:color w:val="1A1A1A"/>
          <w:sz w:val="22"/>
          <w:szCs w:val="22"/>
        </w:rPr>
        <w:t xml:space="preserve">CMS capability brief — twenty-four platform-independent capabilities across content management, visitor interaction and operational control, delivered on a headless stack with Sanity as the content layer.</w:t>
      </w:r>
    </w:p>
    <w:p>
      <w:pPr>
        <w:pStyle w:val="ListParagraph"/>
        <w:numPr>
          <w:ilvl w:val="0"/>
          <w:numId w:val="2"/>
        </w:numPr>
        <w:spacing w:after="40" w:before="40" w:line="280"/>
      </w:pPr>
      <w:r>
        <w:rPr>
          <w:rFonts w:ascii="Calibri" w:cs="Calibri" w:eastAsia="Calibri" w:hAnsi="Calibri"/>
          <w:color w:val="1A1A1A"/>
          <w:sz w:val="22"/>
          <w:szCs w:val="22"/>
        </w:rPr>
        <w:t xml:space="preserve">Integration architecture — fourteen mapped flows centred on a progressive two-step form writing to Zoho CRM with entity-based routing, underwritten by WhatsApp Business API acknowledgement and a four-hour escalation rule.</w:t>
      </w:r>
    </w:p>
    <w:p>
      <w:pPr>
        <w:pStyle w:val="Heading2"/>
        <w:spacing w:after="140" w:before="320"/>
      </w:pPr>
      <w:r>
        <w:rPr>
          <w:rFonts w:ascii="Calibri" w:cs="Calibri" w:eastAsia="Calibri" w:hAnsi="Calibri"/>
          <w:b/>
          <w:bCs/>
          <w:color w:val="1A2B3C"/>
          <w:sz w:val="28"/>
          <w:szCs w:val="28"/>
        </w:rPr>
        <w:t xml:space="preserve">The four build steps</w:t>
      </w:r>
    </w:p>
    <w:p>
      <w:pPr>
        <w:pStyle w:val="ListParagraph"/>
        <w:numPr>
          <w:ilvl w:val="0"/>
          <w:numId w:val="2"/>
        </w:numPr>
        <w:spacing w:after="40" w:before="40" w:line="280"/>
      </w:pPr>
      <w:r>
        <w:rPr>
          <w:rFonts w:ascii="Calibri" w:cs="Calibri" w:eastAsia="Calibri" w:hAnsi="Calibri"/>
          <w:color w:val="1A1A1A"/>
          <w:sz w:val="22"/>
          <w:szCs w:val="22"/>
        </w:rPr>
        <w:t xml:space="preserve">Competitor site structure analysis — six competitor properties mapped live, producing seven recurring structural patterns, twelve encoded recommendations, and two material corrections to the prior competitive research.</w:t>
      </w:r>
    </w:p>
    <w:p>
      <w:pPr>
        <w:pStyle w:val="ListParagraph"/>
        <w:numPr>
          <w:ilvl w:val="0"/>
          <w:numId w:val="2"/>
        </w:numPr>
        <w:spacing w:after="40" w:before="40" w:line="280"/>
      </w:pPr>
      <w:r>
        <w:rPr>
          <w:rFonts w:ascii="Calibri" w:cs="Calibri" w:eastAsia="Calibri" w:hAnsi="Calibri"/>
          <w:color w:val="1A1A1A"/>
          <w:sz w:val="22"/>
          <w:szCs w:val="22"/>
        </w:rPr>
        <w:t xml:space="preserve">User flow modelling — ten flows traced end to end, five critical conversion transitions identified with required design behaviours, and eight emergent architectural requirements.</w:t>
      </w:r>
    </w:p>
    <w:p>
      <w:pPr>
        <w:pStyle w:val="ListParagraph"/>
        <w:numPr>
          <w:ilvl w:val="0"/>
          <w:numId w:val="2"/>
        </w:numPr>
        <w:spacing w:after="40" w:before="40" w:line="280"/>
      </w:pPr>
      <w:r>
        <w:rPr>
          <w:rFonts w:ascii="Calibri" w:cs="Calibri" w:eastAsia="Calibri" w:hAnsi="Calibri"/>
          <w:color w:val="1A1A1A"/>
          <w:sz w:val="22"/>
          <w:szCs w:val="22"/>
        </w:rPr>
        <w:t xml:space="preserve">Dynamic routing and content structuring — the complete URL map, slug and convention rules, canonical policy, a sixteen-rule redirect map from the legacy site, edge-case handling and the rendering decision.</w:t>
      </w:r>
    </w:p>
    <w:p>
      <w:pPr>
        <w:pStyle w:val="ListParagraph"/>
        <w:numPr>
          <w:ilvl w:val="0"/>
          <w:numId w:val="2"/>
        </w:numPr>
        <w:spacing w:after="40" w:before="40" w:line="280"/>
      </w:pPr>
      <w:r>
        <w:rPr>
          <w:rFonts w:ascii="Calibri" w:cs="Calibri" w:eastAsia="Calibri" w:hAnsi="Calibri"/>
          <w:color w:val="1A1A1A"/>
          <w:sz w:val="22"/>
          <w:szCs w:val="22"/>
        </w:rPr>
        <w:t xml:space="preserve">Internal linking strategy — five link categories, per-template link contracts across ten templates, anchor text policy, related-content logic and publish-blocking hygiene guardrails.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How to read this document</w:t>
            </w:r>
          </w:p>
          <w:p>
            <w:pPr>
              <w:spacing w:after="40" w:before="40" w:line="280"/>
            </w:pPr>
            <w:r>
              <w:rPr>
                <w:rFonts w:ascii="Calibri" w:cs="Calibri" w:eastAsia="Calibri" w:hAnsi="Calibri"/>
                <w:color w:val="1A1A1A"/>
                <w:sz w:val="21"/>
                <w:szCs w:val="21"/>
              </w:rPr>
              <w:t xml:space="preserve">Part One records the foundational context and the five sealed decisions, each with the tensions that were surfaced and how they were resolved.</w:t>
            </w:r>
          </w:p>
          <w:p>
            <w:pPr>
              <w:spacing w:after="40" w:before="40" w:line="280"/>
            </w:pPr>
            <w:r>
              <w:rPr>
                <w:rFonts w:ascii="Calibri" w:cs="Calibri" w:eastAsia="Calibri" w:hAnsi="Calibri"/>
                <w:color w:val="1A1A1A"/>
                <w:sz w:val="21"/>
                <w:szCs w:val="21"/>
              </w:rPr>
              <w:t xml:space="preserve">Part Two records the four build steps and the evidence behind them.</w:t>
            </w:r>
          </w:p>
          <w:p>
            <w:pPr>
              <w:spacing w:after="40" w:before="40" w:line="280"/>
            </w:pPr>
            <w:r>
              <w:rPr>
                <w:rFonts w:ascii="Calibri" w:cs="Calibri" w:eastAsia="Calibri" w:hAnsi="Calibri"/>
                <w:color w:val="1A1A1A"/>
                <w:sz w:val="21"/>
                <w:szCs w:val="21"/>
              </w:rPr>
              <w:t xml:space="preserve">Part Three is the final sitemap: navigation, complete page inventory, and a guide to reading the CSV.</w:t>
            </w:r>
          </w:p>
          <w:p>
            <w:pPr>
              <w:spacing w:after="40" w:before="40" w:line="280"/>
            </w:pPr>
            <w:r>
              <w:rPr>
                <w:rFonts w:ascii="Calibri" w:cs="Calibri" w:eastAsia="Calibri" w:hAnsi="Calibri"/>
                <w:color w:val="1A1A1A"/>
                <w:sz w:val="21"/>
                <w:szCs w:val="21"/>
              </w:rPr>
              <w:t xml:space="preserve">The paired CSV — boogies-ice-cream-sitemap.csv — carries 40 pages across 275 section rows and is designed to be used without this document open alongside it.</w:t>
            </w:r>
          </w:p>
        </w:tc>
      </w:tr>
    </w:tbl>
    <w:p>
      <w:pPr>
        <w:pStyle w:val="Heading1"/>
        <w:pageBreakBefore/>
        <w:spacing w:after="200" w:before="480"/>
      </w:pPr>
      <w:r>
        <w:rPr>
          <w:rFonts w:ascii="Calibri" w:cs="Calibri" w:eastAsia="Calibri" w:hAnsi="Calibri"/>
          <w:b/>
          <w:bCs/>
          <w:color w:val="1A2B3C"/>
          <w:sz w:val="36"/>
          <w:szCs w:val="36"/>
        </w:rPr>
        <w:t xml:space="preserve">Part One — Foundational Context &amp; The Five Sealed Decisions</w:t>
      </w:r>
    </w:p>
    <w:p>
      <w:pPr>
        <w:pStyle w:val="Heading2"/>
        <w:spacing w:after="140" w:before="320"/>
      </w:pPr>
      <w:r>
        <w:rPr>
          <w:rFonts w:ascii="Calibri" w:cs="Calibri" w:eastAsia="Calibri" w:hAnsi="Calibri"/>
          <w:b/>
          <w:bCs/>
          <w:color w:val="1A2B3C"/>
          <w:sz w:val="28"/>
          <w:szCs w:val="28"/>
        </w:rPr>
        <w:t xml:space="preserve">1.1  The business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Dimension</w:t>
            </w:r>
          </w:p>
        </w:tc>
        <w:tc>
          <w:tcPr>
            <w:tcW w:type="dxa" w:w="71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Position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Business</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Ice cream manufacturer operating across Kerala and Tamil Nadu through two separate private limited companies under one brand.</w:t>
            </w:r>
          </w:p>
        </w:tc>
      </w:tr>
      <w:tr>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w:t>
            </w:r>
          </w:p>
        </w:tc>
        <w:tc>
          <w:tcPr>
            <w:tcW w:type="dxa" w:w="7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Kannamangalam, Malappuram district. Classified by Google as a manufacturer and listed as open 24 hours.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Catalogue</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Claimed 152 products spanning carry homes, paper packs, bulk and party packs, novelties, a natural sub-brand, plus non-ice-cream lines including vans, cones and ghee.</w:t>
            </w:r>
          </w:p>
        </w:tc>
      </w:tr>
      <w:tr>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Price ladder</w:t>
            </w:r>
          </w:p>
        </w:tc>
        <w:tc>
          <w:tcPr>
            <w:tcW w:type="dxa" w:w="7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Published bulk list spanning 36 lines from entry to top band, with fifteen lines in the upper band — roughly 42 per cent of the bulk catalogue.</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Footprint</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Seventeen named towns across two states, published as unstructured text with no addresses, no map and no locator.</w:t>
            </w:r>
          </w:p>
        </w:tc>
      </w:tr>
      <w:tr>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Trust position</w:t>
            </w:r>
          </w:p>
        </w:tc>
        <w:tc>
          <w:tcPr>
            <w:tcW w:type="dxa" w:w="7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highest-rated manufacturer listing in the competitive set on the joint-highest review volume, with reviews describing plant tours.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Current website</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Seven pages on WordPress, substantively unchanged since 2023. No locator, no specifications, no credentials, no analytics, no schema. One radio button constitutes the entire distributor proposition.</w:t>
            </w:r>
          </w:p>
        </w:tc>
      </w:tr>
    </w:tbl>
    <w:p>
      <w:pPr>
        <w:pStyle w:val="Heading2"/>
        <w:spacing w:after="140" w:before="320"/>
      </w:pPr>
      <w:r>
        <w:rPr>
          <w:rFonts w:ascii="Calibri" w:cs="Calibri" w:eastAsia="Calibri" w:hAnsi="Calibri"/>
          <w:b/>
          <w:bCs/>
          <w:color w:val="1A2B3C"/>
          <w:sz w:val="28"/>
          <w:szCs w:val="28"/>
        </w:rPr>
        <w:t xml:space="preserve">1.2  The audiences the architecture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Audience</w:t>
            </w:r>
          </w:p>
        </w:tc>
        <w:tc>
          <w:tcPr>
            <w:tcW w:type="dxa" w:w="3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Decision character</w:t>
            </w:r>
          </w:p>
        </w:tc>
        <w:tc>
          <w:tcPr>
            <w:tcW w:type="dxa" w:w="40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What the site must give them</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Territory distributor — the portfolio adder</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Runs an existing distribution firm. Decides over weeks, consults family and partners, wants to see the plant before committing. Calculates rupees per unit moved, not margin percentage.</w:t>
            </w:r>
          </w:p>
        </w:tc>
        <w:tc>
          <w:tcPr>
            <w:tcW w:type="dxa" w:w="4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Sell-through evidence, the tier ladder in absolute terms, written territory security, a forwardable pack.</w:t>
            </w:r>
          </w:p>
        </w:tc>
      </w:tr>
      <w:tr>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Territory distributor — the returning-capital operator</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 with a lump sum, no route infrastructure. Decides in days to weeks, largely alone. Deploying finite capital with no second chance.</w:t>
            </w:r>
          </w:p>
        </w:tc>
        <w:tc>
          <w:tcPr>
            <w:tcW w:type="dxa" w:w="40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 plain monthly earnings picture, van and freezer terms, and a plant he can inspect this week.</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Retailer / Tasty Point</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Decides in a single conversation. Wants a freezer, a workable margin, reliable delivery and no argument on melted stock.</w:t>
            </w:r>
          </w:p>
        </w:tc>
        <w:tc>
          <w:tcPr>
            <w:tcW w:type="dxa" w:w="4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 short, practical route — never a distributor-length page.</w:t>
            </w:r>
          </w:p>
        </w:tc>
      </w:tr>
      <w:tr>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Van operator</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Limited capital, willing to run the route himself. Fails the distributor filter by design.</w:t>
            </w:r>
          </w:p>
        </w:tc>
        <w:tc>
          <w:tcPr>
            <w:tcW w:type="dxa" w:w="40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 earnings model and a visible path upward, so the filter routes rather than rejects.</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Franchisee</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Wants an outlet and a line competitors cannot stock.</w:t>
            </w:r>
          </w:p>
        </w:tc>
        <w:tc>
          <w:tcPr>
            <w:tcW w:type="dxa" w:w="4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Format, economics, support model and an enquiry route that does not currently exist.</w:t>
            </w:r>
          </w:p>
        </w:tc>
      </w:tr>
      <w:tr>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Consumer</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Supporting, not target. Cannot buy direct.</w:t>
            </w:r>
          </w:p>
        </w:tc>
        <w:tc>
          <w:tcPr>
            <w:tcW w:type="dxa" w:w="40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Outlet discovery and a brand that looks alive — because the consumer layer is itself part of the distributor's assessment.</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Gatekeeper</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 family member or business partner checking legitimacy before capital moves.</w:t>
            </w:r>
          </w:p>
        </w:tc>
        <w:tc>
          <w:tcPr>
            <w:tcW w:type="dxa" w:w="4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Credentials, entity transparency and third-party proof, findable without being addressed directly.</w:t>
            </w:r>
          </w:p>
        </w:tc>
      </w:tr>
    </w:tbl>
    <w:p>
      <w:pPr>
        <w:pStyle w:val="Heading2"/>
        <w:spacing w:after="140" w:before="320"/>
      </w:pPr>
      <w:r>
        <w:rPr>
          <w:rFonts w:ascii="Calibri" w:cs="Calibri" w:eastAsia="Calibri" w:hAnsi="Calibri"/>
          <w:b/>
          <w:bCs/>
          <w:color w:val="1A2B3C"/>
          <w:sz w:val="28"/>
          <w:szCs w:val="28"/>
        </w:rPr>
        <w:t xml:space="preserve">1.3  The belief chain</w:t>
      </w:r>
    </w:p>
    <w:p>
      <w:pPr>
        <w:spacing w:after="80" w:before="80" w:line="300"/>
      </w:pPr>
      <w:r>
        <w:rPr>
          <w:rFonts w:ascii="Calibri" w:cs="Calibri" w:eastAsia="Calibri" w:hAnsi="Calibri"/>
          <w:color w:val="1A1A1A"/>
          <w:sz w:val="22"/>
          <w:szCs w:val="22"/>
        </w:rPr>
        <w:t xml:space="preserve">A distributor enquiry is the end of a reasoning process, not the start of one. Six beliefs must be established before a serious prospect makes contact, and they are ordered — a prospect who does not believe the product sells never reaches the margin question. This ordering is the single most important structural constraint in the document, because most manufacturer sites reverse it and lead with company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4160"/>
        <w:gridCol w:w="2000"/>
      </w:tblGrid>
      <w:tr>
        <w:trPr>
          <w:tblHeader/>
        </w:trPr>
        <w:tc>
          <w:tcPr>
            <w:tcW w:type="dxa" w:w="5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t>
            </w:r>
          </w:p>
        </w:tc>
        <w:tc>
          <w:tcPr>
            <w:tcW w:type="dxa" w:w="27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The belief</w:t>
            </w:r>
          </w:p>
        </w:tc>
        <w:tc>
          <w:tcPr>
            <w:tcW w:type="dxa" w:w="41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Where it lives in this architecture</w:t>
            </w:r>
          </w:p>
        </w:tc>
        <w:tc>
          <w:tcPr>
            <w:tcW w:type="dxa" w:w="20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Status</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This product actually sells</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/partners/distributor/evidence  +  /find-boogies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Evidence exists — unpublished</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margin beats what I carry now</w:t>
            </w:r>
          </w:p>
        </w:tc>
        <w:tc>
          <w:tcPr>
            <w:tcW w:type="dxa" w:w="4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/partners/distributor/economics</w:t>
            </w:r>
          </w:p>
        </w:tc>
        <w:tc>
          <w:tcPr>
            <w:tcW w:type="dxa" w:w="2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Blocked — client commercial decision</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quality will not fail on me</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  +  /plant/credentials</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Partial — reviews exist, credentials do not</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My territory is protected</w:t>
            </w:r>
          </w:p>
        </w:tc>
        <w:tc>
          <w:tcPr>
            <w:tcW w:type="dxa" w:w="4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/partners/distributor/territory</w:t>
            </w:r>
          </w:p>
        </w:tc>
        <w:tc>
          <w:tcPr>
            <w:tcW w:type="dxa" w:w="2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Blocked — client commercial decision</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5</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company will support me</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/partners/distributor/support</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Exists — unstated</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6</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This company will exist in five years</w:t>
            </w:r>
          </w:p>
        </w:tc>
        <w:tc>
          <w:tcPr>
            <w:tcW w:type="dxa" w:w="4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/company</w:t>
            </w:r>
          </w:p>
        </w:tc>
        <w:tc>
          <w:tcPr>
            <w:tcW w:type="dxa" w:w="2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Exists — unpublished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The critical strategic problem</w:t>
            </w:r>
          </w:p>
          <w:p>
            <w:pPr>
              <w:spacing w:after="40" w:before="40" w:line="280"/>
            </w:pPr>
            <w:r>
              <w:rPr>
                <w:rFonts w:ascii="Calibri" w:cs="Calibri" w:eastAsia="Calibri" w:hAnsi="Calibri"/>
                <w:color w:val="1A1A1A"/>
                <w:sz w:val="21"/>
                <w:szCs w:val="21"/>
              </w:rPr>
              <w:t xml:space="preserve">Boogies has a real business with no argument attached to it.</w:t>
            </w:r>
          </w:p>
          <w:p>
            <w:pPr>
              <w:spacing w:after="40" w:before="40" w:line="280"/>
            </w:pPr>
            <w:r>
              <w:rPr>
                <w:rFonts w:ascii="Calibri" w:cs="Calibri" w:eastAsia="Calibri" w:hAnsi="Calibri"/>
                <w:color w:val="1A1A1A"/>
                <w:sz w:val="21"/>
                <w:szCs w:val="21"/>
              </w:rPr>
              <w:t xml:space="preserve">The company owns proof a distributor would act on — a verified trust record, catalogue depth, a genuine premium ladder, unadvertised repeat demand across seventeen towns, and the capacity to supply vans and freezers. None of it is published as a commercial argument.</w:t>
            </w:r>
          </w:p>
          <w:p>
            <w:pPr>
              <w:spacing w:after="40" w:before="40" w:line="280"/>
            </w:pPr>
            <w:r>
              <w:rPr>
                <w:rFonts w:ascii="Calibri" w:cs="Calibri" w:eastAsia="Calibri" w:hAnsi="Calibri"/>
                <w:color w:val="1A1A1A"/>
                <w:sz w:val="21"/>
                <w:szCs w:val="21"/>
              </w:rPr>
              <w:t xml:space="preserve">Worse, the one asset that IS published — the twelve-years-without-advertising story, encoded as a formal core value on the current About page — reads to a distributor as an absence of consumer pull, which is precisely the risk he is being asked to underwrite.</w:t>
            </w:r>
          </w:p>
          <w:p>
            <w:pPr>
              <w:spacing w:after="40" w:before="40" w:line="280"/>
            </w:pPr>
            <w:r>
              <w:rPr>
                <w:rFonts w:ascii="Calibri" w:cs="Calibri" w:eastAsia="Calibri" w:hAnsi="Calibri"/>
                <w:color w:val="1A1A1A"/>
                <w:sz w:val="21"/>
                <w:szCs w:val="21"/>
              </w:rPr>
              <w:t xml:space="preserve">The website's job is to convert proof the company already owns into a case a distributor can check, and to reframe the no-advertising history from a warning sign into the reason the territory is still available.</w:t>
            </w:r>
          </w:p>
        </w:tc>
      </w:tr>
    </w:tbl>
    <w:p>
      <w:pPr>
        <w:spacing w:after="80" w:before="80"/>
      </w:pPr>
      <w:r>
        <w:t xml:space="preserve"/>
      </w:r>
    </w:p>
    <w:p>
      <w:pPr>
        <w:spacing w:after="80" w:before="80" w:line="300"/>
      </w:pPr>
      <w:r>
        <w:rPr>
          <w:rFonts w:ascii="Calibri" w:cs="Calibri" w:eastAsia="Calibri" w:hAnsi="Calibri"/>
          <w:i/>
          <w:iCs/>
          <w:color w:val="1A1A1A"/>
          <w:sz w:val="22"/>
          <w:szCs w:val="22"/>
        </w:rPr>
        <w:t xml:space="preserve">Two items are carried forward as explicit assumptions rather than facts. First, the founding-date discrepancy: the current site claims twelve years while the Kerala entity's GST registration dates to 2017. This must be reconciled before any "since" or "years in business" claim is published, because a distributor performing due diligence will check it. Second, beliefs 2 and 4 — margin and territory — are commercial policy rather than content. No amount of architecture substitutes for them, and the pages that carry them ship with structure rather than numbers if the client does not supply figures.</w:t>
      </w:r>
    </w:p>
    <w:p>
      <w:pPr>
        <w:pStyle w:val="Heading2"/>
        <w:spacing w:after="140" w:before="320"/>
      </w:pPr>
      <w:r>
        <w:rPr>
          <w:rFonts w:ascii="Calibri" w:cs="Calibri" w:eastAsia="Calibri" w:hAnsi="Calibri"/>
          <w:b/>
          <w:bCs/>
          <w:color w:val="1A2B3C"/>
          <w:sz w:val="28"/>
          <w:szCs w:val="28"/>
        </w:rPr>
        <w:t xml:space="preserve">1.4  Decision 1 — CTA Hierarchy</w:t>
      </w:r>
    </w:p>
    <w:p>
      <w:pPr>
        <w:spacing w:after="80" w:before="80" w:line="300"/>
      </w:pPr>
      <w:r>
        <w:rPr>
          <w:rFonts w:ascii="Calibri" w:cs="Calibri" w:eastAsia="Calibri" w:hAnsi="Calibri"/>
          <w:color w:val="1A1A1A"/>
          <w:sz w:val="22"/>
          <w:szCs w:val="22"/>
        </w:rPr>
        <w:t xml:space="preserve">The governing insight came from mapping the category's best distributor page live: it asks the prospect to disclose his investment capacity while disclosing none of its own commercial terms. The prospect is asked to go first on every question that matters. Every CTA below is built to reverse that — Boogies answers first, then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Element</w:t>
            </w:r>
          </w:p>
        </w:tc>
        <w:tc>
          <w:tcPr>
            <w:tcW w:type="dxa" w:w="27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Decision</w:t>
            </w:r>
          </w:p>
        </w:tc>
        <w:tc>
          <w:tcPr>
            <w:tcW w:type="dxa" w:w="51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Reasoning</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Primary CTA A</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Check if your territory is open</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Captures the single most important qualification field — named district or town — as the opening move, and does so as a question Boogies answers rather than one the prospect answers. No competitor can copy it without publishing a territory position.</w:t>
            </w:r>
          </w:p>
        </w:tc>
      </w:tr>
      <w:tr>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Primary CTA B</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 with Boogies (five-way router)</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Territory is meaningless to a retailer, franchisee, van operator or bulk buyer. Non-distributor surfaces need a universal entry that sorts rather than sells.</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Secondary — proof</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Book a plant visit — pick a day this month</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Answers beliefs 3 and 6. Deliberately not primary: a cold prospect will not book a visit, so this is a mid-funnel conversion by design.</w:t>
            </w:r>
          </w:p>
        </w:tc>
      </w:tr>
      <w:tr>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Secondary — product</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Request the trade pack</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current catalogue publishes no weights, shelf life, case packs or MOQs. The pack is the trade-buyer artifact.</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Secondary — retailer</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Stock Boogies in your shop</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Separate journey, separate qualification, separate decision cycle.</w:t>
            </w:r>
          </w:p>
        </w:tc>
      </w:tr>
      <w:tr>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Secondary — franchise</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Enquire about a Boogie Woogie franchise</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exclusivity claim is live on the current site with no enquiry route behind it.</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Secondary — van</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See what a van route earns</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returning-capital archetype needs the earnings picture before the ask.</w:t>
            </w:r>
          </w:p>
        </w:tc>
      </w:tr>
      <w:tr>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Secondary — locator</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 Tasty Point near you? Become one.</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Converts a failed locator search into a retailer lead instead of a dead end.</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Tertiary</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Pinned WhatsApp · click-to-call · visible email · read the reviews · send this page to your partner</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WhatsApp is the default trade channel in this market. The forward action exists because the portfolio-adder archetype decides with family and business partners.</w:t>
            </w:r>
          </w:p>
        </w:tc>
      </w:tr>
      <w:tr>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Lead magnet</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12 Questions to Ask Any Ice Cream Manufacturer Before You Sign — and our answers to all twelve</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most defensible competitive asset available: competitors cannot answer it without changing policy. Doubles as the trade-intent search entry.</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Form architecture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Hybrid — progressive two-step form plus visible email, phone and WhatsApp on every commercial surface</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relationship-driven archetype bypasses forms entirely. A form-only site loses him.</w:t>
            </w:r>
          </w:p>
        </w:tc>
      </w:tr>
      <w:tr>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Response commitment</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24 hours, published</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Matches the only competitor in the category making a public commitment — and is underwritten by automation rather than intention.</w:t>
            </w:r>
          </w:p>
        </w:tc>
      </w:tr>
    </w:tbl>
    <w:p>
      <w:pPr>
        <w:pStyle w:val="Heading3"/>
        <w:spacing w:after="100" w:before="240"/>
      </w:pPr>
      <w:r>
        <w:rPr>
          <w:rFonts w:ascii="Calibri" w:cs="Calibri" w:eastAsia="Calibri" w:hAnsi="Calibri"/>
          <w:b/>
          <w:bCs/>
          <w:color w:val="1A2B3C"/>
          <w:sz w:val="24"/>
          <w:szCs w:val="24"/>
        </w:rPr>
        <w:t xml:space="preserve">Tensions surfaced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Tension</w:t>
            </w:r>
          </w:p>
        </w:tc>
        <w:tc>
          <w:tcPr>
            <w:tcW w:type="dxa" w:w="3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Options</w:t>
            </w:r>
          </w:p>
        </w:tc>
        <w:tc>
          <w:tcPr>
            <w:tcW w:type="dxa" w:w="42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Resolution</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Single or dual primary CTA</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Single territory check · dual with router · conventional "Become a Distributor"</w:t>
            </w:r>
          </w:p>
        </w:tc>
        <w:tc>
          <w:tcPr>
            <w:tcW w:type="dxa" w:w="4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Dual. A single primary is cleaner but addresses only one of five commercial journeys; the conventional framing asks the prospect to commit before he has been told anything.</w:t>
            </w:r>
          </w:p>
        </w:tc>
      </w:tr>
      <w:tr>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Gating the twelve answers</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Fully gated · fully ungated · hybrid</w:t>
            </w:r>
          </w:p>
        </w:tc>
        <w:tc>
          <w:tcPr>
            <w:tcW w:type="dxa" w:w="42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Hybrid. All twelve answers ungated on-page; the downloadable pack light-gated on three fields. Gating the answers would replicate the exact flaw being attacked.</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Response-time promise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Same working day · 24 hours · none until an owner is named</w:t>
            </w:r>
          </w:p>
        </w:tc>
        <w:tc>
          <w:tcPr>
            <w:tcW w:type="dxa" w:w="4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24 hours published, same-day as the internal target. A promise the company cannot honour is worse than no promise, so the published figure carries deliberate buffer.</w:t>
            </w:r>
          </w:p>
        </w:tc>
      </w:tr>
    </w:tbl>
    <w:p>
      <w:pPr>
        <w:spacing w:after="80" w:before="80" w:line="300"/>
      </w:pPr>
      <w:r>
        <w:rPr>
          <w:rFonts w:ascii="Calibri" w:cs="Calibri" w:eastAsia="Calibri" w:hAnsi="Calibri"/>
          <w:i/>
          <w:iCs/>
          <w:color w:val="1A1A1A"/>
          <w:sz w:val="22"/>
          <w:szCs w:val="22"/>
        </w:rPr>
        <w:t xml:space="preserve">One dependency is recorded here and carried to the risk register: Primary CTA A promises a territory answer. It does not require the client to publish a formal exclusivity policy, but it does require them to know which territories are open. If that answer never arrives, the CTA degrades to a generic enquiry and the differentiation goes with it.</w:t>
      </w:r>
    </w:p>
    <w:p>
      <w:pPr>
        <w:pStyle w:val="Heading2"/>
        <w:spacing w:after="140" w:before="320"/>
      </w:pPr>
      <w:r>
        <w:rPr>
          <w:rFonts w:ascii="Calibri" w:cs="Calibri" w:eastAsia="Calibri" w:hAnsi="Calibri"/>
          <w:b/>
          <w:bCs/>
          <w:color w:val="1A2B3C"/>
          <w:sz w:val="28"/>
          <w:szCs w:val="28"/>
        </w:rPr>
        <w:t xml:space="preserve">1.5  Decision 2 — User Intent Tiers</w:t>
      </w:r>
    </w:p>
    <w:p>
      <w:pPr>
        <w:spacing w:after="80" w:before="80" w:line="300"/>
      </w:pPr>
      <w:r>
        <w:rPr>
          <w:rFonts w:ascii="Calibri" w:cs="Calibri" w:eastAsia="Calibri" w:hAnsi="Calibri"/>
          <w:color w:val="1A1A1A"/>
          <w:sz w:val="22"/>
          <w:szCs w:val="22"/>
        </w:rPr>
        <w:t xml:space="preserve">Sixteen distinct intents across eight audience groups. The tiering is deliberately unequal: a site that serves every audience equally serves none of them well, and the primary business goal is explicit that all other objectives are subordinate to qualified distributor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Code</w:t>
            </w:r>
          </w:p>
        </w:tc>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Audience</w:t>
            </w:r>
          </w:p>
        </w:tc>
        <w:tc>
          <w:tcPr>
            <w:tcW w:type="dxa" w:w="65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The intent, in his words</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A1</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Is there an open territory near me?</w:t>
            </w:r>
          </w:p>
        </w:tc>
      </w:tr>
      <w:tr>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A2</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w:t>
            </w:r>
          </w:p>
        </w:tc>
        <w:tc>
          <w:tcPr>
            <w:tcW w:type="dxa" w:w="6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 will I actually earn per unit and per month?</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A3</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Does this stuff move, or will it sit in my freezer?</w:t>
            </w:r>
          </w:p>
        </w:tc>
      </w:tr>
      <w:tr>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A4</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w:t>
            </w:r>
          </w:p>
        </w:tc>
        <w:tc>
          <w:tcPr>
            <w:tcW w:type="dxa" w:w="6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If I build the town, what stops you appointing someone else?</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A5</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Is this a real, licensed company that will exist in five years?</w:t>
            </w:r>
          </w:p>
        </w:tc>
      </w:tr>
      <w:tr>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A6</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w:t>
            </w:r>
          </w:p>
        </w:tc>
        <w:tc>
          <w:tcPr>
            <w:tcW w:type="dxa" w:w="6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 do I get — freezers, delivery frequency, melt replacement?</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A7</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Can I stand inside the factory before I commit?</w:t>
            </w:r>
          </w:p>
        </w:tc>
      </w:tr>
      <w:tr>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A8</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w:t>
            </w:r>
          </w:p>
        </w:tc>
        <w:tc>
          <w:tcPr>
            <w:tcW w:type="dxa" w:w="6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Will you sell direct through the apps and undercut me?</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B1</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Retailer</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How do I get Boogies into my shop?</w:t>
            </w:r>
          </w:p>
        </w:tc>
      </w:tr>
      <w:tr>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C1</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Van operator</w:t>
            </w:r>
          </w:p>
        </w:tc>
        <w:tc>
          <w:tcPr>
            <w:tcW w:type="dxa" w:w="6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 do not have distributor money — is there a smaller way in?</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D1</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Franchisee</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How do I open a Boogie Woogie parlour?</w:t>
            </w:r>
          </w:p>
        </w:tc>
      </w:tr>
      <w:tr>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E1</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Bulk buyer</w:t>
            </w:r>
          </w:p>
        </w:tc>
        <w:tc>
          <w:tcPr>
            <w:tcW w:type="dxa" w:w="6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 need ice cream for a wedding — can I order in bulk?</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F1</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Consumer</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Where can I buy this near me?</w:t>
            </w:r>
          </w:p>
        </w:tc>
      </w:tr>
      <w:tr>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F2</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Consumer</w:t>
            </w:r>
          </w:p>
        </w:tc>
        <w:tc>
          <w:tcPr>
            <w:tcW w:type="dxa" w:w="6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 flavours and pack sizes do you make?</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G1</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Gatekeeper</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My son wants to put money into this — are they legitimate?</w:t>
            </w:r>
          </w:p>
        </w:tc>
      </w:tr>
      <w:tr>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H1</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B2B buyer</w:t>
            </w:r>
          </w:p>
        </w:tc>
        <w:tc>
          <w:tcPr>
            <w:tcW w:type="dxa" w:w="6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 want to buy an ice cream van, cones or ghee.</w:t>
            </w:r>
          </w:p>
        </w:tc>
      </w:tr>
    </w:tbl>
    <w:p>
      <w:pPr>
        <w:pStyle w:val="Heading3"/>
        <w:spacing w:after="100" w:before="240"/>
      </w:pPr>
      <w:r>
        <w:rPr>
          <w:rFonts w:ascii="Calibri" w:cs="Calibri" w:eastAsia="Calibri" w:hAnsi="Calibri"/>
          <w:b/>
          <w:bCs/>
          <w:color w:val="1A2B3C"/>
          <w:sz w:val="24"/>
          <w:szCs w:val="24"/>
        </w:rPr>
        <w:t xml:space="preserve">The tiering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Tier</w:t>
            </w:r>
          </w:p>
        </w:tc>
        <w:tc>
          <w:tcPr>
            <w:tcW w:type="dxa" w:w="2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Intents</w:t>
            </w:r>
          </w:p>
        </w:tc>
        <w:tc>
          <w:tcPr>
            <w:tcW w:type="dxa" w:w="52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Rationale</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 — Mission-critical</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A1, A2, A3, A4, A7</w:t>
            </w:r>
          </w:p>
        </w:tc>
        <w:tc>
          <w:tcPr>
            <w:tcW w:type="dxa" w:w="5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Beliefs one to four plus the verification asset. Fail any and the site fails its only job. These get the spine of the architecture, not pages within it. The ordering constraint binds here: A3 must be answerable before A2.</w:t>
            </w:r>
          </w:p>
        </w:tc>
      </w:tr>
      <w:tr>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 — Dedicated pages</w:t>
            </w:r>
          </w:p>
        </w:tc>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A5, A6, A8, B1, C1, D1, F1</w:t>
            </w:r>
          </w:p>
        </w:tc>
        <w:tc>
          <w:tcPr>
            <w:tcW w:type="dxa" w:w="52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Real, frequent and commercially valuable — each earns its own destination. A8 sits here rather than lower because live evidence changed its status: the category leader is already running pincode-gated rapid delivery in its home district, which makes the channel objection immediate rather than hypothetical.</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3 — Sub-sections</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E1, F2, G1, H1</w:t>
            </w:r>
          </w:p>
        </w:tc>
        <w:tc>
          <w:tcPr>
            <w:tcW w:type="dxa" w:w="5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Genuine but smaller footprint. G1 is served by existing pages rather than its own, because the gatekeeper needs credentials and entity detail to be findable, not a page addressed to him. H1 exists only on a third-party marketplace today despite being the structural foundation of the van ladder.</w:t>
            </w:r>
          </w:p>
        </w:tc>
      </w:tr>
      <w:tr>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4 — Reserved slots</w:t>
            </w:r>
          </w:p>
        </w:tc>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/careers · /news · /ml/ · /ta/ · /partners/login · /shop</w:t>
            </w:r>
          </w:p>
        </w:tc>
        <w:tc>
          <w:tcPr>
            <w:tcW w:type="dxa" w:w="52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Not built at launch, reserved so the architecture never needs rebuilding. A neighbouring competitor already recruits via LinkedIn; language is a documented risk; the category leader runs partner login and order tracking; and direct commerce must not be obstructed even though it is an explicit non-goal now.</w:t>
            </w:r>
          </w:p>
        </w:tc>
      </w:tr>
    </w:tbl>
    <w:p>
      <w:pPr>
        <w:pStyle w:val="Heading3"/>
        <w:spacing w:after="100" w:before="240"/>
      </w:pPr>
      <w:r>
        <w:rPr>
          <w:rFonts w:ascii="Calibri" w:cs="Calibri" w:eastAsia="Calibri" w:hAnsi="Calibri"/>
          <w:b/>
          <w:bCs/>
          <w:color w:val="1A2B3C"/>
          <w:sz w:val="24"/>
          <w:szCs w:val="24"/>
        </w:rPr>
        <w:t xml:space="preserve">Tensions surfaced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Tension</w:t>
            </w:r>
          </w:p>
        </w:tc>
        <w:tc>
          <w:tcPr>
            <w:tcW w:type="dxa" w:w="67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Resolution</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Which tier the outlet locator belongs to</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 with phased data collection. The case for Tier 1 is strong — outlet counts by town ARE the sell-through evidence — but promoting it puts a field data-collection workstream on the launch critical path.</w:t>
            </w:r>
          </w:p>
        </w:tc>
      </w:tr>
      <w:tr>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How publicly to recruit retailers</w:t>
            </w:r>
          </w:p>
        </w:tc>
        <w:tc>
          <w:tcPr>
            <w:tcW w:type="dxa" w:w="6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Public route, with enquiries routed to the local distributor rather than head office. This preserves the locator's zero-result conversion without antagonising the partners the site exists to attract.</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How confidently to build the van ladder</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 page, with economics held until the client confirms the van line is active and supportable. Live checking softened the claim: the category leader now names a mobile vending category, though with no terms behind it.</w:t>
            </w:r>
          </w:p>
        </w:tc>
      </w:tr>
    </w:tbl>
    <w:p>
      <w:pPr>
        <w:pStyle w:val="Heading2"/>
        <w:spacing w:after="140" w:before="320"/>
      </w:pPr>
      <w:r>
        <w:rPr>
          <w:rFonts w:ascii="Calibri" w:cs="Calibri" w:eastAsia="Calibri" w:hAnsi="Calibri"/>
          <w:b/>
          <w:bCs/>
          <w:color w:val="1A2B3C"/>
          <w:sz w:val="28"/>
          <w:szCs w:val="28"/>
        </w:rPr>
        <w:t xml:space="preserve">1.6  Decision 3 — Offering Hierarchy</w:t>
      </w:r>
    </w:p>
    <w:p>
      <w:pPr>
        <w:spacing w:after="80" w:before="80" w:line="300"/>
      </w:pPr>
      <w:r>
        <w:rPr>
          <w:rFonts w:ascii="Calibri" w:cs="Calibri" w:eastAsia="Calibri" w:hAnsi="Calibri"/>
          <w:color w:val="1A1A1A"/>
          <w:sz w:val="22"/>
          <w:szCs w:val="22"/>
        </w:rPr>
        <w:t xml:space="preserve">The organising principle is that the distributor proposition is not a page but a section with its own hierarchy, and that the belief chain imposes a sequencing constraint the architecture must physically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Layer</w:t>
            </w:r>
          </w:p>
        </w:tc>
        <w:tc>
          <w:tcPr>
            <w:tcW w:type="dxa" w:w="3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Contents</w:t>
            </w:r>
          </w:p>
        </w:tc>
        <w:tc>
          <w:tcPr>
            <w:tcW w:type="dxa" w:w="38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Job</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 — The Core
What we make, where we make it</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 + six format-tier children · /boogie-woogie · /plant + /plant/credentials + /plant/visit</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substance. The catalogue currently exists as a packshot gallery with no specifications; rebuilt for trade use it becomes the one-supplier-whole-freezer argument. The plant is promoted from an About-page paragraph to a primary destination because it carries beliefs three and six almost single-handedly.</w:t>
            </w:r>
          </w:p>
        </w:tc>
      </w:tr>
      <w:tr>
        <w:tc>
          <w:tcPr>
            <w:tcW w:type="dxa" w:w="21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 — The Bridge
Proof and owned trade content</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/find-boogies + district children · /company · /resources + /resources/12-questions · /distributorship district layer</w:t>
            </w:r>
          </w:p>
        </w:tc>
        <w:tc>
          <w:tcPr>
            <w:tcW w:type="dxa" w:w="38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belief-chain layer, where a stranger becomes a believer. The locator does double duty — outlet counts by town are simultaneously a consumer convenience and a business-to-business proof asset.</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 — The Commercial Surface
The five partner journeys</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 router · /partners/distributor + five children · /partners/retailer · /van-route · /franchise · /bulk-events · /contact</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Where conversion happens. Five journeys, five qualification paths, five distinct field sets — because these audiences cannot share one form or one page.</w:t>
            </w:r>
          </w:p>
        </w:tc>
      </w:tr>
    </w:tbl>
    <w:p>
      <w:pPr>
        <w:pStyle w:val="Heading3"/>
        <w:spacing w:after="100" w:before="240"/>
      </w:pPr>
      <w:r>
        <w:rPr>
          <w:rFonts w:ascii="Calibri" w:cs="Calibri" w:eastAsia="Calibri" w:hAnsi="Calibri"/>
          <w:b/>
          <w:bCs/>
          <w:color w:val="1A2B3C"/>
          <w:sz w:val="24"/>
          <w:szCs w:val="24"/>
        </w:rPr>
        <w:t xml:space="preserve">Top-level navigation — six slots</w:t>
      </w:r>
    </w:p>
    <w:p>
      <w:pPr>
        <w:spacing w:after="80" w:before="80" w:line="300"/>
      </w:pPr>
      <w:r>
        <w:rPr>
          <w:rFonts w:ascii="Calibri" w:cs="Calibri" w:eastAsia="Calibri" w:hAnsi="Calibri"/>
          <w:color w:val="1A1A1A"/>
          <w:sz w:val="22"/>
          <w:szCs w:val="22"/>
        </w:rPr>
        <w:t xml:space="preserve">Products  ·  The Plant  ·  Find Boogies  ·  Partner With Us (dropdown)  ·  Company  ·  Contact</w:t>
      </w:r>
    </w:p>
    <w:p>
      <w:pPr>
        <w:spacing w:after="80" w:before="80" w:line="300"/>
      </w:pPr>
      <w:r>
        <w:rPr>
          <w:rFonts w:ascii="Calibri" w:cs="Calibri" w:eastAsia="Calibri" w:hAnsi="Calibri"/>
          <w:color w:val="1A1A1A"/>
          <w:sz w:val="22"/>
          <w:szCs w:val="22"/>
        </w:rPr>
        <w:t xml:space="preserve">Six slots, under the seven-slot ceiling. The Partner With Us dropdown exposes all five journeys directly with Distributor listed first and visually weighted, so the primary conversion is visible at navigation level without consuming its own slot.</w:t>
      </w:r>
    </w:p>
    <w:p>
      <w:pPr>
        <w:pStyle w:val="Heading3"/>
        <w:spacing w:after="100" w:before="240"/>
      </w:pPr>
      <w:r>
        <w:rPr>
          <w:rFonts w:ascii="Calibri" w:cs="Calibri" w:eastAsia="Calibri" w:hAnsi="Calibri"/>
          <w:b/>
          <w:bCs/>
          <w:color w:val="1A2B3C"/>
          <w:sz w:val="24"/>
          <w:szCs w:val="24"/>
        </w:rPr>
        <w:t xml:space="preserve">Sub-brand placement</w:t>
      </w:r>
    </w:p>
    <w:p>
      <w:pPr>
        <w:spacing w:after="80" w:before="80" w:line="300"/>
      </w:pPr>
      <w:r>
        <w:rPr>
          <w:rFonts w:ascii="Calibri" w:cs="Calibri" w:eastAsia="Calibri" w:hAnsi="Calibri"/>
          <w:color w:val="1A1A1A"/>
          <w:sz w:val="22"/>
          <w:szCs w:val="22"/>
        </w:rPr>
        <w:t xml:space="preserve">Boogie Woogie remains a Core-layer product range at /boogie-woogie, cross-linked to /partners/franchise for the commercial route — two jobs, two pages. The exclusivity rule already live on the current site is reframed from a product footnote into a partner margin-protection argument. The vanity path /boogiewoogie is reserved and redirected.</w:t>
      </w:r>
    </w:p>
    <w:p>
      <w:pPr>
        <w:pStyle w:val="Heading3"/>
        <w:spacing w:after="100" w:before="240"/>
      </w:pPr>
      <w:r>
        <w:rPr>
          <w:rFonts w:ascii="Calibri" w:cs="Calibri" w:eastAsia="Calibri" w:hAnsi="Calibri"/>
          <w:b/>
          <w:bCs/>
          <w:color w:val="1A2B3C"/>
          <w:sz w:val="24"/>
          <w:szCs w:val="24"/>
        </w:rPr>
        <w:t xml:space="preserve">Tensions surfaced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Tension</w:t>
            </w:r>
          </w:p>
        </w:tc>
        <w:tc>
          <w:tcPr>
            <w:tcW w:type="dxa" w:w="69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Resolution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 architecture depth</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pages with filtering, plus dedicated SKU pages for the bulk and premium lines only. Individual pages across all 152 SKUs would be thin, and nobody searches for a single flavour in a single pack size — but the premium lines carry the entire margin argument and earn their own surfaces.</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District-level trade pages</w:t>
            </w:r>
          </w:p>
        </w:tc>
        <w:tc>
          <w:tcPr>
            <w:tcW w:type="dxa" w:w="6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Target districts only, eight rich pages at launch expanding as data arrives. Trade-intent search in this category is uncontested by manufacturers — the results belong to directories and affiliates — but a district page without local outlet counts and local proof is thin by definition.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 section depth</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Five children, with blocked pages shipping as structure-without-numbers. Every belief gets its own URL and its own search surface; the two pages dependent on client commercial decisions publish the shape of the answer even when the figures are unavailable.</w:t>
            </w:r>
          </w:p>
        </w:tc>
      </w:tr>
    </w:tbl>
    <w:p>
      <w:pPr>
        <w:pStyle w:val="Heading2"/>
        <w:spacing w:after="140" w:before="320"/>
      </w:pPr>
      <w:r>
        <w:rPr>
          <w:rFonts w:ascii="Calibri" w:cs="Calibri" w:eastAsia="Calibri" w:hAnsi="Calibri"/>
          <w:b/>
          <w:bCs/>
          <w:color w:val="1A2B3C"/>
          <w:sz w:val="28"/>
          <w:szCs w:val="28"/>
        </w:rPr>
        <w:t xml:space="preserve">1.7  Decision 4 — CMS Capability Brief</w:t>
      </w:r>
    </w:p>
    <w:p>
      <w:pPr>
        <w:spacing w:after="80" w:before="80" w:line="300"/>
      </w:pPr>
      <w:r>
        <w:rPr>
          <w:rFonts w:ascii="Calibri" w:cs="Calibri" w:eastAsia="Calibri" w:hAnsi="Calibri"/>
          <w:color w:val="1A1A1A"/>
          <w:sz w:val="22"/>
          <w:szCs w:val="22"/>
        </w:rPr>
        <w:t xml:space="preserve">Twenty-four capabilities, specified independently of platform. Two facts drive most of the list: the site carries five distinct enquiry journeys routing to two separate legal entities, and the business has no measurement baseline of any kind — which makes instrumentation a launch-blocking deliverable rather than a later addition.</w:t>
      </w:r>
    </w:p>
    <w:p>
      <w:pPr>
        <w:pStyle w:val="Heading3"/>
        <w:spacing w:after="100" w:before="240"/>
      </w:pPr>
      <w:r>
        <w:rPr>
          <w:rFonts w:ascii="Calibri" w:cs="Calibri" w:eastAsia="Calibri" w:hAnsi="Calibri"/>
          <w:b/>
          <w:bCs/>
          <w:color w:val="1A2B3C"/>
          <w:sz w:val="24"/>
          <w:szCs w:val="24"/>
        </w:rPr>
        <w:t xml:space="preserve">Layer A — Content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Capability</w:t>
            </w:r>
          </w:p>
        </w:tc>
        <w:tc>
          <w:tcPr>
            <w:tcW w:type="dxa" w:w="61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Why it is required here</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Eight structured content models: SKU, Product Tier, Outlet, District, Testimonial, Credential, Resource, FAQ</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catalogue cannot be a packshot gallery again. Trade buyers need specifications, formats and case configurations per line.</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Flexible page builder with a locked section library</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District pages must be assembled without a developer, or the trade SEO layer stalls behind engineering tickets.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Reusable component library — evidence, reviews, CTA, WhatsApp, form embed</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Reviews and plant testimony are a structural site element, not a testimonial strip. That means a component reused across templates.</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Draft, preview and scheduled publish workflow</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Territory status and commercial content will change. Nothing goes live unreviewed.</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Media library with video embed and automatic image optimisation</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plant film is the highest-value asset and this audience is mobile on variable connectivity.</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Localisation-ready field structure</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Two locale roots are reserved. Retrofitting localisation into a monolingual build is a rebuild, not an addition.</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CSV bulk import for SKU and outlet data</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152 SKUs and seventeen-plus towns. Hand entry guarantees the data never lands.</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Content versioning and rollback</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Standard operational safety.</w:t>
            </w:r>
          </w:p>
        </w:tc>
      </w:tr>
    </w:tbl>
    <w:p>
      <w:pPr>
        <w:pStyle w:val="Heading3"/>
        <w:spacing w:after="100" w:before="240"/>
      </w:pPr>
      <w:r>
        <w:rPr>
          <w:rFonts w:ascii="Calibri" w:cs="Calibri" w:eastAsia="Calibri" w:hAnsi="Calibri"/>
          <w:b/>
          <w:bCs/>
          <w:color w:val="1A2B3C"/>
          <w:sz w:val="24"/>
          <w:szCs w:val="24"/>
        </w:rPr>
        <w:t xml:space="preserve">Layer B — Visitor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Capability</w:t>
            </w:r>
          </w:p>
        </w:tc>
        <w:tc>
          <w:tcPr>
            <w:tcW w:type="dxa" w:w="61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Why it is required here</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Multi-form builder with distinct field sets per form</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Five journeys, five qualification paths. These cannot share one form.</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Two-step progressive form with partial-submission capture</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Step one must persist even when step two is abandoned. Without this, the progressive design loses leads it has already caught.</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Conditional routing: state to entity, interest to journey</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 enquiry belongs to a specific company's profit and loss. This is a contracting requirement, not a convenience.</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Gated asset delivery with WhatsApp send option</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partner pack is a forwardable artifact — the decision happens in a room the site is not in.</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Interactive locator with map, district filter and zero-result fallback</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fallback converts a failed search into a retailer lead and logs a market gap.</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WhatsApp click-to-chat with per-page context</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default trade channel in this market; the category leader already pins it on every page.</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Lazy-loaded video player</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Mobile performance on variable connectivity.</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 filtering by tier, format and price band</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premium band is roughly 42 per cent of the bulk catalogue — the filter is the margin argument rendered as an interface.</w:t>
            </w:r>
          </w:p>
        </w:tc>
      </w:tr>
    </w:tbl>
    <w:p>
      <w:pPr>
        <w:pStyle w:val="Heading3"/>
        <w:spacing w:after="100" w:before="240"/>
      </w:pPr>
      <w:r>
        <w:rPr>
          <w:rFonts w:ascii="Calibri" w:cs="Calibri" w:eastAsia="Calibri" w:hAnsi="Calibri"/>
          <w:b/>
          <w:bCs/>
          <w:color w:val="1A2B3C"/>
          <w:sz w:val="24"/>
          <w:szCs w:val="24"/>
        </w:rPr>
        <w:t xml:space="preserve">Layer C — Operational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Capability</w:t>
            </w:r>
          </w:p>
        </w:tc>
        <w:tc>
          <w:tcPr>
            <w:tcW w:type="dxa" w:w="61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Why it is required here</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Per-page SEO controls — title, meta, canonical, Open Graph, indexation</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None exist today.</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Schema: Organisation, LocalBusiness per outlet, Product, FAQPage, BreadcrumbList</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Zero structured data exists on the current site. This is the mechanism for displacing directory listings that presently outrank the brand for its own name.</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Mobile-first Core Web Vitals performance budget</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This audience is overwhelmingly mobile.</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Analytics live at launch — GA4, Search Console, session recording</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 baseline exists in any form. Targets cannot be set responsibly without one.</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Lead notification with a named owner per entity and escalation fallback</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operational fix behind the published response commitment. An unmanaged shared inbox is the largest single point of leakage in the current process.</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Redirect management for the legacy URL set</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Seven legacy pages plus protocol, host and trailing-slash variants.</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Role-based access, custom domain, SSL, form spam protection</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Standard operational control.</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Scheduled backup and restore</w:t>
            </w:r>
          </w:p>
        </w:tc>
        <w:tc>
          <w:tcPr>
            <w:tcW w:type="dxa" w:w="6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Standard operational safety.</w:t>
            </w:r>
          </w:p>
        </w:tc>
      </w:tr>
    </w:tbl>
    <w:p>
      <w:pPr>
        <w:pStyle w:val="Heading3"/>
        <w:spacing w:after="100" w:before="240"/>
      </w:pPr>
      <w:r>
        <w:rPr>
          <w:rFonts w:ascii="Calibri" w:cs="Calibri" w:eastAsia="Calibri" w:hAnsi="Calibri"/>
          <w:b/>
          <w:bCs/>
          <w:color w:val="1A2B3C"/>
          <w:sz w:val="24"/>
          <w:szCs w:val="24"/>
        </w:rPr>
        <w:t xml:space="preserve">Tool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Slot</w:t>
            </w:r>
          </w:p>
        </w:tc>
        <w:tc>
          <w:tcPr>
            <w:tcW w:type="dxa" w:w="26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Decision</w:t>
            </w:r>
          </w:p>
        </w:tc>
        <w:tc>
          <w:tcPr>
            <w:tcW w:type="dxa" w:w="51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Reasoning</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Platform</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Headless — Next.js with Sanity as the content layer</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Client-selected over a WordPress rebuild. Strong fit for the district page layer, the reserved bilingual paths, structured data and mobile performance. See the consequence note below.</w:t>
            </w:r>
          </w:p>
        </w:tc>
      </w:tr>
      <w:tr>
        <w:tc>
          <w:tcPr>
            <w:tcW w:type="dxa" w:w="1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CRM</w:t>
            </w:r>
          </w:p>
        </w:tc>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Zoho CRM</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India-native, inexpensive, GST-aware, and integrates WhatsApp. Leads currently land in a shared consumer email inbox with no ownership.</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WhatsApp</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Business API from launch</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Client-selected over click-to-chat. This is what actually underwrites the published response commitment rather than merely asserting it.</w:t>
            </w:r>
          </w:p>
        </w:tc>
      </w:tr>
      <w:tr>
        <w:tc>
          <w:tcPr>
            <w:tcW w:type="dxa" w:w="1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Video hosting</w:t>
            </w:r>
          </w:p>
        </w:tc>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YouTube embeds</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Free, fast, and revives a channel dormant since 2022 as a proof library.</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Spam protection</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Cloudflare Turnstile</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Privacy-respecting, minimal friction.</w:t>
            </w:r>
          </w:p>
        </w:tc>
      </w:tr>
      <w:tr>
        <w:tc>
          <w:tcPr>
            <w:tcW w:type="dxa" w:w="1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Analytics</w:t>
            </w:r>
          </w:p>
        </w:tc>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GA4 + Search Console + session recording</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Session recording carries unusual weight here because nobody has ever observed how this audience behaves on this brand's site.</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Transactional email</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Bundled with CRM</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Pack delivery and notifications only.</w:t>
            </w:r>
          </w:p>
        </w:tc>
      </w:tr>
      <w:tr>
        <w:tc>
          <w:tcPr>
            <w:tcW w:type="dxa" w:w="1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Marketing email</w:t>
            </w:r>
          </w:p>
        </w:tc>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Excluded at v1</w:t>
            </w:r>
          </w:p>
        </w:tc>
        <w:tc>
          <w:tcPr>
            <w:tcW w:type="dxa" w:w="51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 newsletter appears anywhere in the goal hierarchy. Adding one would be scope, not strategy.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Two consequences of the platform and messaging selections</w:t>
            </w:r>
          </w:p>
          <w:p>
            <w:pPr>
              <w:spacing w:after="40" w:before="40" w:line="280"/>
            </w:pPr>
            <w:r>
              <w:rPr>
                <w:rFonts w:ascii="Calibri" w:cs="Calibri" w:eastAsia="Calibri" w:hAnsi="Calibri"/>
                <w:color w:val="1A1A1A"/>
                <w:sz w:val="21"/>
                <w:szCs w:val="21"/>
              </w:rPr>
              <w:t xml:space="preserve">Headless changes what "page builder" means. Capability A2 stops being a licence feature and becomes a build task: a constrained block schema must be designed so the marketing team can assemble district pages without a developer. Without it, every district page becomes an engineering ticket and the SEO layer stalls. Ongoing deployment ownership also becomes a named dependency rather than an assumption.</w:t>
            </w:r>
          </w:p>
          <w:p>
            <w:pPr>
              <w:spacing w:after="40" w:before="40" w:line="280"/>
            </w:pPr>
            <w:r>
              <w:rPr>
                <w:rFonts w:ascii="Calibri" w:cs="Calibri" w:eastAsia="Calibri" w:hAnsi="Calibri"/>
                <w:color w:val="1A1A1A"/>
                <w:sz w:val="21"/>
                <w:szCs w:val="21"/>
              </w:rPr>
              <w:t xml:space="preserve">WhatsApp Business API moves onto the critical path. It is the stronger choice — it underwrites the response commitment rather than claiming it — but Meta Business verification requires client documentation and typically runs one to three weeks, and every template message needs pre-approval. If verification slips, the site launches on click-to-chat and switches after launch rather than delaying.</w:t>
            </w:r>
          </w:p>
        </w:tc>
      </w:tr>
    </w:tbl>
    <w:p>
      <w:pPr>
        <w:pStyle w:val="Heading3"/>
        <w:spacing w:after="100" w:before="240"/>
      </w:pPr>
      <w:r>
        <w:rPr>
          <w:rFonts w:ascii="Calibri" w:cs="Calibri" w:eastAsia="Calibri" w:hAnsi="Calibri"/>
          <w:b/>
          <w:bCs/>
          <w:color w:val="1A2B3C"/>
          <w:sz w:val="24"/>
          <w:szCs w:val="24"/>
        </w:rPr>
        <w:t xml:space="preserve">Explicit v1 exclusions</w:t>
      </w:r>
    </w:p>
    <w:p>
      <w:pPr>
        <w:spacing w:after="80" w:before="80" w:line="300"/>
      </w:pPr>
      <w:r>
        <w:rPr>
          <w:rFonts w:ascii="Calibri" w:cs="Calibri" w:eastAsia="Calibri" w:hAnsi="Calibri"/>
          <w:color w:val="1A1A1A"/>
          <w:sz w:val="22"/>
          <w:szCs w:val="22"/>
        </w:rPr>
        <w:t xml:space="preserve">Direct-to-consumer commerce and cart · quick-commerce integration · Malayalam and Tamil content · distributor login and order portal · blog and news · careers · marketing email automation · on-site live chat · consumer reviews and user-generated content · SKU pages outside the bulk and premium lines. Each exclusion is deliberate and, where architecturally relevant, has a reserved URL slot.</w:t>
      </w:r>
    </w:p>
    <w:p>
      <w:pPr>
        <w:pStyle w:val="Heading2"/>
        <w:spacing w:after="140" w:before="320"/>
      </w:pPr>
      <w:r>
        <w:rPr>
          <w:rFonts w:ascii="Calibri" w:cs="Calibri" w:eastAsia="Calibri" w:hAnsi="Calibri"/>
          <w:b/>
          <w:bCs/>
          <w:color w:val="1A2B3C"/>
          <w:sz w:val="28"/>
          <w:szCs w:val="28"/>
        </w:rPr>
        <w:t xml:space="preserve">1.8  Decision 5 —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800"/>
        <w:gridCol w:w="4460"/>
      </w:tblGrid>
      <w:tr>
        <w:trPr>
          <w:tblHeader/>
        </w:trPr>
        <w:tc>
          <w:tcPr>
            <w:tcW w:type="dxa" w:w="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t>
            </w:r>
          </w:p>
        </w:tc>
        <w:tc>
          <w:tcPr>
            <w:tcW w:type="dxa" w:w="17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Flow</w:t>
            </w:r>
          </w:p>
        </w:tc>
        <w:tc>
          <w:tcPr>
            <w:tcW w:type="dxa" w:w="28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Source to destination</w:t>
            </w:r>
          </w:p>
        </w:tc>
        <w:tc>
          <w:tcPr>
            <w:tcW w:type="dxa" w:w="44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Why this choice</w:t>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Content publishing</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CMS Studio → webhook → on-demand revalidation</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Hybrid rendering: district and SKU pages render statically for speed and crawlability, revalidating on publish without a full rebuild.</w:t>
            </w:r>
          </w:p>
        </w:tc>
      </w:tr>
      <w:tr>
        <w:tc>
          <w:tcPr>
            <w:tcW w:type="dxa" w:w="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SKU data</w:t>
            </w:r>
          </w:p>
        </w:tc>
        <w:tc>
          <w:tcPr>
            <w:tcW w:type="dxa" w:w="2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CSV → bulk import → CMS Product docs</w:t>
            </w:r>
          </w:p>
        </w:tc>
        <w:tc>
          <w:tcPr>
            <w:tcW w:type="dxa" w:w="44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Specifications are the entire point of the trade catalogue, and hand entry means they never land.</w:t>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Outlet data</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Field collection → geocoding → CMS Outlet docs</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Feeds three things simultaneously: the locator, per-outlet structured data, and the outlet-count evidence on district pages.</w:t>
            </w:r>
          </w:p>
        </w:tc>
      </w:tr>
      <w:tr>
        <w:tc>
          <w:tcPr>
            <w:tcW w:type="dxa" w:w="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Media</w:t>
            </w:r>
          </w:p>
        </w:tc>
        <w:tc>
          <w:tcPr>
            <w:tcW w:type="dxa" w:w="2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YouTube → lazy-loaded embed</w:t>
            </w:r>
          </w:p>
        </w:tc>
        <w:tc>
          <w:tcPr>
            <w:tcW w:type="dxa" w:w="44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Revives a dormant channel as the plant proof library.</w:t>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5</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Form to CRM</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Five forms → API route → validation → CRM Lead</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One route, five field sets. Interest type and state are captured first because they determine both journey and legal entity.</w:t>
            </w:r>
          </w:p>
        </w:tc>
      </w:tr>
      <w:tr>
        <w:tc>
          <w:tcPr>
            <w:tcW w:type="dxa" w:w="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6</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Progressive capture</w:t>
            </w:r>
          </w:p>
        </w:tc>
        <w:tc>
          <w:tcPr>
            <w:tcW w:type="dxa" w:w="2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Step 1 creates the lead; Step 2 updates it by token</w:t>
            </w:r>
          </w:p>
        </w:tc>
        <w:tc>
          <w:tcPr>
            <w:tcW w:type="dxa" w:w="44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Step one persists on abandonment. Without this the two-step design loses leads it has already caught.</w:t>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7</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Lead routing</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CRM workflow → entity by state → named owner → alert</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Kerala routes to Icehome Foods, Tamil Nadu to Mountbell Foods. A contracting requirement.</w:t>
            </w:r>
          </w:p>
        </w:tc>
      </w:tr>
      <w:tr>
        <w:tc>
          <w:tcPr>
            <w:tcW w:type="dxa" w:w="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8</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WhatsApp acknowledgement</w:t>
            </w:r>
          </w:p>
        </w:tc>
        <w:tc>
          <w:tcPr>
            <w:tcW w:type="dxa" w:w="2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CRM → provider → approved template, instant</w:t>
            </w:r>
          </w:p>
        </w:tc>
        <w:tc>
          <w:tcPr>
            <w:tcW w:type="dxa" w:w="44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This is what makes the published response commitment real. Templates approved in English, Malayalam and Tamil, which also partially answers the language risk.</w:t>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9</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WhatsApp inbound</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Click-to-chat with page context → provider → CRM thread</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conversation continues in the channel this trade actually uses, and it is logged rather than lost on a personal phone.</w:t>
            </w:r>
          </w:p>
        </w:tc>
      </w:tr>
      <w:tr>
        <w:tc>
          <w:tcPr>
            <w:tcW w:type="dxa" w:w="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10</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Lead magnet</w:t>
            </w:r>
          </w:p>
        </w:tc>
        <w:tc>
          <w:tcPr>
            <w:tcW w:type="dxa" w:w="2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Three-field gate → transactional email + WhatsApp document → CRM tag</w:t>
            </w:r>
          </w:p>
        </w:tc>
        <w:tc>
          <w:tcPr>
            <w:tcW w:type="dxa" w:w="44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Delivered as a forwardable file because the decision involves family and business partners.</w:t>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Analytics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GA4 + Search Console + session recording</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Custom events including territory_check_start, step1_submit, step2_submit, pack_download, whatsapp_click, plant_visit_request, locator_search and locator_no_result.</w:t>
            </w:r>
          </w:p>
        </w:tc>
      </w:tr>
      <w:tr>
        <w:tc>
          <w:tcPr>
            <w:tcW w:type="dxa" w:w="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12</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Funnel reporting</w:t>
            </w:r>
          </w:p>
        </w:tc>
        <w:tc>
          <w:tcPr>
            <w:tcW w:type="dxa" w:w="2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CRM reports</w:t>
            </w:r>
          </w:p>
        </w:tc>
        <w:tc>
          <w:tcPr>
            <w:tcW w:type="dxa" w:w="44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site owns funnel stages one to three; the CRM owns four to eight. Neither alone gives a measurement framework.</w:t>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13</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Fallback capture</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API route → CRM, mirrored to email and sheet</w:t>
            </w:r>
          </w:p>
        </w:tc>
        <w:tc>
          <w:tcPr>
            <w:tcW w:type="dxa" w:w="4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If the CRM API fails, the lead still lands somewhere. Cheap insurance on the only conversion that matters.</w:t>
            </w:r>
          </w:p>
        </w:tc>
      </w:tr>
      <w:tr>
        <w:tc>
          <w:tcPr>
            <w:tcW w:type="dxa" w:w="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14</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Spam protection</w:t>
            </w:r>
          </w:p>
        </w:tc>
        <w:tc>
          <w:tcPr>
            <w:tcW w:type="dxa" w:w="2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Turnstile on all forms</w:t>
            </w:r>
          </w:p>
        </w:tc>
        <w:tc>
          <w:tcPr>
            <w:tcW w:type="dxa" w:w="44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Privacy-respecting challenge with minimal user friction.</w:t>
            </w:r>
          </w:p>
        </w:tc>
      </w:tr>
    </w:tbl>
    <w:p>
      <w:pPr>
        <w:pStyle w:val="Heading3"/>
        <w:spacing w:after="100" w:before="240"/>
      </w:pPr>
      <w:r>
        <w:rPr>
          <w:rFonts w:ascii="Calibri" w:cs="Calibri" w:eastAsia="Calibri" w:hAnsi="Calibri"/>
          <w:b/>
          <w:bCs/>
          <w:color w:val="1A2B3C"/>
          <w:sz w:val="24"/>
          <w:szCs w:val="24"/>
        </w:rPr>
        <w:t xml:space="preserve">Reserved integration slots</w:t>
      </w:r>
    </w:p>
    <w:p>
      <w:pPr>
        <w:spacing w:after="80" w:before="80" w:line="300"/>
      </w:pPr>
      <w:r>
        <w:rPr>
          <w:rFonts w:ascii="Calibri" w:cs="Calibri" w:eastAsia="Calibri" w:hAnsi="Calibri"/>
          <w:color w:val="1A1A1A"/>
          <w:sz w:val="22"/>
          <w:szCs w:val="22"/>
        </w:rPr>
        <w:t xml:space="preserve">Quick-commerce product feed · partner portal authentication · CMS localisation workflow · payment rails (not required at v1).</w:t>
      </w:r>
    </w:p>
    <w:p>
      <w:pPr>
        <w:pStyle w:val="Heading3"/>
        <w:spacing w:after="100" w:before="240"/>
      </w:pPr>
      <w:r>
        <w:rPr>
          <w:rFonts w:ascii="Calibri" w:cs="Calibri" w:eastAsia="Calibri" w:hAnsi="Calibri"/>
          <w:b/>
          <w:bCs/>
          <w:color w:val="1A2B3C"/>
          <w:sz w:val="24"/>
          <w:szCs w:val="24"/>
        </w:rPr>
        <w:t xml:space="preserve">Launch dependencies outside the build</w:t>
      </w:r>
    </w:p>
    <w:p>
      <w:pPr>
        <w:spacing w:after="80" w:before="80" w:line="300"/>
      </w:pPr>
      <w:r>
        <w:rPr>
          <w:rFonts w:ascii="Calibri" w:cs="Calibri" w:eastAsia="Calibri" w:hAnsi="Calibri"/>
          <w:color w:val="1A1A1A"/>
          <w:sz w:val="22"/>
          <w:szCs w:val="22"/>
        </w:rPr>
        <w:t xml:space="preserve">Meta Business verification · a named lead owner per legal entity · Google Business Profile claim · Justdial listing claim · Facebook page copy correction. The last is not housekeeping: the page currently describes a remodelled shop suitable for birthday parties, a retail framing that contradicts the manufacturer positioning and has already propagated into third-party listings.</w:t>
      </w:r>
    </w:p>
    <w:p>
      <w:pPr>
        <w:pStyle w:val="Heading3"/>
        <w:spacing w:after="100" w:before="240"/>
      </w:pPr>
      <w:r>
        <w:rPr>
          <w:rFonts w:ascii="Calibri" w:cs="Calibri" w:eastAsia="Calibri" w:hAnsi="Calibri"/>
          <w:b/>
          <w:bCs/>
          <w:color w:val="1A2B3C"/>
          <w:sz w:val="24"/>
          <w:szCs w:val="24"/>
        </w:rPr>
        <w:t xml:space="preserve">Locked with reasoning — the escalation rule</w:t>
      </w:r>
    </w:p>
    <w:p>
      <w:pPr>
        <w:spacing w:after="80" w:before="80" w:line="300"/>
      </w:pPr>
      <w:r>
        <w:rPr>
          <w:rFonts w:ascii="Calibri" w:cs="Calibri" w:eastAsia="Calibri" w:hAnsi="Calibri"/>
          <w:color w:val="1A1A1A"/>
          <w:sz w:val="22"/>
          <w:szCs w:val="22"/>
        </w:rPr>
        <w:t xml:space="preserve">The escalation threshold was delegated. It is locked at four hours, with unclaimed leads reassigning automatically. Five reasons:</w:t>
      </w:r>
    </w:p>
    <w:p>
      <w:pPr>
        <w:pStyle w:val="ListParagraph"/>
        <w:numPr>
          <w:ilvl w:val="0"/>
          <w:numId w:val="3"/>
        </w:numPr>
        <w:spacing w:after="40" w:before="40" w:line="280"/>
      </w:pPr>
      <w:r>
        <w:rPr>
          <w:rFonts w:ascii="Calibri" w:cs="Calibri" w:eastAsia="Calibri" w:hAnsi="Calibri"/>
          <w:color w:val="1A1A1A"/>
          <w:sz w:val="22"/>
          <w:szCs w:val="22"/>
        </w:rPr>
        <w:t xml:space="preserve">A distributor enquiry not contacted the same day is usually lost, because a prospect actively looking for a line approaches several manufacturers at once. A published commitment with no enforcement is the current unmanaged inbox with a public promise attached — strictly worse than no promise.</w:t>
      </w:r>
    </w:p>
    <w:p>
      <w:pPr>
        <w:pStyle w:val="ListParagraph"/>
        <w:numPr>
          <w:ilvl w:val="0"/>
          <w:numId w:val="3"/>
        </w:numPr>
        <w:spacing w:after="40" w:before="40" w:line="280"/>
      </w:pPr>
      <w:r>
        <w:rPr>
          <w:rFonts w:ascii="Calibri" w:cs="Calibri" w:eastAsia="Calibri" w:hAnsi="Calibri"/>
          <w:color w:val="1A1A1A"/>
          <w:sz w:val="22"/>
          <w:szCs w:val="22"/>
        </w:rPr>
        <w:t xml:space="preserve">The failure mode is silent. Nobody notices the lead that was never claimed. Escalation is the only mechanism that makes an unanswered enquiry visible.</w:t>
      </w:r>
    </w:p>
    <w:p>
      <w:pPr>
        <w:pStyle w:val="ListParagraph"/>
        <w:numPr>
          <w:ilvl w:val="0"/>
          <w:numId w:val="3"/>
        </w:numPr>
        <w:spacing w:after="40" w:before="40" w:line="280"/>
      </w:pPr>
      <w:r>
        <w:rPr>
          <w:rFonts w:ascii="Calibri" w:cs="Calibri" w:eastAsia="Calibri" w:hAnsi="Calibri"/>
          <w:color w:val="1A1A1A"/>
          <w:sz w:val="22"/>
          <w:szCs w:val="22"/>
        </w:rPr>
        <w:t xml:space="preserve">Four hours sits inside a working day: a morning enquiry escalates before close, an afternoon enquiry by the next morning. That leaves twenty hours of buffer against the published twenty-four, and the buffer is what makes the promise survivable in a bad week.</w:t>
      </w:r>
    </w:p>
    <w:p>
      <w:pPr>
        <w:pStyle w:val="ListParagraph"/>
        <w:numPr>
          <w:ilvl w:val="0"/>
          <w:numId w:val="3"/>
        </w:numPr>
        <w:spacing w:after="40" w:before="40" w:line="280"/>
      </w:pPr>
      <w:r>
        <w:rPr>
          <w:rFonts w:ascii="Calibri" w:cs="Calibri" w:eastAsia="Calibri" w:hAnsi="Calibri"/>
          <w:color w:val="1A1A1A"/>
          <w:sz w:val="22"/>
          <w:szCs w:val="22"/>
        </w:rPr>
        <w:t xml:space="preserve">It is a workflow rule, not a development task. The objection to it is process discipline — which is precisely what the research identifies as the largest leak in the existing funnel.</w:t>
      </w:r>
    </w:p>
    <w:p>
      <w:pPr>
        <w:pStyle w:val="ListParagraph"/>
        <w:numPr>
          <w:ilvl w:val="0"/>
          <w:numId w:val="3"/>
        </w:numPr>
        <w:spacing w:after="40" w:before="40" w:line="280"/>
      </w:pPr>
      <w:r>
        <w:rPr>
          <w:rFonts w:ascii="Calibri" w:cs="Calibri" w:eastAsia="Calibri" w:hAnsi="Calibri"/>
          <w:color w:val="1A1A1A"/>
          <w:sz w:val="22"/>
          <w:szCs w:val="22"/>
        </w:rPr>
        <w:t xml:space="preserve">The WhatsApp acknowledgement already covers the first minute. Escalation protects the second touch, which is the one that converts.</w:t>
      </w:r>
    </w:p>
    <w:p>
      <w:pPr>
        <w:spacing w:after="80" w:before="80" w:line="300"/>
      </w:pPr>
      <w:r>
        <w:rPr>
          <w:rFonts w:ascii="Calibri" w:cs="Calibri" w:eastAsia="Calibri" w:hAnsi="Calibri"/>
          <w:i/>
          <w:iCs/>
          <w:color w:val="1A1A1A"/>
          <w:sz w:val="22"/>
          <w:szCs w:val="22"/>
        </w:rPr>
        <w:t xml:space="preserve">The alternative considered was alert-only, which is gentler on a team with no CRM habit. It was rejected because an alert into an unowned inbox is a precise description of the current failure. Reversal path: if four hours proves too aggressive in the first month, the threshold is a single field in a workflow rule. Change it to eight. Do not remove the rule.</w:t>
      </w:r>
    </w:p>
    <w:p>
      <w:pPr>
        <w:pStyle w:val="Heading1"/>
        <w:pageBreakBefore/>
        <w:spacing w:after="200" w:before="480"/>
      </w:pPr>
      <w:r>
        <w:rPr>
          <w:rFonts w:ascii="Calibri" w:cs="Calibri" w:eastAsia="Calibri" w:hAnsi="Calibri"/>
          <w:b/>
          <w:bCs/>
          <w:color w:val="1A2B3C"/>
          <w:sz w:val="36"/>
          <w:szCs w:val="36"/>
        </w:rPr>
        <w:t xml:space="preserve">Part Two — The Build Process</w:t>
      </w:r>
    </w:p>
    <w:p>
      <w:pPr>
        <w:spacing w:after="80" w:before="80" w:line="300"/>
      </w:pPr>
      <w:r>
        <w:rPr>
          <w:rFonts w:ascii="Calibri" w:cs="Calibri" w:eastAsia="Calibri" w:hAnsi="Calibri"/>
          <w:color w:val="1A1A1A"/>
          <w:sz w:val="22"/>
          <w:szCs w:val="22"/>
        </w:rPr>
        <w:t xml:space="preserve">Four build steps, each signed off before the next began. Step one mapped six competitor properties live rather than relying on the prior competitive research — a requirement that proved its worth, because two conclusions in that research turned out to need correction.</w:t>
      </w:r>
    </w:p>
    <w:p>
      <w:pPr>
        <w:pStyle w:val="Heading2"/>
        <w:spacing w:after="140" w:before="320"/>
      </w:pPr>
      <w:r>
        <w:rPr>
          <w:rFonts w:ascii="Calibri" w:cs="Calibri" w:eastAsia="Calibri" w:hAnsi="Calibri"/>
          <w:b/>
          <w:bCs/>
          <w:color w:val="1A2B3C"/>
          <w:sz w:val="28"/>
          <w:szCs w:val="28"/>
        </w:rPr>
        <w:t xml:space="preserve">2.1  Build Step 1 — Competitor Site Structure Analysis</w:t>
      </w:r>
    </w:p>
    <w:p>
      <w:pPr>
        <w:spacing w:after="80" w:before="80" w:line="300"/>
      </w:pPr>
      <w:r>
        <w:rPr>
          <w:rFonts w:ascii="Calibri" w:cs="Calibri" w:eastAsia="Calibri" w:hAnsi="Calibri"/>
          <w:color w:val="1A1A1A"/>
          <w:sz w:val="22"/>
          <w:szCs w:val="22"/>
        </w:rPr>
        <w:t xml:space="preserve">Six competitor properties were mapped page by page: the category leader's main site and both of its trade pages, a micro-brand's partner page, the closest true peer in the same district, a challenger's process page, that challenger's separate business-to-business property, and the recruitment marketplace that intercepts trade search intent.</w:t>
      </w:r>
    </w:p>
    <w:p>
      <w:pPr>
        <w:pStyle w:val="Heading3"/>
        <w:spacing w:after="100" w:before="240"/>
      </w:pPr>
      <w:r>
        <w:rPr>
          <w:rFonts w:ascii="Calibri" w:cs="Calibri" w:eastAsia="Calibri" w:hAnsi="Calibri"/>
          <w:b/>
          <w:bCs/>
          <w:color w:val="1A2B3C"/>
          <w:sz w:val="24"/>
          <w:szCs w:val="24"/>
        </w:rPr>
        <w:t xml:space="preserve">The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860"/>
      </w:tblGrid>
      <w:tr>
        <w:trPr>
          <w:tblHeader/>
        </w:trPr>
        <w:tc>
          <w:tcPr>
            <w:tcW w:type="dxa" w:w="17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Property</w:t>
            </w:r>
          </w:p>
        </w:tc>
        <w:tc>
          <w:tcPr>
            <w:tcW w:type="dxa" w:w="2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Navigation</w:t>
            </w:r>
          </w:p>
        </w:tc>
        <w:tc>
          <w:tcPr>
            <w:tcW w:type="dxa" w:w="26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Trade route</w:t>
            </w:r>
          </w:p>
        </w:tc>
        <w:tc>
          <w:tcPr>
            <w:tcW w:type="dxa" w:w="28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Conversion architecture</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Category leader — main site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 · About · Offers · Products · Franchise · Contact</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Two, disconnected. An eight-way partner selector on one page and a ten-field distributor form on another, reachable only from a footer link.</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Pinned WhatsApp and click-to-call sitewide. Tag manager present. Pincode gate, cart, login, order tracking and a sixty-minute delivery promise.</w:t>
            </w:r>
          </w:p>
        </w:tc>
      </w:tr>
      <w:tr>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Micro-brand</w:t>
            </w:r>
          </w:p>
        </w:tc>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Index · Partner</w:t>
            </w:r>
          </w:p>
        </w:tc>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 single partner page with a three-way interest selector and a published twenty-four-hour response promise.</w:t>
            </w:r>
          </w:p>
        </w:tc>
        <w:tc>
          <w:tcPr>
            <w:tcW w:type="dxa" w:w="28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Form routing to a free consumer email address. Page metadata explicitly targets trade intent by district.</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Closest peer, same district</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 · About · Blog · Products · Contact</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None. Contact page only.</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Tag manager present. Toll-free number and a branded domain email. Commerce basket installed. Blog dormant since 2022.</w:t>
            </w:r>
          </w:p>
        </w:tc>
      </w:tr>
      <w:tr>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Challenger — brand site</w:t>
            </w:r>
          </w:p>
        </w:tc>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 · About · Making · Media · Career · Contact</w:t>
            </w:r>
          </w:p>
        </w:tc>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None.</w:t>
            </w:r>
          </w:p>
        </w:tc>
        <w:tc>
          <w:tcPr>
            <w:tcW w:type="dxa" w:w="28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process page is built entirely on adjectives. No named steps, no credentials, no evidence.</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Challenger — B2B property</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Separate domain</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 trade line with full specification depth.</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Publishes storage temperature, shelf life, thaw protocol, yield, a downloadable brochure and a multi-state delivery commitment.</w:t>
            </w:r>
          </w:p>
        </w:tc>
      </w:tr>
      <w:tr>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Recruitment marketplace</w:t>
            </w:r>
          </w:p>
        </w:tc>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Category listings</w:t>
            </w:r>
          </w:p>
        </w:tc>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category leader lists here, stating active appointment across five states.</w:t>
            </w:r>
          </w:p>
        </w:tc>
        <w:tc>
          <w:tcPr>
            <w:tcW w:type="dxa" w:w="28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Owns the trade-intent search result the manufacturer sites do not contest.</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Boogies (baseline)</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 · About · Premium Flavour · Products · Boogie-Woogie · Gallery · Contact</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One radio button on a general contact form.</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Two forms to a consumer email address. No tag manager, no schema, no locator.</w:t>
            </w:r>
          </w:p>
        </w:tc>
      </w:tr>
    </w:tbl>
    <w:p>
      <w:pPr>
        <w:pStyle w:val="Heading3"/>
        <w:spacing w:after="100" w:before="240"/>
      </w:pPr>
      <w:r>
        <w:rPr>
          <w:rFonts w:ascii="Calibri" w:cs="Calibri" w:eastAsia="Calibri" w:hAnsi="Calibri"/>
          <w:b/>
          <w:bCs/>
          <w:color w:val="1A2B3C"/>
          <w:sz w:val="24"/>
          <w:szCs w:val="24"/>
        </w:rPr>
        <w:t xml:space="preserve">Seven recurring structural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2260"/>
      </w:tblGrid>
      <w:tr>
        <w:trPr>
          <w:tblHeader/>
        </w:trPr>
        <w:tc>
          <w:tcPr>
            <w:tcW w:type="dxa" w:w="21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Pattern</w:t>
            </w:r>
          </w:p>
        </w:tc>
        <w:tc>
          <w:tcPr>
            <w:tcW w:type="dxa" w:w="50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Observation</w:t>
            </w:r>
          </w:p>
        </w:tc>
        <w:tc>
          <w:tcPr>
            <w:tcW w:type="dxa" w:w="22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Follow or break</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Trade content is bolted on, never integrated</w:t>
            </w:r>
          </w:p>
        </w:tc>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leader's distributor page uses a different template, a different asset path, a different form and a footer of dead links. The challenger's trade specifications sit on an entirely separate domain. The micro-brand's partner page is a standalone file. Not one competitor treats trade as part of the site's architecture.</w:t>
            </w:r>
          </w:p>
        </w:tc>
        <w:tc>
          <w:tcPr>
            <w:tcW w:type="dxa" w:w="2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BREAK — integrate fully</w:t>
            </w:r>
          </w:p>
        </w:tc>
      </w:tr>
      <w:tr>
        <w:tc>
          <w:tcPr>
            <w:tcW w:type="dxa" w:w="21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Entry-point segmentation is spreading</w:t>
            </w:r>
          </w:p>
        </w:tc>
        <w:tc>
          <w:tcPr>
            <w:tcW w:type="dxa" w:w="5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Eight-way sorting on one competitor, three-way on another.</w:t>
            </w:r>
          </w:p>
        </w:tc>
        <w:tc>
          <w:tcPr>
            <w:tcW w:type="dxa" w:w="22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FOLLOW and exceed</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Value claims carry no numbers</w:t>
            </w:r>
          </w:p>
        </w:tc>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Four unfalsifiable badges on the leader's page, one carrying an asterisk that leads nowhere. Three equivalent claims on the micro-brand's page.</w:t>
            </w:r>
          </w:p>
        </w:tc>
        <w:tc>
          <w:tcPr>
            <w:tcW w:type="dxa" w:w="2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BREAK — every claim gets a number or a named commitment</w:t>
            </w:r>
          </w:p>
        </w:tc>
      </w:tr>
      <w:tr>
        <w:tc>
          <w:tcPr>
            <w:tcW w:type="dxa" w:w="21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WhatsApp and click-to-call are pinned, not buried</w:t>
            </w:r>
          </w:p>
        </w:tc>
        <w:tc>
          <w:tcPr>
            <w:tcW w:type="dxa" w:w="5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leader floats both on every page.</w:t>
            </w:r>
          </w:p>
        </w:tc>
        <w:tc>
          <w:tcPr>
            <w:tcW w:type="dxa" w:w="22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FOLLOW directly</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serious players measure</w:t>
            </w:r>
          </w:p>
        </w:tc>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Both the leader and the closest peer run tag managers. Boogies has no measurement of any kind.</w:t>
            </w:r>
          </w:p>
        </w:tc>
        <w:tc>
          <w:tcPr>
            <w:tcW w:type="dxa" w:w="2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FOLLOW — instrument from launch</w:t>
            </w:r>
          </w:p>
        </w:tc>
      </w:tr>
      <w:tr>
        <w:tc>
          <w:tcPr>
            <w:tcW w:type="dxa" w:w="21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Format and size used as product taxonomy</w:t>
            </w:r>
          </w:p>
        </w:tc>
        <w:tc>
          <w:tcPr>
            <w:tcW w:type="dxa" w:w="5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closest peer files every flavour under size-based category paths.</w:t>
            </w:r>
          </w:p>
        </w:tc>
        <w:tc>
          <w:tcPr>
            <w:tcW w:type="dxa" w:w="22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FOLLOW — validates the tier-plus-filter decision</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Contact routing is fragmented everywhere</w:t>
            </w:r>
          </w:p>
        </w:tc>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leader publishes at least four phone numbers and routes partner enquiries to finance and IT addresses. The micro-brand routes to a free consumer mailbox. Boogies publishes a different number on social media than on its own site.</w:t>
            </w:r>
          </w:p>
        </w:tc>
        <w:tc>
          <w:tcPr>
            <w:tcW w:type="dxa" w:w="22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BREAK — one owner, one partner address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Two corrections to the prior competitive research</w:t>
            </w:r>
          </w:p>
          <w:p>
            <w:pPr>
              <w:spacing w:after="40" w:before="40" w:line="280"/>
            </w:pPr>
            <w:r>
              <w:rPr>
                <w:rFonts w:ascii="Calibri" w:cs="Calibri" w:eastAsia="Calibri" w:hAnsi="Calibri"/>
                <w:color w:val="1A1A1A"/>
                <w:sz w:val="21"/>
                <w:szCs w:val="21"/>
              </w:rPr>
              <w:t xml:space="preserve">The low-capital entry route is contested at the label, though not at the substance. Prior research assumed no competitor offers a graduated entry path. The category leader in fact lists Mobile Vending — street vending and mobile units — as one of eight partner categories, with no terms, no economics and no vehicle supply behind it. The differentiation survives but narrows: Boogies manufactures the vans, so it can publish the arithmetic where a competitor can only publish the word.</w:t>
            </w:r>
          </w:p>
          <w:p>
            <w:pPr>
              <w:spacing w:after="40" w:before="40" w:line="280"/>
            </w:pPr>
            <w:r>
              <w:rPr>
                <w:rFonts w:ascii="Calibri" w:cs="Calibri" w:eastAsia="Calibri" w:hAnsi="Calibri"/>
                <w:color w:val="1A1A1A"/>
                <w:sz w:val="21"/>
                <w:szCs w:val="21"/>
              </w:rPr>
              <w:t xml:space="preserve">The claim that nobody publishes trade specifications is now false. A Kerala incumbent publishes storage temperature, shelf life, thaw protocol, yield and a multi-state delivery commitment — on a separate business-to-business property rather than on its ice cream brand. This matters twice: it proves a competitor will commit to delivery frequency in public, and it sets the specification standard the Boogies trade catalogue must meet. It also indicates that competitor is moving on the bakery, parlour and caterer accounts the Boogies premium tier depends on.</w:t>
            </w:r>
          </w:p>
          <w:p>
            <w:pPr>
              <w:spacing w:after="40" w:before="40" w:line="280"/>
            </w:pPr>
            <w:r>
              <w:rPr>
                <w:rFonts w:ascii="Calibri" w:cs="Calibri" w:eastAsia="Calibri" w:hAnsi="Calibri"/>
                <w:color w:val="1A1A1A"/>
                <w:sz w:val="21"/>
                <w:szCs w:val="21"/>
              </w:rPr>
              <w:t xml:space="preserve">The white space that does hold, verified live across all six properties: no margin position, no territory policy, no freezer terms, no replacement policy, no sell-through evidence, no published credentials.</w:t>
            </w:r>
          </w:p>
        </w:tc>
      </w:tr>
    </w:tbl>
    <w:p>
      <w:pPr>
        <w:pStyle w:val="Heading3"/>
        <w:spacing w:after="100" w:before="240"/>
      </w:pPr>
      <w:r>
        <w:rPr>
          <w:rFonts w:ascii="Calibri" w:cs="Calibri" w:eastAsia="Calibri" w:hAnsi="Calibri"/>
          <w:b/>
          <w:bCs/>
          <w:color w:val="1A2B3C"/>
          <w:sz w:val="24"/>
          <w:szCs w:val="24"/>
        </w:rPr>
        <w:t xml:space="preserve">Twelve recommendations encoded into the sitemap</w:t>
      </w:r>
    </w:p>
    <w:p>
      <w:pPr>
        <w:pStyle w:val="ListParagraph"/>
        <w:numPr>
          <w:ilvl w:val="0"/>
          <w:numId w:val="3"/>
        </w:numPr>
        <w:spacing w:after="40" w:before="40" w:line="280"/>
      </w:pPr>
      <w:r>
        <w:rPr>
          <w:rFonts w:ascii="Calibri" w:cs="Calibri" w:eastAsia="Calibri" w:hAnsi="Calibri"/>
          <w:color w:val="1A1A1A"/>
          <w:sz w:val="22"/>
          <w:szCs w:val="22"/>
        </w:rPr>
        <w:t xml:space="preserve">Integrate the partner section into the primary architecture — one navigation slot, one template system, one footer. Do not build a microsite.</w:t>
      </w:r>
    </w:p>
    <w:p>
      <w:pPr>
        <w:pStyle w:val="ListParagraph"/>
        <w:numPr>
          <w:ilvl w:val="0"/>
          <w:numId w:val="3"/>
        </w:numPr>
        <w:spacing w:after="40" w:before="40" w:line="280"/>
      </w:pPr>
      <w:r>
        <w:rPr>
          <w:rFonts w:ascii="Calibri" w:cs="Calibri" w:eastAsia="Calibri" w:hAnsi="Calibri"/>
          <w:color w:val="1A1A1A"/>
          <w:sz w:val="22"/>
          <w:szCs w:val="22"/>
        </w:rPr>
        <w:t xml:space="preserve">Sort five ways at entry, exceeding both the orphaned eight-way and the three-way benchmarks.</w:t>
      </w:r>
    </w:p>
    <w:p>
      <w:pPr>
        <w:pStyle w:val="ListParagraph"/>
        <w:numPr>
          <w:ilvl w:val="0"/>
          <w:numId w:val="3"/>
        </w:numPr>
        <w:spacing w:after="40" w:before="40" w:line="280"/>
      </w:pPr>
      <w:r>
        <w:rPr>
          <w:rFonts w:ascii="Calibri" w:cs="Calibri" w:eastAsia="Calibri" w:hAnsi="Calibri"/>
          <w:color w:val="1A1A1A"/>
          <w:sz w:val="22"/>
          <w:szCs w:val="22"/>
        </w:rPr>
        <w:t xml:space="preserve">Replace every value badge with a number or a named commitment. Cut anything that cannot be evidenced.</w:t>
      </w:r>
    </w:p>
    <w:p>
      <w:pPr>
        <w:pStyle w:val="ListParagraph"/>
        <w:numPr>
          <w:ilvl w:val="0"/>
          <w:numId w:val="3"/>
        </w:numPr>
        <w:spacing w:after="40" w:before="40" w:line="280"/>
      </w:pPr>
      <w:r>
        <w:rPr>
          <w:rFonts w:ascii="Calibri" w:cs="Calibri" w:eastAsia="Calibri" w:hAnsi="Calibri"/>
          <w:color w:val="1A1A1A"/>
          <w:sz w:val="22"/>
          <w:szCs w:val="22"/>
        </w:rPr>
        <w:t xml:space="preserve">Adopt the leader's intake fields wholesale — separating WhatsApp from phone, capturing territory at three levels — then add cold-chain capacity, vehicle status, licensing and timeline in step two.</w:t>
      </w:r>
    </w:p>
    <w:p>
      <w:pPr>
        <w:pStyle w:val="ListParagraph"/>
        <w:numPr>
          <w:ilvl w:val="0"/>
          <w:numId w:val="3"/>
        </w:numPr>
        <w:spacing w:after="40" w:before="40" w:line="280"/>
      </w:pPr>
      <w:r>
        <w:rPr>
          <w:rFonts w:ascii="Calibri" w:cs="Calibri" w:eastAsia="Calibri" w:hAnsi="Calibri"/>
          <w:color w:val="1A1A1A"/>
          <w:sz w:val="22"/>
          <w:szCs w:val="22"/>
        </w:rPr>
        <w:t xml:space="preserve">Pin WhatsApp and click-to-call sitewide with per-page context.</w:t>
      </w:r>
    </w:p>
    <w:p>
      <w:pPr>
        <w:pStyle w:val="ListParagraph"/>
        <w:numPr>
          <w:ilvl w:val="0"/>
          <w:numId w:val="3"/>
        </w:numPr>
        <w:spacing w:after="40" w:before="40" w:line="280"/>
      </w:pPr>
      <w:r>
        <w:rPr>
          <w:rFonts w:ascii="Calibri" w:cs="Calibri" w:eastAsia="Calibri" w:hAnsi="Calibri"/>
          <w:color w:val="1A1A1A"/>
          <w:sz w:val="22"/>
          <w:szCs w:val="22"/>
        </w:rPr>
        <w:t xml:space="preserve">Match the specification depth already published on a competitor's business-to-business property: weight, case configuration, shelf life, storage temperature and minimum order quantity on every trade product surface.</w:t>
      </w:r>
    </w:p>
    <w:p>
      <w:pPr>
        <w:pStyle w:val="ListParagraph"/>
        <w:numPr>
          <w:ilvl w:val="0"/>
          <w:numId w:val="3"/>
        </w:numPr>
        <w:spacing w:after="40" w:before="40" w:line="280"/>
      </w:pPr>
      <w:r>
        <w:rPr>
          <w:rFonts w:ascii="Calibri" w:cs="Calibri" w:eastAsia="Calibri" w:hAnsi="Calibri"/>
          <w:color w:val="1A1A1A"/>
          <w:sz w:val="22"/>
          <w:szCs w:val="22"/>
        </w:rPr>
        <w:t xml:space="preserve">Publish a delivery-frequency commitment. A competitor already does this in public, which removes the objection that nobody in the category does.</w:t>
      </w:r>
    </w:p>
    <w:p>
      <w:pPr>
        <w:pStyle w:val="ListParagraph"/>
        <w:numPr>
          <w:ilvl w:val="0"/>
          <w:numId w:val="3"/>
        </w:numPr>
        <w:spacing w:after="40" w:before="40" w:line="280"/>
      </w:pPr>
      <w:r>
        <w:rPr>
          <w:rFonts w:ascii="Calibri" w:cs="Calibri" w:eastAsia="Calibri" w:hAnsi="Calibri"/>
          <w:color w:val="1A1A1A"/>
          <w:sz w:val="22"/>
          <w:szCs w:val="22"/>
        </w:rPr>
        <w:t xml:space="preserve">Use format and size as filterable taxonomy rather than as headings on one long page.</w:t>
      </w:r>
    </w:p>
    <w:p>
      <w:pPr>
        <w:pStyle w:val="ListParagraph"/>
        <w:numPr>
          <w:ilvl w:val="0"/>
          <w:numId w:val="3"/>
        </w:numPr>
        <w:spacing w:after="40" w:before="40" w:line="280"/>
      </w:pPr>
      <w:r>
        <w:rPr>
          <w:rFonts w:ascii="Calibri" w:cs="Calibri" w:eastAsia="Calibri" w:hAnsi="Calibri"/>
          <w:color w:val="1A1A1A"/>
          <w:sz w:val="22"/>
          <w:szCs w:val="22"/>
        </w:rPr>
        <w:t xml:space="preserve">Build the plant section as documentary — film, named process steps, published credentials. The competitor process page built on adjectives is the failure mode to avoid.</w:t>
      </w:r>
    </w:p>
    <w:p>
      <w:pPr>
        <w:pStyle w:val="ListParagraph"/>
        <w:numPr>
          <w:ilvl w:val="0"/>
          <w:numId w:val="3"/>
        </w:numPr>
        <w:spacing w:after="40" w:before="40" w:line="280"/>
      </w:pPr>
      <w:r>
        <w:rPr>
          <w:rFonts w:ascii="Calibri" w:cs="Calibri" w:eastAsia="Calibri" w:hAnsi="Calibri"/>
          <w:color w:val="1A1A1A"/>
          <w:sz w:val="22"/>
          <w:szCs w:val="22"/>
        </w:rPr>
        <w:t xml:space="preserve">One partner email on a brand domain, one named owner per entity. Never a consumer mailbox on a trade page.</w:t>
      </w:r>
    </w:p>
    <w:p>
      <w:pPr>
        <w:pStyle w:val="ListParagraph"/>
        <w:numPr>
          <w:ilvl w:val="0"/>
          <w:numId w:val="3"/>
        </w:numPr>
        <w:spacing w:after="40" w:before="40" w:line="280"/>
      </w:pPr>
      <w:r>
        <w:rPr>
          <w:rFonts w:ascii="Calibri" w:cs="Calibri" w:eastAsia="Calibri" w:hAnsi="Calibri"/>
          <w:color w:val="1A1A1A"/>
          <w:sz w:val="22"/>
          <w:szCs w:val="22"/>
        </w:rPr>
        <w:t xml:space="preserve">List on the recruitment marketplaces and refresh the existing trade marketplace profile, but treat them as feeders into owned district pages rather than as the destination.</w:t>
      </w:r>
    </w:p>
    <w:p>
      <w:pPr>
        <w:pStyle w:val="ListParagraph"/>
        <w:numPr>
          <w:ilvl w:val="0"/>
          <w:numId w:val="3"/>
        </w:numPr>
        <w:spacing w:after="40" w:before="40" w:line="280"/>
      </w:pPr>
      <w:r>
        <w:rPr>
          <w:rFonts w:ascii="Calibri" w:cs="Calibri" w:eastAsia="Calibri" w:hAnsi="Calibri"/>
          <w:color w:val="1A1A1A"/>
          <w:sz w:val="22"/>
          <w:szCs w:val="22"/>
        </w:rPr>
        <w:t xml:space="preserve">Instrument from day one. Both serious competitors run tag managers; the category leader is measuring a funnel Boogies currently cannot see.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Architectural verdict</w:t>
            </w:r>
          </w:p>
          <w:p>
            <w:pPr>
              <w:spacing w:after="40" w:before="40" w:line="280"/>
            </w:pPr>
            <w:r>
              <w:rPr>
                <w:rFonts w:ascii="Calibri" w:cs="Calibri" w:eastAsia="Calibri" w:hAnsi="Calibri"/>
                <w:color w:val="1A1A1A"/>
                <w:sz w:val="21"/>
                <w:szCs w:val="21"/>
              </w:rPr>
              <w:t xml:space="preserve">This sitemap is the category leader's partner-segmentation skeleton made integral rather than orphaned, plus the micro-brand's public response commitment underwritten by automation rather than asserted, plus the challenger's trade-specification depth pulled onto the main brand, plus the closest peer's format taxonomy.</w:t>
            </w:r>
          </w:p>
          <w:p>
            <w:pPr>
              <w:spacing w:after="40" w:before="40" w:line="280"/>
            </w:pPr>
            <w:r>
              <w:rPr>
                <w:rFonts w:ascii="Calibri" w:cs="Calibri" w:eastAsia="Calibri" w:hAnsi="Calibri"/>
                <w:color w:val="1A1A1A"/>
                <w:sz w:val="21"/>
                <w:szCs w:val="21"/>
              </w:rPr>
              <w:t xml:space="preserve">Added to those four is what no competitor in the category publishes at all: a territory position, unit economics, and a documented plant.</w:t>
            </w:r>
          </w:p>
          <w:p>
            <w:pPr>
              <w:spacing w:after="40" w:before="40" w:line="280"/>
            </w:pPr>
            <w:r>
              <w:rPr>
                <w:rFonts w:ascii="Calibri" w:cs="Calibri" w:eastAsia="Calibri" w:hAnsi="Calibri"/>
                <w:color w:val="1A1A1A"/>
                <w:sz w:val="21"/>
                <w:szCs w:val="21"/>
              </w:rPr>
              <w:t xml:space="preserve">The first four are catch-up and cost nothing but build discipline. The last three are the entire competitive advantage — and every one of them is a client decision rather than a design task.</w:t>
            </w:r>
          </w:p>
        </w:tc>
      </w:tr>
    </w:tbl>
    <w:p>
      <w:pPr>
        <w:pStyle w:val="Heading2"/>
        <w:spacing w:after="140" w:before="320"/>
      </w:pPr>
      <w:r>
        <w:rPr>
          <w:rFonts w:ascii="Calibri" w:cs="Calibri" w:eastAsia="Calibri" w:hAnsi="Calibri"/>
          <w:b/>
          <w:bCs/>
          <w:color w:val="1A2B3C"/>
          <w:sz w:val="28"/>
          <w:szCs w:val="28"/>
        </w:rPr>
        <w:t xml:space="preserve">2.2  Build Step 2 — User Flow Modelling</w:t>
      </w:r>
    </w:p>
    <w:p>
      <w:pPr>
        <w:spacing w:after="80" w:before="80" w:line="300"/>
      </w:pPr>
      <w:r>
        <w:rPr>
          <w:rFonts w:ascii="Calibri" w:cs="Calibri" w:eastAsia="Calibri" w:hAnsi="Calibri"/>
          <w:color w:val="1A1A1A"/>
          <w:sz w:val="22"/>
          <w:szCs w:val="22"/>
        </w:rPr>
        <w:t xml:space="preserve">Ten flows traced end to end. A sitemap is not a page list but a network of paths, and the paths are where conversion actually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00"/>
        <w:gridCol w:w="2560"/>
      </w:tblGrid>
      <w:tr>
        <w:trPr>
          <w:tblHeader/>
        </w:trPr>
        <w:tc>
          <w:tcPr>
            <w:tcW w:type="dxa" w:w="17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Flow</w:t>
            </w:r>
          </w:p>
        </w:tc>
        <w:tc>
          <w:tcPr>
            <w:tcW w:type="dxa" w:w="27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Entry and intent</w:t>
            </w:r>
          </w:p>
        </w:tc>
        <w:tc>
          <w:tcPr>
            <w:tcW w:type="dxa" w:w="2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Click path</w:t>
            </w:r>
          </w:p>
        </w:tc>
        <w:tc>
          <w:tcPr>
            <w:tcW w:type="dxa" w:w="25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Drop-off risk</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Idle-capacity distributor</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Freezers and vehicle earning nothing while fixed costs run. The highest-intent moment that exists in this trade.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 → trade entry → distributor section → evidence → territory → territory check</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Bounces if the homepage reads as a consumer ice cream brand. The highest-value visitor, lost in seconds by the current site.</w:t>
            </w:r>
          </w:p>
        </w:tc>
      </w:tr>
      <w:tr>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Margin comparer</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Comparing Boogies against the line already on his van. Calculates rupees per unit, not percentages.</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Search → economics → tier ladder → evidence → territory check</w:t>
            </w:r>
          </w:p>
        </w:tc>
        <w:tc>
          <w:tcPr>
            <w:tcW w:type="dxa" w:w="2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Reaches economics before believing the product moves, concludes nobody is asking for it, leaves.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Trade-intent searcher</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Searching for a distributorship by district. Currently lands on a directory or a marketplace.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District page → belief chain in miniature → territory check</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Never arrives at all. This is the flow that does not exist today.</w:t>
            </w:r>
          </w:p>
        </w:tc>
      </w:tr>
      <w:tr>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Returning-capital operator</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 finite lump sum seeking deployment. Wants inspectable assets and a route he can run himself. Fails the distributor filter by design.</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 router → van route → earnings picture → plant</w:t>
            </w:r>
          </w:p>
        </w:tc>
        <w:tc>
          <w:tcPr>
            <w:tcW w:type="dxa" w:w="2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Gets rejected rather than routed. The filter must route, not reject.</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Gatekeeper due diligence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 family member or business partner checking whether this is real.</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Search → directories and the company page → entities, credentials, reviews</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Finds an unclaimed directory listing, a social page describing a birthday-party shop, and inconsistent contact details. Kills the deal off-site, silently.</w:t>
            </w:r>
          </w:p>
        </w:tc>
      </w:tr>
      <w:tr>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Relationship-first prospect</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Will not fill a form. Wants a person.</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Any page → pinned WhatsApp with page context</w:t>
            </w:r>
          </w:p>
        </w:tc>
        <w:tc>
          <w:tcPr>
            <w:tcW w:type="dxa" w:w="2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 visible human. A form-only site loses this archetype entirely.</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Retailer</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Wants a freezer and stock. Decides in one conversation.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Retailer page → margin, delivery, melt policy → enquiry</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Receives a distributor-length page and abandons.</w:t>
            </w:r>
          </w:p>
        </w:tc>
      </w:tr>
      <w:tr>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Consumer locator</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Where can I buy this near me?</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Locator → district → outlet, or zero-result</w:t>
            </w:r>
          </w:p>
        </w:tc>
        <w:tc>
          <w:tcPr>
            <w:tcW w:type="dxa" w:w="2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Dead end on zero-result. Today there is no locator at all — only pipe-separated town names.</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Bulk and event buyer</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Wedding, party or catering volume.</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Bulk page → formats and quantities → enquiry</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Currently routed nowhere, despite the homepage promising doorstep delivery of large orders.</w:t>
            </w:r>
          </w:p>
        </w:tc>
      </w:tr>
      <w:tr>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 visitor</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Has already toured the factory. This happens organically and is entirely unmeasured.</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 visit page → straight to territory and terms</w:t>
            </w:r>
          </w:p>
        </w:tc>
        <w:tc>
          <w:tcPr>
            <w:tcW w:type="dxa" w:w="2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Treated as a cold lead and made to re-qualify from the beginning.</w:t>
            </w:r>
          </w:p>
        </w:tc>
      </w:tr>
    </w:tbl>
    <w:p>
      <w:pPr>
        <w:pStyle w:val="Heading3"/>
        <w:spacing w:after="100" w:before="240"/>
      </w:pPr>
      <w:r>
        <w:rPr>
          <w:rFonts w:ascii="Calibri" w:cs="Calibri" w:eastAsia="Calibri" w:hAnsi="Calibri"/>
          <w:b/>
          <w:bCs/>
          <w:color w:val="1A2B3C"/>
          <w:sz w:val="24"/>
          <w:szCs w:val="24"/>
        </w:rPr>
        <w:t xml:space="preserve">Five critical conversion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Transition</w:t>
            </w:r>
          </w:p>
        </w:tc>
        <w:tc>
          <w:tcPr>
            <w:tcW w:type="dxa" w:w="27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Failure mode</w:t>
            </w:r>
          </w:p>
        </w:tc>
        <w:tc>
          <w:tcPr>
            <w:tcW w:type="dxa" w:w="47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Required design behaviour</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Homepage to trade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Consumer framing makes a distributor conclude this is a retail brand and leave</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Trade entry above the fold. The homepage serves two audiences and hides neither — the consumer layer is itself a distributor proof asset, because a distributor assesses the brand's public face before signing.</w:t>
            </w:r>
          </w:p>
        </w:tc>
      </w:tr>
      <w:tr>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Evidence to economics</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Prospect reaches commercial terms before believing the product sells</w:t>
            </w:r>
          </w:p>
        </w:tc>
        <w:tc>
          <w:tcPr>
            <w:tcW w:type="dxa" w:w="4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Hard sequencing lock. Every route into the economics page passes an evidence block, and that page opens with sell-through rather than with price. Direct search entries get an evidence recap block for the same reason.</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Step one to step two</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Qualification fields read as an audit and the prospect abandons</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Step one creates the lead and fires acknowledgement before step two renders. Step two is framed as preparation for the territory answer, never as vetting, and can never block.</w:t>
            </w:r>
          </w:p>
        </w:tc>
      </w:tr>
      <w:tr>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Enquiry to first contact</w:t>
            </w:r>
          </w:p>
        </w:tc>
        <w:tc>
          <w:tcPr>
            <w:tcW w:type="dxa" w:w="2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published commitment breaks silently and nobody notices</w:t>
            </w:r>
          </w:p>
        </w:tc>
        <w:tc>
          <w:tcPr>
            <w:tcW w:type="dxa" w:w="4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Instant WhatsApp acknowledgement plus four-hour escalation on unclaimed leads.</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 page to family decision</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real decision happens off-site, in a room Boogies is not in, with no artifact</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Every partner page carries a forwardable pack and a share action, because the portfolio-adder archetype decides with family and business partners.</w:t>
            </w:r>
          </w:p>
        </w:tc>
      </w:tr>
    </w:tbl>
    <w:p>
      <w:pPr>
        <w:pStyle w:val="Heading3"/>
        <w:spacing w:after="100" w:before="240"/>
      </w:pPr>
      <w:r>
        <w:rPr>
          <w:rFonts w:ascii="Calibri" w:cs="Calibri" w:eastAsia="Calibri" w:hAnsi="Calibri"/>
          <w:b/>
          <w:bCs/>
          <w:color w:val="1A2B3C"/>
          <w:sz w:val="24"/>
          <w:szCs w:val="24"/>
        </w:rPr>
        <w:t xml:space="preserve">Eight emergent architectural requirements</w:t>
      </w:r>
    </w:p>
    <w:p>
      <w:pPr>
        <w:pStyle w:val="ListParagraph"/>
        <w:numPr>
          <w:ilvl w:val="0"/>
          <w:numId w:val="3"/>
        </w:numPr>
        <w:spacing w:after="40" w:before="40" w:line="280"/>
      </w:pPr>
      <w:r>
        <w:rPr>
          <w:rFonts w:ascii="Calibri" w:cs="Calibri" w:eastAsia="Calibri" w:hAnsi="Calibri"/>
          <w:color w:val="1A1A1A"/>
          <w:sz w:val="22"/>
          <w:szCs w:val="22"/>
        </w:rPr>
        <w:t xml:space="preserve">The homepage carries a trade entry above the fold — not a navigation item, but a visible route for a visitor whose first question is commercial.</w:t>
      </w:r>
    </w:p>
    <w:p>
      <w:pPr>
        <w:pStyle w:val="ListParagraph"/>
        <w:numPr>
          <w:ilvl w:val="0"/>
          <w:numId w:val="3"/>
        </w:numPr>
        <w:spacing w:after="40" w:before="40" w:line="280"/>
      </w:pPr>
      <w:r>
        <w:rPr>
          <w:rFonts w:ascii="Calibri" w:cs="Calibri" w:eastAsia="Calibri" w:hAnsi="Calibri"/>
          <w:color w:val="1A1A1A"/>
          <w:sz w:val="22"/>
          <w:szCs w:val="22"/>
        </w:rPr>
        <w:t xml:space="preserve">Sell-through evidence is a reusable component, not a page. It appears in sequence in the distributor section, on district pages and on the locator, because a page a visitor might miss cannot carry the first belief.</w:t>
      </w:r>
    </w:p>
    <w:p>
      <w:pPr>
        <w:pStyle w:val="ListParagraph"/>
        <w:numPr>
          <w:ilvl w:val="0"/>
          <w:numId w:val="3"/>
        </w:numPr>
        <w:spacing w:after="40" w:before="40" w:line="280"/>
      </w:pPr>
      <w:r>
        <w:rPr>
          <w:rFonts w:ascii="Calibri" w:cs="Calibri" w:eastAsia="Calibri" w:hAnsi="Calibri"/>
          <w:color w:val="1A1A1A"/>
          <w:sz w:val="22"/>
          <w:szCs w:val="22"/>
        </w:rPr>
        <w:t xml:space="preserve">The visible partner email appears on a minimum of four surfaces. This architecture places it on nine: the sitewide footer, the company page, the partner router, all five journey pages and the contact page.</w:t>
      </w:r>
    </w:p>
    <w:p>
      <w:pPr>
        <w:pStyle w:val="ListParagraph"/>
        <w:numPr>
          <w:ilvl w:val="0"/>
          <w:numId w:val="3"/>
        </w:numPr>
        <w:spacing w:after="40" w:before="40" w:line="280"/>
      </w:pPr>
      <w:r>
        <w:rPr>
          <w:rFonts w:ascii="Calibri" w:cs="Calibri" w:eastAsia="Calibri" w:hAnsi="Calibri"/>
          <w:color w:val="1A1A1A"/>
          <w:sz w:val="22"/>
          <w:szCs w:val="22"/>
        </w:rPr>
        <w:t xml:space="preserve">Every partner page is forwardable and WhatsApp-reachable, with page context pre-filled.</w:t>
      </w:r>
    </w:p>
    <w:p>
      <w:pPr>
        <w:pStyle w:val="ListParagraph"/>
        <w:numPr>
          <w:ilvl w:val="0"/>
          <w:numId w:val="3"/>
        </w:numPr>
        <w:spacing w:after="40" w:before="40" w:line="280"/>
      </w:pPr>
      <w:r>
        <w:rPr>
          <w:rFonts w:ascii="Calibri" w:cs="Calibri" w:eastAsia="Calibri" w:hAnsi="Calibri"/>
          <w:color w:val="1A1A1A"/>
          <w:sz w:val="22"/>
          <w:szCs w:val="22"/>
        </w:rPr>
        <w:t xml:space="preserve">Step one persists independently of step two. Partial capture is architectural, not a form setting.</w:t>
      </w:r>
    </w:p>
    <w:p>
      <w:pPr>
        <w:pStyle w:val="ListParagraph"/>
        <w:numPr>
          <w:ilvl w:val="0"/>
          <w:numId w:val="3"/>
        </w:numPr>
        <w:spacing w:after="40" w:before="40" w:line="280"/>
      </w:pPr>
      <w:r>
        <w:rPr>
          <w:rFonts w:ascii="Calibri" w:cs="Calibri" w:eastAsia="Calibri" w:hAnsi="Calibri"/>
          <w:color w:val="1A1A1A"/>
          <w:sz w:val="22"/>
          <w:szCs w:val="22"/>
        </w:rPr>
        <w:t xml:space="preserve">The locator's zero-result state converts and logs. Every failed search records a town with no coverage — free market-gap intelligence for the sales team.</w:t>
      </w:r>
    </w:p>
    <w:p>
      <w:pPr>
        <w:pStyle w:val="ListParagraph"/>
        <w:numPr>
          <w:ilvl w:val="0"/>
          <w:numId w:val="3"/>
        </w:numPr>
        <w:spacing w:after="40" w:before="40" w:line="280"/>
      </w:pPr>
      <w:r>
        <w:rPr>
          <w:rFonts w:ascii="Calibri" w:cs="Calibri" w:eastAsia="Calibri" w:hAnsi="Calibri"/>
          <w:color w:val="1A1A1A"/>
          <w:sz w:val="22"/>
          <w:szCs w:val="22"/>
        </w:rPr>
        <w:t xml:space="preserve">The plant visit is bookable from three surfaces: the plant page, the distributor process page, and the post-conversion page.</w:t>
      </w:r>
    </w:p>
    <w:p>
      <w:pPr>
        <w:pStyle w:val="ListParagraph"/>
        <w:numPr>
          <w:ilvl w:val="0"/>
          <w:numId w:val="3"/>
        </w:numPr>
        <w:spacing w:after="40" w:before="40" w:line="280"/>
      </w:pPr>
      <w:r>
        <w:rPr>
          <w:rFonts w:ascii="Calibri" w:cs="Calibri" w:eastAsia="Calibri" w:hAnsi="Calibri"/>
          <w:color w:val="1A1A1A"/>
          <w:sz w:val="22"/>
          <w:szCs w:val="22"/>
        </w:rPr>
        <w:t xml:space="preserve">District pages are entry points, not search-engine filler. Each carries the belief chain in miniature, because visitors arriving from search never see the homepage.</w:t>
      </w:r>
    </w:p>
    <w:p>
      <w:pPr>
        <w:spacing w:after="80" w:before="80" w:line="300"/>
      </w:pPr>
      <w:r>
        <w:rPr>
          <w:rFonts w:ascii="Calibri" w:cs="Calibri" w:eastAsia="Calibri" w:hAnsi="Calibri"/>
          <w:i/>
          <w:iCs/>
          <w:color w:val="1A1A1A"/>
          <w:sz w:val="22"/>
          <w:szCs w:val="22"/>
        </w:rPr>
        <w:t xml:space="preserve">One flow cannot be won by the website alone. The gatekeeper forms a verdict on search results, social pages and directory listings before ever reaching the site. Claiming those listings and correcting the social page copy is not marketing housekeeping — it is a load-bearing part of this funnel.</w:t>
      </w:r>
    </w:p>
    <w:p>
      <w:pPr>
        <w:pStyle w:val="Heading2"/>
        <w:spacing w:after="140" w:before="320"/>
      </w:pPr>
      <w:r>
        <w:rPr>
          <w:rFonts w:ascii="Calibri" w:cs="Calibri" w:eastAsia="Calibri" w:hAnsi="Calibri"/>
          <w:b/>
          <w:bCs/>
          <w:color w:val="1A2B3C"/>
          <w:sz w:val="28"/>
          <w:szCs w:val="28"/>
        </w:rPr>
        <w:t xml:space="preserve">2.3  Build Step 3 — Dynamic Routing &amp; Content Structuring</w:t>
      </w:r>
    </w:p>
    <w:p>
      <w:pPr>
        <w:pStyle w:val="Heading3"/>
        <w:spacing w:after="100" w:before="240"/>
      </w:pPr>
      <w:r>
        <w:rPr>
          <w:rFonts w:ascii="Calibri" w:cs="Calibri" w:eastAsia="Calibri" w:hAnsi="Calibri"/>
          <w:b/>
          <w:bCs/>
          <w:color w:val="1A2B3C"/>
          <w:sz w:val="24"/>
          <w:szCs w:val="24"/>
        </w:rPr>
        <w:t xml:space="preserve">URL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900"/>
        <w:gridCol w:w="1360"/>
      </w:tblGrid>
      <w:tr>
        <w:trPr>
          <w:tblHeader/>
        </w:trPr>
        <w:tc>
          <w:tcPr>
            <w:tcW w:type="dxa" w:w="21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Class</w:t>
            </w:r>
          </w:p>
        </w:tc>
        <w:tc>
          <w:tcPr>
            <w:tcW w:type="dxa" w:w="5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URLs</w:t>
            </w:r>
          </w:p>
        </w:tc>
        <w:tc>
          <w:tcPr>
            <w:tcW w:type="dxa" w:w="1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Count</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5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 · /products · /boogie-woogie · /plant · /plant/credentials · /plant/visit · /find-boogies · /partners · /partners/distributor and five children · /partners/retailer · /partners/van-route · /partners/franchise · /partners/bulk-events · /company · /resources · /resources/12-questions · /contact · /privacy · /terms</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24</w:t>
            </w:r>
          </w:p>
        </w:tc>
      </w:tr>
      <w:tr>
        <w:tc>
          <w:tcPr>
            <w:tcW w:type="dxa" w:w="21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Dynamic template</w:t>
            </w:r>
          </w:p>
        </w:tc>
        <w:tc>
          <w:tcPr>
            <w:tcW w:type="dxa" w:w="5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/products/[tier] · /products/[tier]/[sku] · /find-boogies/[district] · /distributorship/[state] · /distributorship/[state]/[district] · /resources/[slug] · /thank-you/[type]</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7 templates</w:t>
            </w:r>
          </w:p>
        </w:tc>
      </w:tr>
      <w:tr>
        <w:tc>
          <w:tcPr>
            <w:tcW w:type="dxa" w:w="2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Utility</w:t>
            </w:r>
          </w:p>
        </w:tc>
        <w:tc>
          <w:tcPr>
            <w:tcW w:type="dxa" w:w="5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/404 · /sitemap.xml · /robots.txt</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w:t>
            </w:r>
          </w:p>
        </w:tc>
      </w:tr>
      <w:tr>
        <w:tc>
          <w:tcPr>
            <w:tcW w:type="dxa" w:w="21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Reserved placeholder</w:t>
            </w:r>
          </w:p>
        </w:tc>
        <w:tc>
          <w:tcPr>
            <w:tcW w:type="dxa" w:w="5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/careers · /news · /ml · /ta · /partners/login · /shop</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Why the district trade pages sit outside the distributor section</w:t>
            </w:r>
          </w:p>
          <w:p>
            <w:pPr>
              <w:spacing w:after="40" w:before="40" w:line="280"/>
            </w:pPr>
            <w:r>
              <w:rPr>
                <w:rFonts w:ascii="Calibri" w:cs="Calibri" w:eastAsia="Calibri" w:hAnsi="Calibri"/>
                <w:color w:val="1A1A1A"/>
                <w:sz w:val="21"/>
                <w:szCs w:val="21"/>
              </w:rPr>
              <w:t xml:space="preserve">A dynamic district segment placed under /partners/distributor/ would collide with that section's static children — the router cannot distinguish a page named for a strategic topic from a page named for a town.</w:t>
            </w:r>
          </w:p>
          <w:p>
            <w:pPr>
              <w:spacing w:after="40" w:before="40" w:line="280"/>
            </w:pPr>
            <w:r>
              <w:rPr>
                <w:rFonts w:ascii="Calibri" w:cs="Calibri" w:eastAsia="Calibri" w:hAnsi="Calibri"/>
                <w:color w:val="1A1A1A"/>
                <w:sz w:val="21"/>
                <w:szCs w:val="21"/>
              </w:rPr>
              <w:t xml:space="preserve">Moving the trade district layer to its own top-level branch removes the collision and keyword-matches the query a prospect actually types. The two are cross-linked in both directions, so the hierarchy remains legible to a human even though it is split for the router.</w:t>
            </w:r>
          </w:p>
        </w:tc>
      </w:tr>
    </w:tbl>
    <w:p>
      <w:pPr>
        <w:pStyle w:val="Heading3"/>
        <w:spacing w:after="100" w:before="240"/>
      </w:pPr>
      <w:r>
        <w:rPr>
          <w:rFonts w:ascii="Calibri" w:cs="Calibri" w:eastAsia="Calibri" w:hAnsi="Calibri"/>
          <w:b/>
          <w:bCs/>
          <w:color w:val="1A2B3C"/>
          <w:sz w:val="24"/>
          <w:szCs w:val="24"/>
        </w:rPr>
        <w:t xml:space="preserve">Slug and convention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3360"/>
      </w:tblGrid>
      <w:tr>
        <w:trPr>
          <w:tblHeader/>
        </w:trPr>
        <w:tc>
          <w:tcPr>
            <w:tcW w:type="dxa" w:w="13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Type</w:t>
            </w:r>
          </w:p>
        </w:tc>
        <w:tc>
          <w:tcPr>
            <w:tcW w:type="dxa" w:w="47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Rule</w:t>
            </w:r>
          </w:p>
        </w:tc>
        <w:tc>
          <w:tcPr>
            <w:tcW w:type="dxa" w:w="3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Example</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SKU</w:t>
            </w:r>
          </w:p>
        </w:tc>
        <w:tc>
          <w:tcPr>
            <w:tcW w:type="dxa" w:w="4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Flavour, format and size joined by hyphens. Lowercase, three to six words.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tender-coconut-bulk-4l</w:t>
            </w:r>
          </w:p>
        </w:tc>
      </w:tr>
      <w:tr>
        <w:tc>
          <w:tcPr>
            <w:tcW w:type="dxa" w:w="13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District</w:t>
            </w:r>
          </w:p>
        </w:tc>
        <w:tc>
          <w:tcPr>
            <w:tcW w:type="dxa" w:w="4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Official district name, diacritics normalised, spelling verified.</w:t>
            </w:r>
          </w:p>
        </w:tc>
        <w:tc>
          <w:tcPr>
            <w:tcW w:type="dxa" w:w="3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thrissur — note the current site publishes a misspelling</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Outlet</w:t>
            </w:r>
          </w:p>
        </w:tc>
        <w:tc>
          <w:tcPr>
            <w:tcW w:type="dxa" w:w="4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Outlet name and town joined by hyphens.</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mini-ooty-arimbra</w:t>
            </w:r>
          </w:p>
        </w:tc>
      </w:tr>
      <w:tr>
        <w:tc>
          <w:tcPr>
            <w:tcW w:type="dxa" w:w="13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Resource</w:t>
            </w:r>
          </w:p>
        </w:tc>
        <w:tc>
          <w:tcPr>
            <w:tcW w:type="dxa" w:w="4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Descriptive, question-form where it matches search intent.</w:t>
            </w:r>
          </w:p>
        </w:tc>
        <w:tc>
          <w:tcPr>
            <w:tcW w:type="dxa" w:w="3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12-questions-before-you-sign</w:t>
            </w:r>
          </w:p>
        </w:tc>
      </w:tr>
    </w:tbl>
    <w:p>
      <w:pPr>
        <w:spacing w:after="80" w:before="80" w:line="300"/>
      </w:pPr>
      <w:r>
        <w:rPr>
          <w:rFonts w:ascii="Calibri" w:cs="Calibri" w:eastAsia="Calibri" w:hAnsi="Calibri"/>
          <w:color w:val="1A1A1A"/>
          <w:sz w:val="22"/>
          <w:szCs w:val="22"/>
        </w:rPr>
        <w:t xml:space="preserve">Conventions applied sitewide: lowercase only · hyphens, never underscores · no trailing slash, which requires a full redirect map because the current site uses them · query strings carry filter state and never become separate URLs · no file extensions and no index files. The canonical host is the apex domain; the current site is inconsistent, declaring a canonical on one host while linking internally to the other.</w:t>
      </w:r>
    </w:p>
    <w:p>
      <w:pPr>
        <w:pStyle w:val="Heading3"/>
        <w:spacing w:after="100" w:before="240"/>
      </w:pPr>
      <w:r>
        <w:rPr>
          <w:rFonts w:ascii="Calibri" w:cs="Calibri" w:eastAsia="Calibri" w:hAnsi="Calibri"/>
          <w:b/>
          <w:bCs/>
          <w:color w:val="1A2B3C"/>
          <w:sz w:val="24"/>
          <w:szCs w:val="24"/>
        </w:rPr>
        <w:t xml:space="preserve">Canonical policy</w:t>
      </w:r>
    </w:p>
    <w:p>
      <w:pPr>
        <w:spacing w:after="80" w:before="80" w:line="300"/>
      </w:pPr>
      <w:r>
        <w:rPr>
          <w:rFonts w:ascii="Calibri" w:cs="Calibri" w:eastAsia="Calibri" w:hAnsi="Calibri"/>
          <w:color w:val="1A1A1A"/>
          <w:sz w:val="22"/>
          <w:szCs w:val="22"/>
        </w:rPr>
        <w:t xml:space="preserve">Self-canonical on every indexable page. Filtered views canonical to the clean tier URL. Vanity URLs canonical to their target. Paginated pages self-canonical. No cross-canonical between the consumer locator district page and the trade district page for the same town — they serve different intents with different content, and treating them as duplicates would collapse the trade layer into the consumer one. The obligation this creates is real: the two must stay genuinely distinct in content, or they risk being read as doorway pages.</w:t>
      </w:r>
    </w:p>
    <w:p>
      <w:pPr>
        <w:pStyle w:val="Heading3"/>
        <w:spacing w:after="100" w:before="240"/>
      </w:pPr>
      <w:r>
        <w:rPr>
          <w:rFonts w:ascii="Calibri" w:cs="Calibri" w:eastAsia="Calibri" w:hAnsi="Calibri"/>
          <w:b/>
          <w:bCs/>
          <w:color w:val="1A2B3C"/>
          <w:sz w:val="24"/>
          <w:szCs w:val="24"/>
        </w:rPr>
        <w:t xml:space="preserve">Redirect map — sixteen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From</w:t>
            </w:r>
          </w:p>
        </w:tc>
        <w:tc>
          <w:tcPr>
            <w:tcW w:type="dxa" w:w="3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To</w:t>
            </w:r>
          </w:p>
        </w:tc>
        <w:tc>
          <w:tcPr>
            <w:tcW w:type="dxa" w:w="29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Type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/about-us/</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/company</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legacy</w:t>
            </w:r>
          </w:p>
        </w:tc>
      </w:tr>
      <w:tr>
        <w:tc>
          <w:tcPr>
            <w:tcW w:type="dxa" w:w="3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/premium-flavour/</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/products/premium</w:t>
            </w:r>
          </w:p>
        </w:tc>
        <w:tc>
          <w:tcPr>
            <w:tcW w:type="dxa" w:w="2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legacy</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trailing slash</w:t>
            </w:r>
          </w:p>
        </w:tc>
      </w:tr>
      <w:tr>
        <w:tc>
          <w:tcPr>
            <w:tcW w:type="dxa" w:w="3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/boogie-woogie/</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/boogie-woogie</w:t>
            </w:r>
          </w:p>
        </w:tc>
        <w:tc>
          <w:tcPr>
            <w:tcW w:type="dxa" w:w="2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trailing slash</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/gallery/</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legacy — gallery content is plant and product photography</w:t>
            </w:r>
          </w:p>
        </w:tc>
      </w:tr>
      <w:tr>
        <w:tc>
          <w:tcPr>
            <w:tcW w:type="dxa" w:w="3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/contact-us/</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/contact</w:t>
            </w:r>
          </w:p>
        </w:tc>
        <w:tc>
          <w:tcPr>
            <w:tcW w:type="dxa" w:w="2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legacy</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www host</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apex host</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host normalisation</w:t>
            </w:r>
          </w:p>
        </w:tc>
      </w:tr>
      <w:tr>
        <w:tc>
          <w:tcPr>
            <w:tcW w:type="dxa" w:w="3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Any trailing slash</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Stripped</w:t>
            </w:r>
          </w:p>
        </w:tc>
        <w:tc>
          <w:tcPr>
            <w:tcW w:type="dxa" w:w="2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pattern</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Any uppercase path</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Lowercase</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pattern</w:t>
            </w:r>
          </w:p>
        </w:tc>
      </w:tr>
      <w:tr>
        <w:tc>
          <w:tcPr>
            <w:tcW w:type="dxa" w:w="3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/wp-content/* and /wp-*</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410 Gone</w:t>
            </w:r>
          </w:p>
        </w:tc>
        <w:tc>
          <w:tcPr>
            <w:tcW w:type="dxa" w:w="2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Platform artifact removal</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 /distributors, /dealership</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guessed legacy</w:t>
            </w:r>
          </w:p>
        </w:tc>
      </w:tr>
      <w:tr>
        <w:tc>
          <w:tcPr>
            <w:tcW w:type="dxa" w:w="3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/franchise</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/partners/franchise</w:t>
            </w:r>
          </w:p>
        </w:tc>
        <w:tc>
          <w:tcPr>
            <w:tcW w:type="dxa" w:w="2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guessed legacy</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/tasty-points</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/find-boogies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guessed legacy</w:t>
            </w:r>
          </w:p>
        </w:tc>
      </w:tr>
      <w:tr>
        <w:tc>
          <w:tcPr>
            <w:tcW w:type="dxa" w:w="3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/boogiewoogie</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/boogie-woogie</w:t>
            </w:r>
          </w:p>
        </w:tc>
        <w:tc>
          <w:tcPr>
            <w:tcW w:type="dxa" w:w="2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vanity</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vanity</w:t>
            </w:r>
          </w:p>
        </w:tc>
      </w:tr>
      <w:tr>
        <w:tc>
          <w:tcPr>
            <w:tcW w:type="dxa" w:w="3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/vans</w:t>
            </w:r>
          </w:p>
        </w:tc>
        <w:tc>
          <w:tcPr>
            <w:tcW w:type="dxa" w:w="3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/partners/van-route</w:t>
            </w:r>
          </w:p>
        </w:tc>
        <w:tc>
          <w:tcPr>
            <w:tcW w:type="dxa" w:w="2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301 vanity</w:t>
            </w:r>
          </w:p>
        </w:tc>
      </w:tr>
    </w:tbl>
    <w:p>
      <w:pPr>
        <w:pStyle w:val="Heading3"/>
        <w:spacing w:after="100" w:before="240"/>
      </w:pPr>
      <w:r>
        <w:rPr>
          <w:rFonts w:ascii="Calibri" w:cs="Calibri" w:eastAsia="Calibri" w:hAnsi="Calibri"/>
          <w:b/>
          <w:bCs/>
          <w:color w:val="1A2B3C"/>
          <w:sz w:val="24"/>
          <w:szCs w:val="24"/>
        </w:rPr>
        <w:t xml:space="preserve">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Edge case</w:t>
            </w:r>
          </w:p>
        </w:tc>
        <w:tc>
          <w:tcPr>
            <w:tcW w:type="dxa" w:w="69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Handling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 SKU belonging to multiple tiers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Live issue: one flavour currently appears as a carry-home pack, a top-band bulk line and a sub-brand scoop. Each SKU is assigned exactly one canonical tier and appears elsewhere by relation — never as a duplicate URL.</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 district with no outlets</w:t>
            </w:r>
          </w:p>
        </w:tc>
        <w:tc>
          <w:tcPr>
            <w:tcW w:type="dxa" w:w="6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page still exists. It renders a territory-open state rather than an outlet list, which is the entire trade thesis rather than an empty state.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Exclusive sub-brand lines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Carry an exclusivity flag so no retailer or distributor surface ever implies they can be stocked.</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Discontinued SKU</w:t>
            </w:r>
          </w:p>
        </w:tc>
        <w:tc>
          <w:tcPr>
            <w:tcW w:type="dxa" w:w="6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Redirect to the tier page; record retained for twelve months.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Closed outlet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Redirect to its district page. A locator result must never return a not-found error.</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Draft content</w:t>
            </w:r>
          </w:p>
        </w:tc>
        <w:tc>
          <w:tcPr>
            <w:tcW w:type="dxa" w:w="6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Excluded from index and from the generated sitemap.</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Not-found page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Carries a locator search and the partner router. Given the volume of legacy redirects, this page will take real traffic in the first months.</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Entity ambiguity</w:t>
            </w:r>
          </w:p>
        </w:tc>
        <w:tc>
          <w:tcPr>
            <w:tcW w:type="dxa" w:w="6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Encoded in district page data, not only in the form. A Tamil Nadu district resolves to the correct legal entity before the visitor touches an input.</w:t>
            </w:r>
          </w:p>
        </w:tc>
      </w:tr>
    </w:tbl>
    <w:p>
      <w:pPr>
        <w:pStyle w:val="Heading3"/>
        <w:spacing w:after="100" w:before="240"/>
      </w:pPr>
      <w:r>
        <w:rPr>
          <w:rFonts w:ascii="Calibri" w:cs="Calibri" w:eastAsia="Calibri" w:hAnsi="Calibri"/>
          <w:b/>
          <w:bCs/>
          <w:color w:val="1A2B3C"/>
          <w:sz w:val="24"/>
          <w:szCs w:val="24"/>
        </w:rPr>
        <w:t xml:space="preserve">Rendering decision</w:t>
      </w:r>
    </w:p>
    <w:p>
      <w:pPr>
        <w:spacing w:after="80" w:before="80" w:line="300"/>
      </w:pPr>
      <w:r>
        <w:rPr>
          <w:rFonts w:ascii="Calibri" w:cs="Calibri" w:eastAsia="Calibri" w:hAnsi="Calibri"/>
          <w:color w:val="1A1A1A"/>
          <w:sz w:val="22"/>
          <w:szCs w:val="22"/>
        </w:rPr>
        <w:t xml:space="preserve">Hybrid. Static generation for all content routes with on-demand revalidation triggered by a content webhook; forms handled by server routes; the locator map hydrated client-side over statically generated district pages. The reasoning is that the trade search layer must be crawlable and fast on mobile, while content edits must never require a rebuild.</w:t>
      </w:r>
    </w:p>
    <w:p>
      <w:pPr>
        <w:pStyle w:val="Heading2"/>
        <w:spacing w:after="140" w:before="320"/>
      </w:pPr>
      <w:r>
        <w:rPr>
          <w:rFonts w:ascii="Calibri" w:cs="Calibri" w:eastAsia="Calibri" w:hAnsi="Calibri"/>
          <w:b/>
          <w:bCs/>
          <w:color w:val="1A2B3C"/>
          <w:sz w:val="28"/>
          <w:szCs w:val="28"/>
        </w:rPr>
        <w:t xml:space="preserve">2.4  Build Step 4 — Internal Linking Strategy</w:t>
      </w:r>
    </w:p>
    <w:p>
      <w:pPr>
        <w:spacing w:after="80" w:before="80" w:line="300"/>
      </w:pPr>
      <w:r>
        <w:rPr>
          <w:rFonts w:ascii="Calibri" w:cs="Calibri" w:eastAsia="Calibri" w:hAnsi="Calibri"/>
          <w:color w:val="1A1A1A"/>
          <w:sz w:val="22"/>
          <w:szCs w:val="22"/>
        </w:rPr>
        <w:t xml:space="preserve">A sitemap without a linking plan is a parking lot with no roads. Internal links do three jobs here simultaneously: navigation, equity distribution across a trade layer that must displace directory listings, and conversion path engineering toward the territory check.</w:t>
      </w:r>
    </w:p>
    <w:p>
      <w:pPr>
        <w:pStyle w:val="Heading3"/>
        <w:spacing w:after="100" w:before="240"/>
      </w:pPr>
      <w:r>
        <w:rPr>
          <w:rFonts w:ascii="Calibri" w:cs="Calibri" w:eastAsia="Calibri" w:hAnsi="Calibri"/>
          <w:b/>
          <w:bCs/>
          <w:color w:val="1A2B3C"/>
          <w:sz w:val="24"/>
          <w:szCs w:val="24"/>
        </w:rPr>
        <w:t xml:space="preserve">The five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Category</w:t>
            </w:r>
          </w:p>
        </w:tc>
        <w:tc>
          <w:tcPr>
            <w:tcW w:type="dxa" w:w="75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Implementation</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Navigational</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Header: six slots plus a five-item partner dropdown. Footer: four columns — Explore, Products, Partner With Us, Contact and Legal. Breadcrumbs on every page below the first level.</w:t>
            </w:r>
          </w:p>
        </w:tc>
      </w:tr>
      <w:tr>
        <w:tc>
          <w:tcPr>
            <w:tcW w:type="dxa" w:w="1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Hierarchical</w:t>
            </w:r>
          </w:p>
        </w:tc>
        <w:tc>
          <w:tcPr>
            <w:tcW w:type="dxa" w:w="7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to SKU · distributor parent to five children · plant to credentials and visit · locator index to district · trade district to state.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Lateral discovery</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SKU to same price band · district to corridor-adjacent districts · partner journey to the adjacent rung on the ladder · resource to resource.</w:t>
            </w:r>
          </w:p>
        </w:tc>
      </w:tr>
      <w:tr>
        <w:tc>
          <w:tcPr>
            <w:tcW w:type="dxa" w:w="1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Conversion</w:t>
            </w:r>
          </w:p>
        </w:tc>
        <w:tc>
          <w:tcPr>
            <w:tcW w:type="dxa" w:w="7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Territory check · plant visit · pack download · WhatsApp · locator.</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Contextual</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Evidence to economics · plant mentions to the plant section · tier mentions to tier pages · entity mentions to the company page.</w:t>
            </w:r>
          </w:p>
        </w:tc>
      </w:tr>
    </w:tbl>
    <w:p>
      <w:pPr>
        <w:spacing w:after="80" w:before="80" w:line="300"/>
      </w:pPr>
      <w:r>
        <w:rPr>
          <w:rFonts w:ascii="Calibri" w:cs="Calibri" w:eastAsia="Calibri" w:hAnsi="Calibri"/>
          <w:color w:val="1A1A1A"/>
          <w:sz w:val="22"/>
          <w:szCs w:val="22"/>
        </w:rPr>
        <w:t xml:space="preserve">The footer carries the visible partner email in its fourth column. Counting all surfaces — sitewide footer, company page, partner router, all five journey pages and the contact page — the email appears on nine surfaces, well clear of the four-surface minimum this architecture requires.</w:t>
      </w:r>
    </w:p>
    <w:p>
      <w:pPr>
        <w:pStyle w:val="Heading3"/>
        <w:spacing w:after="100" w:before="240"/>
      </w:pPr>
      <w:r>
        <w:rPr>
          <w:rFonts w:ascii="Calibri" w:cs="Calibri" w:eastAsia="Calibri" w:hAnsi="Calibri"/>
          <w:b/>
          <w:bCs/>
          <w:color w:val="1A2B3C"/>
          <w:sz w:val="24"/>
          <w:szCs w:val="24"/>
        </w:rPr>
        <w:t xml:space="preserve">Per-template link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900"/>
        <w:gridCol w:w="1700"/>
        <w:gridCol w:w="900"/>
        <w:gridCol w:w="960"/>
      </w:tblGrid>
      <w:tr>
        <w:trPr>
          <w:tblHeader/>
        </w:trPr>
        <w:tc>
          <w:tcPr>
            <w:tcW w:type="dxa" w:w="2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Template</w:t>
            </w:r>
          </w:p>
        </w:tc>
        <w:tc>
          <w:tcPr>
            <w:tcW w:type="dxa" w:w="15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Navigational</w:t>
            </w:r>
          </w:p>
        </w:tc>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Hierarchical</w:t>
            </w:r>
          </w:p>
        </w:tc>
        <w:tc>
          <w:tcPr>
            <w:tcW w:type="dxa" w:w="17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Lateral</w:t>
            </w:r>
          </w:p>
        </w:tc>
        <w:tc>
          <w:tcPr>
            <w:tcW w:type="dxa" w:w="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Conversion</w:t>
            </w:r>
          </w:p>
        </w:tc>
        <w:tc>
          <w:tcPr>
            <w:tcW w:type="dxa" w:w="9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Contextual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Homepage</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6 tiers + 5 journeys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w:t>
            </w:r>
          </w:p>
        </w:tc>
        <w:tc>
          <w:tcPr>
            <w:tcW w:type="dxa" w:w="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3–5</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 tier</w:t>
            </w:r>
          </w:p>
        </w:tc>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Up 1, down 8–36</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5 sibling tiers</w:t>
            </w:r>
          </w:p>
        </w:tc>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w:t>
            </w:r>
          </w:p>
        </w:tc>
        <w:tc>
          <w:tcPr>
            <w:tcW w:type="dxa" w:w="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2–4</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SKU detail</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Up 1 tier</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 same-band SKUs</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w:t>
            </w:r>
          </w:p>
        </w:tc>
        <w:tc>
          <w:tcPr>
            <w:tcW w:type="dxa" w:w="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2–3</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 and children</w:t>
            </w:r>
          </w:p>
        </w:tc>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Up 1, down 2</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t>
            </w:r>
          </w:p>
        </w:tc>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w:t>
            </w:r>
          </w:p>
        </w:tc>
        <w:tc>
          <w:tcPr>
            <w:tcW w:type="dxa" w:w="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3–5</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Locator district</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Up 1 index</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 adjacent districts</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w:t>
            </w:r>
          </w:p>
        </w:tc>
        <w:tc>
          <w:tcPr>
            <w:tcW w:type="dxa" w:w="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2–3</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Trade district</w:t>
            </w:r>
          </w:p>
        </w:tc>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Up 1 state</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 corridor districts</w:t>
            </w:r>
          </w:p>
        </w:tc>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w:t>
            </w:r>
          </w:p>
        </w:tc>
        <w:tc>
          <w:tcPr>
            <w:tcW w:type="dxa" w:w="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5–7</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 router</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Down 5 journeys</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w:t>
            </w:r>
          </w:p>
        </w:tc>
        <w:tc>
          <w:tcPr>
            <w:tcW w:type="dxa" w:w="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1–2</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 parent and children</w:t>
            </w:r>
          </w:p>
        </w:tc>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Up 1, down 5</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 sibling children</w:t>
            </w:r>
          </w:p>
        </w:tc>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w:t>
            </w:r>
          </w:p>
        </w:tc>
        <w:tc>
          <w:tcPr>
            <w:tcW w:type="dxa" w:w="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5–8</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Secondary journey</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Up 1 router</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 adjacent rungs</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w:t>
            </w:r>
          </w:p>
        </w:tc>
        <w:tc>
          <w:tcPr>
            <w:tcW w:type="dxa" w:w="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3–5</w:t>
            </w:r>
          </w:p>
        </w:tc>
      </w:tr>
      <w:tr>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Company and resource</w:t>
            </w:r>
          </w:p>
        </w:tc>
        <w:tc>
          <w:tcPr>
            <w:tcW w:type="dxa" w:w="1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 + 24</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Varies</w:t>
            </w:r>
          </w:p>
        </w:tc>
        <w:tc>
          <w:tcPr>
            <w:tcW w:type="dxa" w:w="17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w:t>
            </w:r>
          </w:p>
        </w:tc>
        <w:tc>
          <w:tcPr>
            <w:tcW w:type="dxa" w:w="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w:t>
            </w:r>
          </w:p>
        </w:tc>
        <w:tc>
          <w:tcPr>
            <w:tcW w:type="dxa" w:w="9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3–6</w:t>
            </w:r>
          </w:p>
        </w:tc>
      </w:tr>
    </w:tbl>
    <w:p>
      <w:pPr>
        <w:spacing w:after="80" w:before="80" w:line="300"/>
      </w:pPr>
      <w:r>
        <w:rPr>
          <w:rFonts w:ascii="Calibri" w:cs="Calibri" w:eastAsia="Calibri" w:hAnsi="Calibri"/>
          <w:color w:val="1A1A1A"/>
          <w:sz w:val="22"/>
          <w:szCs w:val="22"/>
        </w:rPr>
        <w:t xml:space="preserve">The lateral link on secondary journey pages is load-bearing rather than decorative. It is the mechanism that makes routing-instead-of-rejecting real: a prospect who fails the distributor filter must find the van route in the same viewport, not behind a navigation menu.</w:t>
      </w:r>
    </w:p>
    <w:p>
      <w:pPr>
        <w:pStyle w:val="Heading3"/>
        <w:spacing w:after="100" w:before="240"/>
      </w:pPr>
      <w:r>
        <w:rPr>
          <w:rFonts w:ascii="Calibri" w:cs="Calibri" w:eastAsia="Calibri" w:hAnsi="Calibri"/>
          <w:b/>
          <w:bCs/>
          <w:color w:val="1A2B3C"/>
          <w:sz w:val="24"/>
          <w:szCs w:val="24"/>
        </w:rPr>
        <w:t xml:space="preserve">Anchor text policy</w:t>
      </w:r>
    </w:p>
    <w:p>
      <w:pPr>
        <w:pStyle w:val="ListParagraph"/>
        <w:numPr>
          <w:ilvl w:val="0"/>
          <w:numId w:val="2"/>
        </w:numPr>
        <w:spacing w:after="40" w:before="40" w:line="280"/>
      </w:pPr>
      <w:r>
        <w:rPr>
          <w:rFonts w:ascii="Calibri" w:cs="Calibri" w:eastAsia="Calibri" w:hAnsi="Calibri"/>
          <w:color w:val="1A1A1A"/>
          <w:sz w:val="22"/>
          <w:szCs w:val="22"/>
        </w:rPr>
        <w:t xml:space="preserve">Descriptive always. Never "click here", "read more" or "learn more".</w:t>
      </w:r>
    </w:p>
    <w:p>
      <w:pPr>
        <w:pStyle w:val="ListParagraph"/>
        <w:numPr>
          <w:ilvl w:val="0"/>
          <w:numId w:val="2"/>
        </w:numPr>
        <w:spacing w:after="40" w:before="40" w:line="280"/>
      </w:pPr>
      <w:r>
        <w:rPr>
          <w:rFonts w:ascii="Calibri" w:cs="Calibri" w:eastAsia="Calibri" w:hAnsi="Calibri"/>
          <w:color w:val="1A1A1A"/>
          <w:sz w:val="22"/>
          <w:szCs w:val="22"/>
        </w:rPr>
        <w:t xml:space="preserve">Varied across multiple links to the same destination. Links into the economics page rotate through phrasings such as the margin arithmetic, what a route earns per unit, and how the tier ladder pays.</w:t>
      </w:r>
    </w:p>
    <w:p>
      <w:pPr>
        <w:pStyle w:val="ListParagraph"/>
        <w:numPr>
          <w:ilvl w:val="0"/>
          <w:numId w:val="2"/>
        </w:numPr>
        <w:spacing w:after="40" w:before="40" w:line="280"/>
      </w:pPr>
      <w:r>
        <w:rPr>
          <w:rFonts w:ascii="Calibri" w:cs="Calibri" w:eastAsia="Calibri" w:hAnsi="Calibri"/>
          <w:color w:val="1A1A1A"/>
          <w:sz w:val="22"/>
          <w:szCs w:val="22"/>
        </w:rPr>
        <w:t xml:space="preserve">Keyword-inclusive where natural. District links read as distributorship in the named district rather than as the bare district name.</w:t>
      </w:r>
    </w:p>
    <w:p>
      <w:pPr>
        <w:pStyle w:val="ListParagraph"/>
        <w:numPr>
          <w:ilvl w:val="0"/>
          <w:numId w:val="2"/>
        </w:numPr>
        <w:spacing w:after="40" w:before="40" w:line="280"/>
      </w:pPr>
      <w:r>
        <w:rPr>
          <w:rFonts w:ascii="Calibri" w:cs="Calibri" w:eastAsia="Calibri" w:hAnsi="Calibri"/>
          <w:color w:val="1A1A1A"/>
          <w:sz w:val="22"/>
          <w:szCs w:val="22"/>
        </w:rPr>
        <w:t xml:space="preserve">A maximum of one exact-match anchor per destination per page.</w:t>
      </w:r>
    </w:p>
    <w:p>
      <w:pPr>
        <w:pStyle w:val="ListParagraph"/>
        <w:numPr>
          <w:ilvl w:val="0"/>
          <w:numId w:val="2"/>
        </w:numPr>
        <w:spacing w:after="40" w:before="40" w:line="280"/>
      </w:pPr>
      <w:r>
        <w:rPr>
          <w:rFonts w:ascii="Calibri" w:cs="Calibri" w:eastAsia="Calibri" w:hAnsi="Calibri"/>
          <w:color w:val="1A1A1A"/>
          <w:sz w:val="22"/>
          <w:szCs w:val="22"/>
        </w:rPr>
        <w:t xml:space="preserve">Sub-brand links carry different anchors by audience. On consumer surfaces the exclusive line is a range; on partner surfaces the anchor frames it as the line a competitor's retailer cannot stock.</w:t>
      </w:r>
    </w:p>
    <w:p>
      <w:pPr>
        <w:pStyle w:val="Heading3"/>
        <w:spacing w:after="100" w:before="240"/>
      </w:pPr>
      <w:r>
        <w:rPr>
          <w:rFonts w:ascii="Calibri" w:cs="Calibri" w:eastAsia="Calibri" w:hAnsi="Calibri"/>
          <w:b/>
          <w:bCs/>
          <w:color w:val="1A2B3C"/>
          <w:sz w:val="24"/>
          <w:szCs w:val="24"/>
        </w:rPr>
        <w:t xml:space="preserve">Conversion priority rule</w:t>
      </w:r>
    </w:p>
    <w:p>
      <w:pPr>
        <w:spacing w:after="80" w:before="80" w:line="300"/>
      </w:pPr>
      <w:r>
        <w:rPr>
          <w:rFonts w:ascii="Calibri" w:cs="Calibri" w:eastAsia="Calibri" w:hAnsi="Calibri"/>
          <w:color w:val="1A1A1A"/>
          <w:sz w:val="22"/>
          <w:szCs w:val="22"/>
        </w:rPr>
        <w:t xml:space="preserve">When a conversion call to action and an editorial link compete for the same visual real estate, conversion wins. On every partner template the territory check outranks any editorial link within the same viewport. The single exception is the evidence-to-economics transition, where the editorial link is itself the conversion path, because the first belief must be crossed before the second.</w:t>
      </w:r>
    </w:p>
    <w:p>
      <w:pPr>
        <w:pStyle w:val="Heading3"/>
        <w:spacing w:after="100" w:before="240"/>
      </w:pPr>
      <w:r>
        <w:rPr>
          <w:rFonts w:ascii="Calibri" w:cs="Calibri" w:eastAsia="Calibri" w:hAnsi="Calibri"/>
          <w:b/>
          <w:bCs/>
          <w:color w:val="1A2B3C"/>
          <w:sz w:val="24"/>
          <w:szCs w:val="24"/>
        </w:rPr>
        <w:t xml:space="preserve">Related-content logic</w:t>
      </w:r>
    </w:p>
    <w:p>
      <w:pPr>
        <w:spacing w:after="80" w:before="80" w:line="300"/>
      </w:pPr>
      <w:r>
        <w:rPr>
          <w:rFonts w:ascii="Calibri" w:cs="Calibri" w:eastAsia="Calibri" w:hAnsi="Calibri"/>
          <w:color w:val="1A1A1A"/>
          <w:sz w:val="22"/>
          <w:szCs w:val="22"/>
        </w:rPr>
        <w:t xml:space="preserve">Hybrid: an editorial override field on every content type, with an algorithmic fallback beneath it.</w:t>
      </w:r>
    </w:p>
    <w:p>
      <w:pPr>
        <w:pStyle w:val="ListParagraph"/>
        <w:numPr>
          <w:ilvl w:val="0"/>
          <w:numId w:val="2"/>
        </w:numPr>
        <w:spacing w:after="40" w:before="40" w:line="280"/>
      </w:pPr>
      <w:r>
        <w:rPr>
          <w:rFonts w:ascii="Calibri" w:cs="Calibri" w:eastAsia="Calibri" w:hAnsi="Calibri"/>
          <w:color w:val="1A1A1A"/>
          <w:sz w:val="22"/>
          <w:szCs w:val="22"/>
        </w:rPr>
        <w:t xml:space="preserve">SKU — same price band first, then format, then flavour family. Band precedes format because band is the margin argument and format is only logistics.</w:t>
      </w:r>
    </w:p>
    <w:p>
      <w:pPr>
        <w:pStyle w:val="ListParagraph"/>
        <w:numPr>
          <w:ilvl w:val="0"/>
          <w:numId w:val="2"/>
        </w:numPr>
        <w:spacing w:after="40" w:before="40" w:line="280"/>
      </w:pPr>
      <w:r>
        <w:rPr>
          <w:rFonts w:ascii="Calibri" w:cs="Calibri" w:eastAsia="Calibri" w:hAnsi="Calibri"/>
          <w:color w:val="1A1A1A"/>
          <w:sz w:val="22"/>
          <w:szCs w:val="22"/>
        </w:rPr>
        <w:t xml:space="preserve">District — adjacency within the refrigerated delivery corridor rather than alphabetical or nearest-by-distance, because corridor logic is the real commercial relationship and mirrors how the footprint actually grew.</w:t>
      </w:r>
    </w:p>
    <w:p>
      <w:pPr>
        <w:pStyle w:val="ListParagraph"/>
        <w:numPr>
          <w:ilvl w:val="0"/>
          <w:numId w:val="2"/>
        </w:numPr>
        <w:spacing w:after="40" w:before="40" w:line="280"/>
      </w:pPr>
      <w:r>
        <w:rPr>
          <w:rFonts w:ascii="Calibri" w:cs="Calibri" w:eastAsia="Calibri" w:hAnsi="Calibri"/>
          <w:color w:val="1A1A1A"/>
          <w:sz w:val="22"/>
          <w:szCs w:val="22"/>
        </w:rPr>
        <w:t xml:space="preserve">Resource — grouped by belief-chain stage.</w:t>
      </w:r>
    </w:p>
    <w:p>
      <w:pPr>
        <w:spacing w:after="80" w:before="80" w:line="300"/>
      </w:pPr>
      <w:r>
        <w:rPr>
          <w:rFonts w:ascii="Calibri" w:cs="Calibri" w:eastAsia="Calibri" w:hAnsi="Calibri"/>
          <w:color w:val="1A1A1A"/>
          <w:sz w:val="22"/>
          <w:szCs w:val="22"/>
        </w:rPr>
        <w:t xml:space="preserve">Recency is deliberately excluded as a ranking signal. A product catalogue is stable, and boosting recent items would surface noise.</w:t>
      </w:r>
    </w:p>
    <w:p>
      <w:pPr>
        <w:pStyle w:val="Heading3"/>
        <w:spacing w:after="100" w:before="240"/>
      </w:pPr>
      <w:r>
        <w:rPr>
          <w:rFonts w:ascii="Calibri" w:cs="Calibri" w:eastAsia="Calibri" w:hAnsi="Calibri"/>
          <w:b/>
          <w:bCs/>
          <w:color w:val="1A2B3C"/>
          <w:sz w:val="24"/>
          <w:szCs w:val="24"/>
        </w:rPr>
        <w:t xml:space="preserve">Link hygiene</w:t>
      </w:r>
    </w:p>
    <w:p>
      <w:pPr>
        <w:spacing w:after="80" w:before="80" w:line="300"/>
      </w:pPr>
      <w:r>
        <w:rPr>
          <w:rFonts w:ascii="Calibri" w:cs="Calibri" w:eastAsia="Calibri" w:hAnsi="Calibri"/>
          <w:color w:val="1A1A1A"/>
          <w:sz w:val="22"/>
          <w:szCs w:val="22"/>
        </w:rPr>
        <w:t xml:space="preserve">Monthly broken-link audit · quarterly orphan check, requiring at least one inbound link to every SKU from a tier page and to every district from its index · biannual anchor-variation audit · redirect-chain check after any slug change, with a maximum of one hop.</w:t>
      </w:r>
    </w:p>
    <w:p>
      <w:pPr>
        <w:spacing w:after="80" w:before="80" w:line="300"/>
      </w:pPr>
      <w:r>
        <w:rPr>
          <w:rFonts w:ascii="Calibri" w:cs="Calibri" w:eastAsia="Calibri" w:hAnsi="Calibri"/>
          <w:color w:val="1A1A1A"/>
          <w:sz w:val="22"/>
          <w:szCs w:val="22"/>
        </w:rPr>
        <w:t xml:space="preserve">Three publish-blocking validations sit in the content workflow rather than in a quarterly report: a SKU cannot publish without a tier relation, an outlet cannot publish without a district, and a district cannot publish without a territory status set. Orphan prevention belongs in the publish workflow, not in a periodic audit.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Scale projection</w:t>
            </w:r>
          </w:p>
          <w:p>
            <w:pPr>
              <w:spacing w:after="40" w:before="40" w:line="280"/>
            </w:pPr>
            <w:r>
              <w:rPr>
                <w:rFonts w:ascii="Calibri" w:cs="Calibri" w:eastAsia="Calibri" w:hAnsi="Calibri"/>
                <w:color w:val="1A1A1A"/>
                <w:sz w:val="21"/>
                <w:szCs w:val="21"/>
              </w:rPr>
              <w:t xml:space="preserve">Launch is approximately 100 unique URLs — 24 static, 6 tier, roughly 40 SKU pages, 8 trade district pages, roughly 17 locator district pages and 6 resources.</w:t>
            </w:r>
          </w:p>
          <w:p>
            <w:pPr>
              <w:spacing w:after="40" w:before="40" w:line="280"/>
            </w:pPr>
            <w:r>
              <w:rPr>
                <w:rFonts w:ascii="Calibri" w:cs="Calibri" w:eastAsia="Calibri" w:hAnsi="Calibri"/>
                <w:color w:val="1A1A1A"/>
                <w:sz w:val="21"/>
                <w:szCs w:val="21"/>
              </w:rPr>
              <w:t xml:space="preserve">Applying the link contracts above, that generates approximately 5,100 internal links at launch, of which roughly 3,500 are navigational and 1,600 carry editorial or conversion weight.</w:t>
            </w:r>
          </w:p>
          <w:p>
            <w:pPr>
              <w:spacing w:after="40" w:before="40" w:line="280"/>
            </w:pPr>
            <w:r>
              <w:rPr>
                <w:rFonts w:ascii="Calibri" w:cs="Calibri" w:eastAsia="Calibri" w:hAnsi="Calibri"/>
                <w:color w:val="1A1A1A"/>
                <w:sz w:val="21"/>
                <w:szCs w:val="21"/>
              </w:rPr>
              <w:t xml:space="preserve">At full expansion — 20 trade districts, all towns mapped, extended SKU coverage and 30 resources — the architecture reaches roughly 250 URLs and 13,000 internal links with no structural change. The contracts scale; the templates do not need rewriting.</w:t>
            </w:r>
          </w:p>
          <w:p>
            <w:pPr>
              <w:spacing w:after="40" w:before="40" w:line="280"/>
            </w:pPr>
            <w:r>
              <w:rPr>
                <w:rFonts w:ascii="Calibri" w:cs="Calibri" w:eastAsia="Calibri" w:hAnsi="Calibri"/>
                <w:color w:val="1A1A1A"/>
                <w:sz w:val="21"/>
                <w:szCs w:val="21"/>
              </w:rPr>
              <w:t xml:space="preserve">These are projections calculated from page counts and link contracts. They are not measured figures.</w:t>
            </w:r>
          </w:p>
        </w:tc>
      </w:tr>
    </w:tbl>
    <w:p>
      <w:pPr>
        <w:pStyle w:val="Heading1"/>
        <w:pageBreakBefore/>
        <w:spacing w:after="200" w:before="480"/>
      </w:pPr>
      <w:r>
        <w:rPr>
          <w:rFonts w:ascii="Calibri" w:cs="Calibri" w:eastAsia="Calibri" w:hAnsi="Calibri"/>
          <w:b/>
          <w:bCs/>
          <w:color w:val="1A2B3C"/>
          <w:sz w:val="36"/>
          <w:szCs w:val="36"/>
        </w:rPr>
        <w:t xml:space="preserve">Part Three — The Final Sitemap</w:t>
      </w:r>
    </w:p>
    <w:p>
      <w:pPr>
        <w:pStyle w:val="Heading2"/>
        <w:spacing w:after="140" w:before="320"/>
      </w:pPr>
      <w:r>
        <w:rPr>
          <w:rFonts w:ascii="Calibri" w:cs="Calibri" w:eastAsia="Calibri" w:hAnsi="Calibri"/>
          <w:b/>
          <w:bCs/>
          <w:color w:val="1A2B3C"/>
          <w:sz w:val="28"/>
          <w:szCs w:val="28"/>
        </w:rPr>
        <w:t xml:space="preserve">3.1  Site architecture overview</w:t>
      </w:r>
    </w:p>
    <w:p>
      <w:pPr>
        <w:spacing w:after="80" w:before="80" w:line="300"/>
      </w:pPr>
      <w:r>
        <w:rPr>
          <w:rFonts w:ascii="Calibri" w:cs="Calibri" w:eastAsia="Calibri" w:hAnsi="Calibri"/>
          <w:color w:val="1A1A1A"/>
          <w:sz w:val="22"/>
          <w:szCs w:val="22"/>
        </w:rPr>
        <w:t xml:space="preserve">Forty unique pages across three offering layers, six navigation slots and seven dynamic templates. Twenty-four are static pages, seven are dynamic templates that generate the district, product and post-conversion layers, three are utility pages and six are reserved URL slots held for deferred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Navigation slot</w:t>
            </w:r>
          </w:p>
        </w:tc>
        <w:tc>
          <w:tcPr>
            <w:tcW w:type="dxa" w:w="55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What sits beneath it</w:t>
            </w:r>
          </w:p>
        </w:tc>
        <w:tc>
          <w:tcPr>
            <w:tcW w:type="dxa" w:w="18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Layer</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Six format tiers, with SKU detail pages for the bulk and premium lines that carry the margin argument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Core</w:t>
            </w:r>
          </w:p>
        </w:tc>
      </w:tr>
      <w:tr>
        <w:tc>
          <w:tcPr>
            <w:tcW w:type="dxa" w:w="2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Plant</w:t>
            </w:r>
          </w:p>
        </w:tc>
        <w:tc>
          <w:tcPr>
            <w:tcW w:type="dxa" w:w="5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Credentials and the visit booking route</w:t>
            </w:r>
          </w:p>
        </w:tc>
        <w:tc>
          <w:tcPr>
            <w:tcW w:type="dxa" w:w="1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Core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Find Boogies</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Locator index and per-district outlet pages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Bridge</w:t>
            </w:r>
          </w:p>
        </w:tc>
      </w:tr>
      <w:tr>
        <w:tc>
          <w:tcPr>
            <w:tcW w:type="dxa" w:w="2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 With Us</w:t>
            </w:r>
          </w:p>
        </w:tc>
        <w:tc>
          <w:tcPr>
            <w:tcW w:type="dxa" w:w="5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five-way router, the distributor section with five children, and four secondary journeys</w:t>
            </w:r>
          </w:p>
        </w:tc>
        <w:tc>
          <w:tcPr>
            <w:tcW w:type="dxa" w:w="1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Commercial Surface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Company</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Entity transparency, leadership, reconciled history</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Bridge</w:t>
            </w:r>
          </w:p>
        </w:tc>
      </w:tr>
      <w:tr>
        <w:tc>
          <w:tcPr>
            <w:tcW w:type="dxa" w:w="2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Contact</w:t>
            </w:r>
          </w:p>
        </w:tc>
        <w:tc>
          <w:tcPr>
            <w:tcW w:type="dxa" w:w="5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Direct routes and both registered entities</w:t>
            </w:r>
          </w:p>
        </w:tc>
        <w:tc>
          <w:tcPr>
            <w:tcW w:type="dxa" w:w="1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Commercial Surface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(Not in navigation)</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trade district layer at /distributorship/, reached from search and cross-linked from the distributor section</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Bridge</w:t>
            </w:r>
          </w:p>
        </w:tc>
      </w:tr>
    </w:tbl>
    <w:p>
      <w:pPr>
        <w:pStyle w:val="Heading2"/>
        <w:spacing w:after="140" w:before="320"/>
      </w:pPr>
      <w:r>
        <w:rPr>
          <w:rFonts w:ascii="Calibri" w:cs="Calibri" w:eastAsia="Calibri" w:hAnsi="Calibri"/>
          <w:b/>
          <w:bCs/>
          <w:color w:val="1A2B3C"/>
          <w:sz w:val="28"/>
          <w:szCs w:val="28"/>
        </w:rPr>
        <w:t xml:space="preserve">3.2  Complete page inventory</w:t>
      </w:r>
    </w:p>
    <w:p>
      <w:pPr>
        <w:pStyle w:val="Heading3"/>
        <w:spacing w:after="100" w:before="240"/>
      </w:pPr>
      <w:r>
        <w:rPr>
          <w:rFonts w:ascii="Calibri" w:cs="Calibri" w:eastAsia="Calibri" w:hAnsi="Calibri"/>
          <w:b/>
          <w:bCs/>
          <w:color w:val="1A2B3C"/>
          <w:sz w:val="24"/>
          <w:szCs w:val="24"/>
        </w:rPr>
        <w:t xml:space="preserve">Core layer — what we make, where we make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1900"/>
        <w:gridCol w:w="1360"/>
      </w:tblGrid>
      <w:tr>
        <w:trPr>
          <w:tblHeader/>
        </w:trPr>
        <w:tc>
          <w:tcPr>
            <w:tcW w:type="dxa" w:w="5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Page</w:t>
            </w:r>
          </w:p>
        </w:tc>
        <w:tc>
          <w:tcPr>
            <w:tcW w:type="dxa" w:w="3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URL</w:t>
            </w:r>
          </w:p>
        </w:tc>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Type</w:t>
            </w:r>
          </w:p>
        </w:tc>
        <w:tc>
          <w:tcPr>
            <w:tcW w:type="dxa" w:w="1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Tier</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 — Index</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 index</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 Tier Template</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/products/[tier]</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Dynamic Template</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SKU Detail Template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/products/[tier]/[sku]</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Dynamic Template</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3</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5</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 Woogie</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/boogie-woogie</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6</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Plant</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7</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Credentials</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/plant/credentials</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8</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Book a Plant Visit</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/plant/visit</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bl>
    <w:p>
      <w:pPr>
        <w:pStyle w:val="Heading3"/>
        <w:spacing w:after="100" w:before="240"/>
      </w:pPr>
      <w:r>
        <w:rPr>
          <w:rFonts w:ascii="Calibri" w:cs="Calibri" w:eastAsia="Calibri" w:hAnsi="Calibri"/>
          <w:b/>
          <w:bCs/>
          <w:color w:val="1A2B3C"/>
          <w:sz w:val="24"/>
          <w:szCs w:val="24"/>
        </w:rPr>
        <w:t xml:space="preserve">Bridge layer — proof and owned trade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1900"/>
        <w:gridCol w:w="1360"/>
      </w:tblGrid>
      <w:tr>
        <w:trPr>
          <w:tblHeader/>
        </w:trPr>
        <w:tc>
          <w:tcPr>
            <w:tcW w:type="dxa" w:w="5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Page</w:t>
            </w:r>
          </w:p>
        </w:tc>
        <w:tc>
          <w:tcPr>
            <w:tcW w:type="dxa" w:w="3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URL</w:t>
            </w:r>
          </w:p>
        </w:tc>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Type</w:t>
            </w:r>
          </w:p>
        </w:tc>
        <w:tc>
          <w:tcPr>
            <w:tcW w:type="dxa" w:w="1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Tier</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9</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Find Boogies — Locator Index</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/find-boogies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 index</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10</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Locator District Template</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/find-boogies/[district]</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Dynamic Template</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11</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Distributorship State Template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/distributorship/[state]</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Dynamic Template</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 (trade SEO)</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12</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Distributorship District Template</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/distributorship/[state]/[district]</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Dynamic Template</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 (trade SEO)</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24</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Company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/company</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25</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Resources — Index</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/resources</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 index</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3</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26</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12 Questions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/resources/12-questions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27</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Resource Article Template</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/resources/[slug]</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Dynamic Template</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3</w:t>
            </w:r>
          </w:p>
        </w:tc>
      </w:tr>
    </w:tbl>
    <w:p>
      <w:pPr>
        <w:pStyle w:val="Heading3"/>
        <w:spacing w:after="100" w:before="240"/>
      </w:pPr>
      <w:r>
        <w:rPr>
          <w:rFonts w:ascii="Calibri" w:cs="Calibri" w:eastAsia="Calibri" w:hAnsi="Calibri"/>
          <w:b/>
          <w:bCs/>
          <w:color w:val="1A2B3C"/>
          <w:sz w:val="24"/>
          <w:szCs w:val="24"/>
        </w:rPr>
        <w:t xml:space="preserve">Commercial surface — the five partner journeys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1900"/>
        <w:gridCol w:w="1360"/>
      </w:tblGrid>
      <w:tr>
        <w:trPr>
          <w:tblHeader/>
        </w:trPr>
        <w:tc>
          <w:tcPr>
            <w:tcW w:type="dxa" w:w="5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Page</w:t>
            </w:r>
          </w:p>
        </w:tc>
        <w:tc>
          <w:tcPr>
            <w:tcW w:type="dxa" w:w="3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URL</w:t>
            </w:r>
          </w:p>
        </w:tc>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Type</w:t>
            </w:r>
          </w:p>
        </w:tc>
        <w:tc>
          <w:tcPr>
            <w:tcW w:type="dxa" w:w="1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Tier</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13</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 With Us — Router</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14</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Become a Distributor</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15</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Evidence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/partners/distributor/evidence</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16</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Economics</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/partners/distributor/economics</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17</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Territory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/partners/distributor/territory</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18</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Support &amp; Terms</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/partners/distributor/support</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19</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How It Works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/partners/distributor/process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20</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Stock Boogies — Retailer</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/partners/retailer</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21</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Van Route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/partners/van-route</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22</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 Woogie Franchise</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/partners/franchise</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23</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Bulk &amp; Events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/partners/bulk-events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3</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28</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Contact</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/contact</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2</w:t>
            </w:r>
          </w:p>
        </w:tc>
      </w:tr>
    </w:tbl>
    <w:p>
      <w:pPr>
        <w:pStyle w:val="Heading3"/>
        <w:spacing w:after="100" w:before="240"/>
      </w:pPr>
      <w:r>
        <w:rPr>
          <w:rFonts w:ascii="Calibri" w:cs="Calibri" w:eastAsia="Calibri" w:hAnsi="Calibri"/>
          <w:b/>
          <w:bCs/>
          <w:color w:val="1A2B3C"/>
          <w:sz w:val="24"/>
          <w:szCs w:val="24"/>
        </w:rPr>
        <w:t xml:space="preserve">Utility, legal and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1900"/>
        <w:gridCol w:w="1360"/>
      </w:tblGrid>
      <w:tr>
        <w:trPr>
          <w:tblHeader/>
        </w:trPr>
        <w:tc>
          <w:tcPr>
            <w:tcW w:type="dxa" w:w="5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Page</w:t>
            </w:r>
          </w:p>
        </w:tc>
        <w:tc>
          <w:tcPr>
            <w:tcW w:type="dxa" w:w="3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URL</w:t>
            </w:r>
          </w:p>
        </w:tc>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Type</w:t>
            </w:r>
          </w:p>
        </w:tc>
        <w:tc>
          <w:tcPr>
            <w:tcW w:type="dxa" w:w="1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Tier</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Homepage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1</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29</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Thank You Template</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/thank-you/[type]</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Dynamic Template</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Utility</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30</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Privacy Policy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/privacy</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 (legal)</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Utility</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31</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Terms</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/terms</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 (legal)</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Utility</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32</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404 — Not Found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/404</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 (utility)</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Utility</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33</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XML Sitemap</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/sitemap.xml</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Auto-generated</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Utility</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34</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Robots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/robots.txt</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Auto-generated</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Utility</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35</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Careers (Reserved)</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/careers</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Reserved Placeholder</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4 (deferred)</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36</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News (Reserved)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/news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Reserved Placeholder</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4 (deferred)</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37</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Malayalam (Reserved)</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/ml</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Reserved Placeholder</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4 (deferred)</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38</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Tamil (Reserved)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/ta</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Reserved Placeholder</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4 (deferred)</w:t>
            </w:r>
          </w:p>
        </w:tc>
      </w:tr>
      <w:tr>
        <w:tc>
          <w:tcPr>
            <w:tcW w:type="dxa" w:w="5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39</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 Portal (Reserved)</w:t>
            </w:r>
          </w:p>
        </w:tc>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/partners/login</w:t>
            </w:r>
          </w:p>
        </w:tc>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Reserved Placeholder</w:t>
            </w:r>
          </w:p>
        </w:tc>
        <w:tc>
          <w:tcPr>
            <w:tcW w:type="dxa" w:w="1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4 (deferred)</w:t>
            </w:r>
          </w:p>
        </w:tc>
      </w:tr>
      <w:tr>
        <w:tc>
          <w:tcPr>
            <w:tcW w:type="dxa" w:w="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40</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Shop (Reserved)</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/shop</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Reserved Placeholder</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4 (deferred)</w:t>
            </w:r>
          </w:p>
        </w:tc>
      </w:tr>
    </w:tbl>
    <w:p>
      <w:pPr>
        <w:pStyle w:val="Heading2"/>
        <w:spacing w:after="140" w:before="320"/>
      </w:pPr>
      <w:r>
        <w:rPr>
          <w:rFonts w:ascii="Calibri" w:cs="Calibri" w:eastAsia="Calibri" w:hAnsi="Calibri"/>
          <w:b/>
          <w:bCs/>
          <w:color w:val="1A2B3C"/>
          <w:sz w:val="28"/>
          <w:szCs w:val="28"/>
        </w:rPr>
        <w:t xml:space="preserve">3.3  Footer structure</w:t>
      </w:r>
    </w:p>
    <w:p>
      <w:pPr>
        <w:spacing w:after="80" w:before="80" w:line="300"/>
      </w:pPr>
      <w:r>
        <w:rPr>
          <w:rFonts w:ascii="Calibri" w:cs="Calibri" w:eastAsia="Calibri" w:hAnsi="Calibri"/>
          <w:color w:val="1A1A1A"/>
          <w:sz w:val="22"/>
          <w:szCs w:val="22"/>
        </w:rPr>
        <w:t xml:space="preserve">The footer is a locked four-column template appearing on every page. Its structure is not cosmetic: column four is one of the nine surfaces carrying the visible partner email, which exists because the relationship-driven distributor archetype bypasses forms entirely and looks for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Column</w:t>
            </w:r>
          </w:p>
        </w:tc>
        <w:tc>
          <w:tcPr>
            <w:tcW w:type="dxa" w:w="7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Contents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Explore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Home · Company · The Plant · Find Boogies · Resources</w:t>
            </w:r>
          </w:p>
        </w:tc>
      </w:tr>
      <w:tr>
        <w:tc>
          <w:tcPr>
            <w:tcW w:type="dxa" w:w="2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Products</w:t>
            </w:r>
          </w:p>
        </w:tc>
        <w:tc>
          <w:tcPr>
            <w:tcW w:type="dxa" w:w="7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six format tiers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 With Us</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Distributor · Retailer · Van Route · Franchise · Bulk &amp; Events</w:t>
            </w:r>
          </w:p>
        </w:tc>
      </w:tr>
      <w:tr>
        <w:tc>
          <w:tcPr>
            <w:tcW w:type="dxa" w:w="20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Contact &amp; Legal</w:t>
            </w:r>
          </w:p>
        </w:tc>
        <w:tc>
          <w:tcPr>
            <w:tcW w:type="dxa" w:w="7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Visible partner email · single sitewide phone number · WhatsApp · both registered entity addresses · Privacy · Terms · social links</w:t>
            </w:r>
          </w:p>
        </w:tc>
      </w:tr>
    </w:tbl>
    <w:p>
      <w:pPr>
        <w:spacing w:after="80" w:before="80" w:line="300"/>
      </w:pPr>
      <w:r>
        <w:rPr>
          <w:rFonts w:ascii="Calibri" w:cs="Calibri" w:eastAsia="Calibri" w:hAnsi="Calibri"/>
          <w:color w:val="1A1A1A"/>
          <w:sz w:val="22"/>
          <w:szCs w:val="22"/>
        </w:rPr>
        <w:t xml:space="preserve">Two corrections are enforced here. The current estate publishes different phone numbers on the website and on social media; the new footer carries one number and becomes the single source of truth against which every directory listing is corrected. And the partner email moves off a consumer mailbox onto the brand domain, because a consumer email address on a trade page is the specific weakness observed on a competitor's partner page.</w:t>
      </w:r>
    </w:p>
    <w:p>
      <w:pPr>
        <w:pStyle w:val="Heading2"/>
        <w:spacing w:after="140" w:before="320"/>
      </w:pPr>
      <w:r>
        <w:rPr>
          <w:rFonts w:ascii="Calibri" w:cs="Calibri" w:eastAsia="Calibri" w:hAnsi="Calibri"/>
          <w:b/>
          <w:bCs/>
          <w:color w:val="1A2B3C"/>
          <w:sz w:val="28"/>
          <w:szCs w:val="28"/>
        </w:rPr>
        <w:t xml:space="preserve">3.4  Page count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Stage</w:t>
            </w:r>
          </w:p>
        </w:tc>
        <w:tc>
          <w:tcPr>
            <w:tcW w:type="dxa" w:w="2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Unique URLs</w:t>
            </w:r>
          </w:p>
        </w:tc>
        <w:tc>
          <w:tcPr>
            <w:tcW w:type="dxa" w:w="55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Notes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Launch</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Approximately 100</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24 static, 6 tier pages, roughly 40 SKU pages for the bulk and premium lines, 8 trade district pages, roughly 17 locator district pages, 6 resources, plus utility routes.</w:t>
            </w:r>
          </w:p>
        </w:tc>
      </w:tr>
      <w:tr>
        <w:tc>
          <w:tcPr>
            <w:tcW w:type="dxa" w:w="1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Phase 2</w:t>
            </w:r>
          </w:p>
        </w:tc>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Approximately 160</w:t>
            </w:r>
          </w:p>
        </w:tc>
        <w:tc>
          <w:tcPr>
            <w:tcW w:type="dxa" w:w="55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Trade districts expand to the full target set, locator coverage completes as outlet data is collected, resource library grows.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Full expansion</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Approximately 250</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Extended SKU coverage, both reserved locale roots activated, careers and news live, partner portal built.</w:t>
            </w:r>
          </w:p>
        </w:tc>
      </w:tr>
    </w:tbl>
    <w:p>
      <w:pPr>
        <w:spacing w:after="80" w:before="80" w:line="300"/>
      </w:pPr>
      <w:r>
        <w:rPr>
          <w:rFonts w:ascii="Calibri" w:cs="Calibri" w:eastAsia="Calibri" w:hAnsi="Calibri"/>
          <w:color w:val="1A1A1A"/>
          <w:sz w:val="22"/>
          <w:szCs w:val="22"/>
        </w:rPr>
        <w:t xml:space="preserve">The architecture reaches full expansion without structural change. Templates, link contracts and routing rules all scale; none needs rewriting.</w:t>
      </w:r>
    </w:p>
    <w:p>
      <w:pPr>
        <w:pStyle w:val="Heading2"/>
        <w:spacing w:after="140" w:before="320"/>
      </w:pPr>
      <w:r>
        <w:rPr>
          <w:rFonts w:ascii="Calibri" w:cs="Calibri" w:eastAsia="Calibri" w:hAnsi="Calibri"/>
          <w:b/>
          <w:bCs/>
          <w:color w:val="1A2B3C"/>
          <w:sz w:val="28"/>
          <w:szCs w:val="28"/>
        </w:rPr>
        <w:t xml:space="preserve">3.5  How to read the paired CSV</w:t>
      </w:r>
    </w:p>
    <w:p>
      <w:pPr>
        <w:spacing w:after="80" w:before="80" w:line="300"/>
      </w:pPr>
      <w:r>
        <w:rPr>
          <w:rFonts w:ascii="Calibri" w:cs="Calibri" w:eastAsia="Calibri" w:hAnsi="Calibri"/>
          <w:color w:val="1A1A1A"/>
          <w:sz w:val="22"/>
          <w:szCs w:val="22"/>
        </w:rPr>
        <w:t xml:space="preserve">The CSV — boogies-ice-cream-sitemap.csv — is the build-ready structural reference. It carries 40 pages across 275 section rows in a fixed fifteen-column structure, and it is designed to be used by a designer, copywriter or developer without this document open alongside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Column</w:t>
            </w:r>
          </w:p>
        </w:tc>
        <w:tc>
          <w:tcPr>
            <w:tcW w:type="dxa" w:w="67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What it tells you</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Page # and Page Name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Sequential identifier, repeating across every section row belonging to that page.</w:t>
            </w:r>
          </w:p>
        </w:tc>
      </w:tr>
      <w:tr>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URL</w:t>
            </w:r>
          </w:p>
        </w:tc>
        <w:tc>
          <w:tcPr>
            <w:tcW w:type="dxa" w:w="6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canonical URL pattern. Present on every row without exception. Bracketed segments indicate dynamic routes.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Page Type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Static, Dynamic Template, Static index, Reserved Placeholder, Auto-generated, or a utility or legal variant.</w:t>
            </w:r>
          </w:p>
        </w:tc>
      </w:tr>
      <w:tr>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Parent Page</w:t>
            </w:r>
          </w:p>
        </w:tc>
        <w:tc>
          <w:tcPr>
            <w:tcW w:type="dxa" w:w="6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Position in the information architecture.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Template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Which build template renders this page.</w:t>
            </w:r>
          </w:p>
        </w:tc>
      </w:tr>
      <w:tr>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Content Source</w:t>
            </w:r>
          </w:p>
        </w:tc>
        <w:tc>
          <w:tcPr>
            <w:tcW w:type="dxa" w:w="6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Where the content originates. Entries marked BLOCKED depend on a client commercial decision.</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Tier / Priority</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intent tier from Decision 2, which governs build sequencing.</w:t>
            </w:r>
          </w:p>
        </w:tc>
      </w:tr>
      <w:tr>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Primary and Secondary CTA</w:t>
            </w:r>
          </w:p>
        </w:tc>
        <w:tc>
          <w:tcPr>
            <w:tcW w:type="dxa" w:w="6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conversion targets for the page, inherited from Decision 1.</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Section # and Section Name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block sequence down the page.</w:t>
            </w:r>
          </w:p>
        </w:tc>
      </w:tr>
      <w:tr>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Section Purpose / Intent</w:t>
            </w:r>
          </w:p>
        </w:tc>
        <w:tc>
          <w:tcPr>
            <w:tcW w:type="dxa" w:w="6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highest-information column. It states the strategic job the block does — not what appears on screen. Read this column first when interpreting any page.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Internal Links From This Section</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 the block links to, implementing the Build Step 4 contracts.</w:t>
            </w:r>
          </w:p>
        </w:tc>
      </w:tr>
      <w:tr>
        <w:tc>
          <w:tcPr>
            <w:tcW w:type="dxa" w:w="26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Notes</w:t>
            </w:r>
          </w:p>
        </w:tc>
        <w:tc>
          <w:tcPr>
            <w:tcW w:type="dxa" w:w="6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Implementation constraints, dependencies, schema requirements and content-standard rules.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35B" w:sz="18"/>
              <w:left w:val="single" w:color="C8A35B" w:sz="4"/>
              <w:bottom w:val="single" w:color="C8A35B" w:sz="4"/>
              <w:right w:val="single" w:color="C8A35B" w:sz="4"/>
            </w:tcBorders>
            <w:shd w:fill="FAF7F0" w:val="clear"/>
            <w:tcMar>
              <w:top w:type="dxa" w:w="200"/>
              <w:left w:type="dxa" w:w="240"/>
              <w:bottom w:type="dxa" w:w="200"/>
              <w:right w:type="dxa" w:w="240"/>
            </w:tcMar>
          </w:tcPr>
          <w:p>
            <w:pPr>
              <w:spacing w:after="80"/>
            </w:pPr>
            <w:r>
              <w:rPr>
                <w:rFonts w:ascii="Calibri" w:cs="Calibri" w:eastAsia="Calibri" w:hAnsi="Calibri"/>
                <w:b/>
                <w:bCs/>
                <w:color w:val="1A2B3C"/>
                <w:sz w:val="22"/>
                <w:szCs w:val="22"/>
              </w:rPr>
              <w:t xml:space="preserve">Two standards enforced throughout the CSV Notes column</w:t>
            </w:r>
          </w:p>
          <w:p>
            <w:pPr>
              <w:spacing w:after="40" w:before="40" w:line="280"/>
            </w:pPr>
            <w:r>
              <w:rPr>
                <w:rFonts w:ascii="Calibri" w:cs="Calibri" w:eastAsia="Calibri" w:hAnsi="Calibri"/>
                <w:color w:val="1A1A1A"/>
                <w:sz w:val="21"/>
                <w:szCs w:val="21"/>
              </w:rPr>
              <w:t xml:space="preserve">Real imagery only. Every section calling for photography or film specifies real material — the actual plant, actual staff with permission, actual product, actual outlets. No stock imagery and no AI-generated imagery appears anywhere in the specification.</w:t>
            </w:r>
          </w:p>
          <w:p>
            <w:pPr>
              <w:spacing w:after="40" w:before="40" w:line="280"/>
            </w:pPr>
            <w:r>
              <w:rPr>
                <w:rFonts w:ascii="Calibri" w:cs="Calibri" w:eastAsia="Calibri" w:hAnsi="Calibri"/>
                <w:color w:val="1A1A1A"/>
                <w:sz w:val="21"/>
                <w:szCs w:val="21"/>
              </w:rPr>
              <w:t xml:space="preserve">Real numbers only. Every section calling for a measurable quantity — outlet counts, review figures, product counts, earnings — carries an explicit instruction that the block is omitted rather than fabricated if the real figure is unavailable at launch. Several blocks in the evidence and economics pages are marked this way, because the underlying data does not yet exist.</w:t>
            </w:r>
          </w:p>
        </w:tc>
      </w:tr>
    </w:tbl>
    <w:p>
      <w:pPr>
        <w:pStyle w:val="Heading2"/>
        <w:spacing w:after="140" w:before="320"/>
      </w:pPr>
      <w:r>
        <w:rPr>
          <w:rFonts w:ascii="Calibri" w:cs="Calibri" w:eastAsia="Calibri" w:hAnsi="Calibri"/>
          <w:b/>
          <w:bCs/>
          <w:color w:val="1A2B3C"/>
          <w:sz w:val="28"/>
          <w:szCs w:val="28"/>
        </w:rPr>
        <w:t xml:space="preserve">3.6  Dependencies and open items</w:t>
      </w:r>
    </w:p>
    <w:p>
      <w:pPr>
        <w:spacing w:after="80" w:before="80" w:line="300"/>
      </w:pPr>
      <w:r>
        <w:rPr>
          <w:rFonts w:ascii="Calibri" w:cs="Calibri" w:eastAsia="Calibri" w:hAnsi="Calibri"/>
          <w:color w:val="1A1A1A"/>
          <w:sz w:val="22"/>
          <w:szCs w:val="22"/>
        </w:rPr>
        <w:t xml:space="preserve">The architecture is complete. Several pages within it depend on decisions and data that sit outside the build, and these are recorded here rather than discovered during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Item</w:t>
            </w:r>
          </w:p>
        </w:tc>
        <w:tc>
          <w:tcPr>
            <w:tcW w:type="dxa" w:w="2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Blocks</w:t>
            </w:r>
          </w:p>
        </w:tc>
        <w:tc>
          <w:tcPr>
            <w:tcW w:type="dxa" w:w="47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Consequence if unresolved</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Margin position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/partners/distributor/economics</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page ships with structure rather than figures — margin varies by format tier, the premium range carries materially higher absolute margin — which is weaker than publishing but considerably stronger than silence.</w:t>
            </w:r>
          </w:p>
        </w:tc>
      </w:tr>
      <w:tr>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Territory policy</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/partners/distributor/territory</w:t>
            </w:r>
          </w:p>
        </w:tc>
        <w:tc>
          <w:tcPr>
            <w:tcW w:type="dxa" w:w="4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primary CTA promises a territory answer. It does not require a published exclusivity policy, but it does require knowing which territories are open. Without that, the CTA degrades to a generic enquiry.</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Founding date reconciliation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/company</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No claim about years in business can be published until the twelve-year claim and the 2017 entity registration are reconciled. A prospect performing due diligence will check.</w:t>
            </w:r>
          </w:p>
        </w:tc>
      </w:tr>
      <w:tr>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Van line confirmation</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/partners/van-route</w:t>
            </w:r>
          </w:p>
        </w:tc>
        <w:tc>
          <w:tcPr>
            <w:tcW w:type="dxa" w:w="4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earnings block is omitted rather than estimated. The route page still ships, because routing rather than rejecting is structurally required regardless.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Franchise economics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/partners/franchise</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Investment and returns block omitted. The enquiry route still ships — it does not currently exist at all.</w:t>
            </w:r>
          </w:p>
        </w:tc>
      </w:tr>
      <w:tr>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Outlet data collection</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/find-boogies and all district pages</w:t>
            </w:r>
          </w:p>
        </w:tc>
        <w:tc>
          <w:tcPr>
            <w:tcW w:type="dxa" w:w="4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Locator ships with phased coverage. Sell-through evidence blocks are omitted where district data has not been collected.</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Named lead owner per entity</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Response commitment</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Without a named owner the published twenty-four-hour promise cannot be honoured and should not be published.</w:t>
            </w:r>
          </w:p>
        </w:tc>
      </w:tr>
      <w:tr>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Meta Business verification</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WhatsApp acknowledgement</w:t>
            </w:r>
          </w:p>
        </w:tc>
        <w:tc>
          <w:tcPr>
            <w:tcW w:type="dxa" w:w="4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If verification slips, launch on click-to-chat and switch after launch rather than delaying.</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Credential documentation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/plant/credentials</w:t>
            </w:r>
          </w:p>
        </w:tc>
        <w:tc>
          <w:tcPr>
            <w:tcW w:type="dxa" w:w="4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Any credential not held is omitted and never implied. The page still ships with entity transparency, which almost nobody in the category publishes.</w:t>
            </w:r>
          </w:p>
        </w:tc>
      </w:tr>
      <w:tr>
        <w:tc>
          <w:tcPr>
            <w:tcW w:type="dxa" w:w="2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Channel policy on direct sale</w:t>
            </w:r>
          </w:p>
        </w:tc>
        <w:tc>
          <w:tcPr>
            <w:tcW w:type="dxa" w:w="2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/partners/distributor/territory</w:t>
            </w:r>
          </w:p>
        </w:tc>
        <w:tc>
          <w:tcPr>
            <w:tcW w:type="dxa" w:w="47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category leader already runs pincode-gated rapid delivery in its home district, so this is a live objection. Being the only brand with an answer is worth more than any particular answer.</w:t>
            </w:r>
          </w:p>
        </w:tc>
      </w:tr>
    </w:tbl>
    <w:p>
      <w:pPr>
        <w:pStyle w:val="Heading1"/>
        <w:pageBreakBefore/>
        <w:spacing w:after="200" w:before="480"/>
      </w:pPr>
      <w:r>
        <w:rPr>
          <w:rFonts w:ascii="Calibri" w:cs="Calibri" w:eastAsia="Calibri" w:hAnsi="Calibri"/>
          <w:b/>
          <w:bCs/>
          <w:color w:val="1A2B3C"/>
          <w:sz w:val="36"/>
          <w:szCs w:val="36"/>
        </w:rPr>
        <w:t xml:space="preserve">Appendix</w:t>
      </w:r>
    </w:p>
    <w:p>
      <w:pPr>
        <w:pStyle w:val="Heading2"/>
        <w:spacing w:after="140" w:before="320"/>
      </w:pPr>
      <w:r>
        <w:rPr>
          <w:rFonts w:ascii="Calibri" w:cs="Calibri" w:eastAsia="Calibri" w:hAnsi="Calibri"/>
          <w:b/>
          <w:bCs/>
          <w:color w:val="1A2B3C"/>
          <w:sz w:val="28"/>
          <w:szCs w:val="28"/>
        </w:rPr>
        <w:t xml:space="preserve">A.1  Source documents</w:t>
      </w:r>
    </w:p>
    <w:p>
      <w:pPr>
        <w:spacing w:after="80" w:before="80" w:line="300"/>
      </w:pPr>
      <w:r>
        <w:rPr>
          <w:rFonts w:ascii="Calibri" w:cs="Calibri" w:eastAsia="Calibri" w:hAnsi="Calibri"/>
          <w:color w:val="1A1A1A"/>
          <w:sz w:val="22"/>
          <w:szCs w:val="22"/>
        </w:rPr>
        <w:t xml:space="preserve">This sitemap inherits from three foundation documents, all dated 17 August 2026 and prepared by Growthmak:</w:t>
      </w:r>
    </w:p>
    <w:p>
      <w:pPr>
        <w:pStyle w:val="ListParagraph"/>
        <w:numPr>
          <w:ilvl w:val="0"/>
          <w:numId w:val="2"/>
        </w:numPr>
        <w:spacing w:after="40" w:before="40" w:line="280"/>
      </w:pPr>
      <w:r>
        <w:rPr>
          <w:rFonts w:ascii="Calibri" w:cs="Calibri" w:eastAsia="Calibri" w:hAnsi="Calibri"/>
          <w:color w:val="1A1A1A"/>
          <w:sz w:val="22"/>
          <w:szCs w:val="22"/>
        </w:rPr>
        <w:t xml:space="preserve">Business Goal Research — Boogies Ice Cream, v1.0. Establishes the commercial objective, the goal hierarchy, the three trade audiences, the six-belief chain and the conversion architecture.</w:t>
      </w:r>
    </w:p>
    <w:p>
      <w:pPr>
        <w:pStyle w:val="ListParagraph"/>
        <w:numPr>
          <w:ilvl w:val="0"/>
          <w:numId w:val="2"/>
        </w:numPr>
        <w:spacing w:after="40" w:before="40" w:line="280"/>
      </w:pPr>
      <w:r>
        <w:rPr>
          <w:rFonts w:ascii="Calibri" w:cs="Calibri" w:eastAsia="Calibri" w:hAnsi="Calibri"/>
          <w:color w:val="1A1A1A"/>
          <w:sz w:val="22"/>
          <w:szCs w:val="22"/>
        </w:rPr>
        <w:t xml:space="preserve">Distributor ICP &amp; Persona Master Document, v1.0. Establishes the two buyer archetypes, the firmographic and wallet filters, the urgency signals, the negative ICP and the objection responses.</w:t>
      </w:r>
    </w:p>
    <w:p>
      <w:pPr>
        <w:pStyle w:val="ListParagraph"/>
        <w:numPr>
          <w:ilvl w:val="0"/>
          <w:numId w:val="2"/>
        </w:numPr>
        <w:spacing w:after="40" w:before="40" w:line="280"/>
      </w:pPr>
      <w:r>
        <w:rPr>
          <w:rFonts w:ascii="Calibri" w:cs="Calibri" w:eastAsia="Calibri" w:hAnsi="Calibri"/>
          <w:color w:val="1A1A1A"/>
          <w:sz w:val="22"/>
          <w:szCs w:val="22"/>
        </w:rPr>
        <w:t xml:space="preserve">Competitive Analysis — Boogies Ice Cream, v1.0. Establishes the competitive set across five tiers, the recruitment benchmark, the funnel maturity scorecard and the white space.</w:t>
      </w:r>
    </w:p>
    <w:p>
      <w:pPr>
        <w:spacing w:after="80" w:before="80" w:line="300"/>
      </w:pPr>
      <w:r>
        <w:rPr>
          <w:rFonts w:ascii="Calibri" w:cs="Calibri" w:eastAsia="Calibri" w:hAnsi="Calibri"/>
          <w:i/>
          <w:iCs/>
          <w:color w:val="1A1A1A"/>
          <w:sz w:val="22"/>
          <w:szCs w:val="22"/>
        </w:rPr>
        <w:t xml:space="preserve">In addition, six competitor web properties and the client's own seven-page site were mapped live during Build Step 1. That live mapping produced two corrections to the competitive analysis, both recorded in Part Two.</w:t>
      </w:r>
    </w:p>
    <w:p>
      <w:pPr>
        <w:pStyle w:val="Heading2"/>
        <w:spacing w:after="140" w:before="320"/>
      </w:pPr>
      <w:r>
        <w:rPr>
          <w:rFonts w:ascii="Calibri" w:cs="Calibri" w:eastAsia="Calibri" w:hAnsi="Calibri"/>
          <w:b/>
          <w:bCs/>
          <w:color w:val="1A2B3C"/>
          <w:sz w:val="28"/>
          <w:szCs w:val="28"/>
        </w:rPr>
        <w:t xml:space="preserve">A.2  Documents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Deliverable</w:t>
            </w:r>
          </w:p>
        </w:tc>
        <w:tc>
          <w:tcPr>
            <w:tcW w:type="dxa" w:w="38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Purpose</w:t>
            </w:r>
          </w:p>
        </w:tc>
        <w:tc>
          <w:tcPr>
            <w:tcW w:type="dxa" w:w="2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Audience</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boogies-ice-cream-sitemap-strategy.docx</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strategic record. Answers every question beginning with why.</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Strategy, client approval, future reference</w:t>
            </w:r>
          </w:p>
        </w:tc>
      </w:tr>
      <w:tr>
        <w:tc>
          <w:tcPr>
            <w:tcW w:type="dxa" w:w="32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boogies-ice-cream-sitemap.csv</w:t>
            </w:r>
          </w:p>
        </w:tc>
        <w:tc>
          <w:tcPr>
            <w:tcW w:type="dxa" w:w="38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The build-ready structural reference. Answers every question beginning with what. 40 pages, 275 section rows, fifteen fixed columns.</w:t>
            </w:r>
          </w:p>
        </w:tc>
        <w:tc>
          <w:tcPr>
            <w:tcW w:type="dxa" w:w="23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Design, copywriting, development</w:t>
            </w:r>
          </w:p>
        </w:tc>
      </w:tr>
    </w:tbl>
    <w:p>
      <w:pPr>
        <w:pStyle w:val="Heading2"/>
        <w:spacing w:after="140" w:before="320"/>
      </w:pPr>
      <w:r>
        <w:rPr>
          <w:rFonts w:ascii="Calibri" w:cs="Calibri" w:eastAsia="Calibri" w:hAnsi="Calibri"/>
          <w:b/>
          <w:bCs/>
          <w:color w:val="1A2B3C"/>
          <w:sz w:val="28"/>
          <w:szCs w:val="28"/>
        </w:rPr>
        <w:t xml:space="preserve">A.3  What comes next</w:t>
      </w:r>
    </w:p>
    <w:p>
      <w:pPr>
        <w:spacing w:after="80" w:before="80" w:line="300"/>
      </w:pPr>
      <w:r>
        <w:rPr>
          <w:rFonts w:ascii="Calibri" w:cs="Calibri" w:eastAsia="Calibri" w:hAnsi="Calibri"/>
          <w:color w:val="1A1A1A"/>
          <w:sz w:val="22"/>
          <w:szCs w:val="22"/>
        </w:rPr>
        <w:t xml:space="preserve">The sitemap is the spine. It does not ship a website by itself. Three workstreams follow, each referencing this document for rationale and the CSV for structure, and none duplicating the work recorded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Workstream</w:t>
            </w:r>
          </w:p>
        </w:tc>
        <w:tc>
          <w:tcPr>
            <w:tcW w:type="dxa" w:w="44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What it produces</w:t>
            </w:r>
          </w:p>
        </w:tc>
        <w:tc>
          <w:tcPr>
            <w:tcW w:type="dxa" w:w="30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Depends on</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Visual design system</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Design tokens, type system, component library, page templates and mockups for each of the ten templates specified in Build Step 4.</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This sitemap, plus brand assets and the real photography and film captured at the plant.</w:t>
            </w:r>
          </w:p>
        </w:tc>
      </w:tr>
      <w:tr>
        <w:tc>
          <w:tcPr>
            <w:tcW w:type="dxa" w:w="19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Copy framework</w:t>
            </w:r>
          </w:p>
        </w:tc>
        <w:tc>
          <w:tcPr>
            <w:tcW w:type="dxa" w:w="440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Page-by-page copy briefs derived from the Section Purpose column, then finished copy. Includes the twelve-question resource, which is the flagship asset.</w:t>
            </w:r>
          </w:p>
        </w:tc>
        <w:tc>
          <w:tcPr>
            <w:tcW w:type="dxa" w:w="3060"/>
            <w:tcBorders>
              <w:top w:val="single" w:color="BFBFBF" w:sz="4"/>
              <w:left w:val="single" w:color="BFBFBF" w:sz="4"/>
              <w:bottom w:val="single" w:color="BFBFBF" w:sz="4"/>
              <w:right w:val="single" w:color="BFBFBF" w:sz="4"/>
            </w:tcBorders>
            <w:shd w:fill="F4F1EA"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This sitemap, plus resolution of the founding-date discrepancy and whatever commercial terms the client agrees to publish.</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Technical build</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CMS schema for the eight content models, the constrained block library, the fourteen integration flows, schema markup, redirect implementation and instrumentation.</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This sitemap, plus the platform and CRM decisions recorded in Decisions 4 and 5.</w:t>
            </w:r>
          </w:p>
        </w:tc>
      </w:tr>
    </w:tbl>
    <w:p>
      <w:pPr>
        <w:spacing w:after="80" w:before="80" w:line="300"/>
      </w:pPr>
      <w:r>
        <w:rPr>
          <w:rFonts w:ascii="Calibri" w:cs="Calibri" w:eastAsia="Calibri" w:hAnsi="Calibri"/>
          <w:color w:val="1A1A1A"/>
          <w:sz w:val="22"/>
          <w:szCs w:val="22"/>
        </w:rPr>
        <w:t xml:space="preserve">Two items sit on the critical path ahead of all three and should be scheduled immediately: the plant content capture, because a proof-led architecture cannot be delivered from a desk, and the outlet data collection, because the locator and the district evidence blocks both depend on structured location data that does not currently exist in any form.</w:t>
      </w:r>
    </w:p>
    <w:p>
      <w:pPr>
        <w:pStyle w:val="Heading2"/>
        <w:spacing w:after="140" w:before="320"/>
      </w:pPr>
      <w:r>
        <w:rPr>
          <w:rFonts w:ascii="Calibri" w:cs="Calibri" w:eastAsia="Calibri" w:hAnsi="Calibri"/>
          <w:b/>
          <w:bCs/>
          <w:color w:val="1A2B3C"/>
          <w:sz w:val="28"/>
          <w:szCs w:val="28"/>
        </w:rPr>
        <w:t xml:space="preserve">A.4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4900"/>
        <w:gridCol w:w="1360"/>
      </w:tblGrid>
      <w:tr>
        <w:trPr>
          <w:tblHeader/>
        </w:trPr>
        <w:tc>
          <w:tcPr>
            <w:tcW w:type="dxa" w:w="12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Version</w:t>
            </w:r>
          </w:p>
        </w:tc>
        <w:tc>
          <w:tcPr>
            <w:tcW w:type="dxa" w:w="1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Date</w:t>
            </w:r>
          </w:p>
        </w:tc>
        <w:tc>
          <w:tcPr>
            <w:tcW w:type="dxa" w:w="490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Change</w:t>
            </w:r>
          </w:p>
        </w:tc>
        <w:tc>
          <w:tcPr>
            <w:tcW w:type="dxa" w:w="1360"/>
            <w:tcBorders>
              <w:top w:val="single" w:color="BFBFBF" w:sz="4"/>
              <w:left w:val="single" w:color="BFBFBF" w:sz="4"/>
              <w:bottom w:val="single" w:color="BFBFBF" w:sz="4"/>
              <w:right w:val="single" w:color="BFBFBF" w:sz="4"/>
            </w:tcBorders>
            <w:shd w:fill="1A2B3C" w:val="clear"/>
            <w:tcMar>
              <w:top w:type="dxa" w:w="120"/>
              <w:left w:type="dxa" w:w="140"/>
              <w:bottom w:type="dxa" w:w="120"/>
              <w:right w:type="dxa" w:w="140"/>
            </w:tcMar>
          </w:tcPr>
          <w:p>
            <w:r>
              <w:rPr>
                <w:rFonts w:ascii="Calibri" w:cs="Calibri" w:eastAsia="Calibri" w:hAnsi="Calibri"/>
                <w:b/>
                <w:bCs/>
                <w:color w:val="FFFFFF"/>
                <w:sz w:val="20"/>
                <w:szCs w:val="20"/>
              </w:rPr>
              <w:t xml:space="preserve">Status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17 August 2026</w:t>
            </w:r>
          </w:p>
        </w:tc>
        <w:tc>
          <w:tcPr>
            <w:tcW w:type="dxa" w:w="4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First issue. Built from the three foundation documents plus live mapping of six competitor properties and the existing client site. Five sealed decisions and four build steps, each signed off in sequence.</w:t>
            </w:r>
          </w:p>
        </w:tc>
        <w:tc>
          <w:tcPr>
            <w:tcW w:type="dxa" w:w="1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40" w:before="40" w:line="260"/>
            </w:pPr>
            <w:r>
              <w:rPr>
                <w:rFonts w:ascii="Calibri" w:cs="Calibri" w:eastAsia="Calibri" w:hAnsi="Calibri"/>
                <w:color w:val="1A1A1A"/>
                <w:sz w:val="20"/>
                <w:szCs w:val="20"/>
              </w:rPr>
              <w:t xml:space="preserve">Current</w:t>
            </w:r>
          </w:p>
        </w:tc>
      </w:tr>
    </w:tbl>
    <w:p>
      <w:pPr>
        <w:spacing w:after="80" w:before="80" w:line="300"/>
      </w:pPr>
      <w:r>
        <w:rPr>
          <w:rFonts w:ascii="Calibri" w:cs="Calibri" w:eastAsia="Calibri" w:hAnsi="Calibri"/>
          <w:i/>
          <w:iCs/>
          <w:color w:val="1A1A1A"/>
          <w:sz w:val="22"/>
          <w:szCs w:val="22"/>
        </w:rPr>
        <w:t xml:space="preserve">No client onboarding questionnaire was supplied at the time of this build. If one is provided, a reconciliation pass will produce a version 2.0 pair while preserving these files intact, with every change traced to a specific source question and an inventory recording the status of every decision made here.</w:t>
      </w:r>
    </w:p>
    <w:p>
      <w:pPr>
        <w:spacing w:after="80" w:before="80"/>
      </w:pPr>
      <w:r>
        <w:t xml:space="preserve"/>
      </w:r>
    </w:p>
    <w:p>
      <w:pPr>
        <w:spacing w:after="80" w:before="80"/>
      </w:pPr>
      <w:r>
        <w:t xml:space="preserve"/>
      </w:r>
    </w:p>
    <w:p>
      <w:pPr>
        <w:jc w:val="center"/>
      </w:pPr>
      <w:r>
        <w:rPr>
          <w:rFonts w:ascii="Calibri" w:cs="Calibri" w:eastAsia="Calibri" w:hAnsi="Calibri"/>
          <w:i/>
          <w:iCs/>
          <w:color w:val="555555"/>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55555"/>
        <w:spacing w:val="40"/>
        <w:sz w:val="16"/>
        <w:szCs w:val="16"/>
      </w:rPr>
      <w:t xml:space="preserve">BOOGIES ICE CREAM  ·  SITEMAP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2B3C"/>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1A2B3C"/>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Boogies Ice Cream — Sitemap Strategy</dc:title>
  <dc:creator>Sitemap Creation Skill</dc:creator>
  <dc:description>Strategic record of the sitemap decision process</dc:description>
  <cp:lastModifiedBy>Un-named</cp:lastModifiedBy>
  <cp:revision>1</cp:revision>
  <dcterms:created xsi:type="dcterms:W3CDTF">2026-08-17T10:44:29.808Z</dcterms:created>
  <dcterms:modified xsi:type="dcterms:W3CDTF">2026-08-17T10:44:29.825Z</dcterms:modified>
</cp:coreProperties>
</file>

<file path=docProps/custom.xml><?xml version="1.0" encoding="utf-8"?>
<Properties xmlns="http://schemas.openxmlformats.org/officeDocument/2006/custom-properties" xmlns:vt="http://schemas.openxmlformats.org/officeDocument/2006/docPropsVTypes"/>
</file>