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C8A35B"/>
          <w:sz w:val="32"/>
          <w:szCs w:val="32"/>
        </w:rPr>
        <w:t xml:space="preserve">THE FRAGRANCE SECRETS</w:t>
      </w:r>
    </w:p>
    <w:p>
      <w:pPr>
        <w:spacing w:after="0" w:before="60"/>
        <w:jc w:val="center"/>
      </w:pPr>
      <w:r>
        <w:rPr>
          <w:rFonts w:ascii="Calibri" w:cs="Calibri" w:eastAsia="Calibri" w:hAnsi="Calibri"/>
          <w:color w:val="555555"/>
          <w:sz w:val="18"/>
          <w:szCs w:val="18"/>
        </w:rPr>
        <w:t xml:space="preserve">E-COMMERCE  ·  PERFUME  ·  UAE</w:t>
      </w:r>
    </w:p>
    <w:p>
      <w:pPr>
        <w:spacing w:after="0" w:before="480"/>
        <w:jc w:val="center"/>
      </w:pPr>
      <w:r>
        <w:rPr>
          <w:rFonts w:ascii="Calibri" w:cs="Calibri" w:eastAsia="Calibri" w:hAnsi="Calibri"/>
          <w:b/>
          <w:bCs/>
          <w:color w:val="1A2B3C"/>
          <w:sz w:val="56"/>
          <w:szCs w:val="56"/>
        </w:rPr>
        <w:t xml:space="preserve">Website Sitemap</w:t>
      </w:r>
    </w:p>
    <w:p>
      <w:pPr>
        <w:spacing w:after="0" w:before="60"/>
        <w:jc w:val="center"/>
      </w:pPr>
      <w:r>
        <w:rPr>
          <w:rFonts w:ascii="Calibri" w:cs="Calibri" w:eastAsia="Calibri" w:hAnsi="Calibri"/>
          <w:color w:val="555555"/>
          <w:sz w:val="26"/>
          <w:szCs w:val="26"/>
        </w:rPr>
        <w:t xml:space="preserve">Strategy &amp; Architecture Document</w:t>
      </w:r>
    </w:p>
    <w:p>
      <w:pPr>
        <w:spacing w:after="0" w:before="80"/>
        <w:jc w:val="center"/>
      </w:pPr>
      <w:r>
        <w:rPr>
          <w:rFonts w:ascii="Calibri" w:cs="Calibri" w:eastAsia="Calibri" w:hAnsi="Calibri"/>
          <w:color w:val="C8A35B"/>
          <w:sz w:val="22"/>
          <w:szCs w:val="22"/>
        </w:rPr>
        <w:t xml:space="preserve">Version 1.0  ·  Buy-Led / Brand-Anchored</w:t>
      </w:r>
    </w:p>
    <w:p>
      <w:pPr>
        <w:spacing w:after="280" w:before="280"/>
      </w:pPr>
      <w:r>
        <w:t xml:space="preserve"/>
      </w:r>
    </w:p>
    <w:p>
      <w:pPr>
        <w:spacing w:after="0" w:before="200"/>
        <w:jc w:val="center"/>
      </w:pPr>
      <w:r>
        <w:rPr>
          <w:rFonts w:ascii="Calibri" w:cs="Calibri" w:eastAsia="Calibri" w:hAnsi="Calibri"/>
          <w:i/>
          <w:iCs/>
          <w:color w:val="1A1A1A"/>
          <w:sz w:val="22"/>
          <w:szCs w:val="22"/>
        </w:rPr>
        <w:t xml:space="preserve">This document records the full architectural rationale behind the new website: the four locked structural decisions, the build process behind them, and the complete page-and-section inventory that the paired CSV operationalises for build.</w:t>
      </w:r>
    </w:p>
    <w:p>
      <w:pPr>
        <w:spacing w:after="320" w:before="320"/>
      </w:pPr>
      <w:r>
        <w:t xml:space="preserve"/>
      </w:r>
    </w:p>
    <w:p>
      <w:pPr>
        <w:spacing w:after="0" w:before="200"/>
        <w:jc w:val="center"/>
      </w:pPr>
      <w:r>
        <w:rPr>
          <w:rFonts w:ascii="Calibri" w:cs="Calibri" w:eastAsia="Calibri" w:hAnsi="Calibri"/>
          <w:color w:val="555555"/>
          <w:sz w:val="18"/>
          <w:szCs w:val="18"/>
        </w:rPr>
        <w:t xml:space="preserve">Prepared for</w:t>
      </w:r>
    </w:p>
    <w:p>
      <w:pPr>
        <w:spacing w:after="0" w:before="20"/>
        <w:jc w:val="center"/>
      </w:pPr>
      <w:r>
        <w:rPr>
          <w:rFonts w:ascii="Calibri" w:cs="Calibri" w:eastAsia="Calibri" w:hAnsi="Calibri"/>
          <w:b/>
          <w:bCs/>
          <w:color w:val="1A2B3C"/>
          <w:sz w:val="22"/>
          <w:szCs w:val="22"/>
        </w:rPr>
        <w:t xml:space="preserve">Fragrance Secrets Perfumes Trading L.L.C. — Deira, Dubai, UAE</w:t>
      </w:r>
    </w:p>
    <w:p>
      <w:pPr>
        <w:spacing w:after="0" w:before="20"/>
        <w:jc w:val="center"/>
      </w:pPr>
      <w:r>
        <w:rPr>
          <w:rFonts w:ascii="Calibri" w:cs="Calibri" w:eastAsia="Calibri" w:hAnsi="Calibri"/>
          <w:color w:val="555555"/>
          <w:sz w:val="20"/>
          <w:szCs w:val="20"/>
        </w:rPr>
        <w:t xml:space="preserve">thefragrancesecrets.com</w:t>
      </w:r>
    </w:p>
    <w:p>
      <w:pPr>
        <w:spacing w:after="0" w:before="160"/>
        <w:jc w:val="center"/>
      </w:pPr>
      <w:r>
        <w:rPr>
          <w:rFonts w:ascii="Calibri" w:cs="Calibri" w:eastAsia="Calibri" w:hAnsi="Calibri"/>
          <w:color w:val="555555"/>
          <w:sz w:val="18"/>
          <w:szCs w:val="18"/>
        </w:rPr>
        <w:t xml:space="preserve">Prepared by Growthmak</w:t>
      </w:r>
    </w:p>
    <w:p>
      <w:pPr>
        <w:spacing w:after="0" w:before="20"/>
        <w:jc w:val="center"/>
      </w:pPr>
      <w:r>
        <w:rPr>
          <w:rFonts w:ascii="Calibri" w:cs="Calibri" w:eastAsia="Calibri" w:hAnsi="Calibri"/>
          <w:color w:val="555555"/>
          <w:sz w:val="18"/>
          <w:szCs w:val="18"/>
        </w:rPr>
        <w:t xml:space="preserve">June 2026  ·  Confidential</w:t>
      </w:r>
    </w:p>
    <w:p>
      <w:pPr>
        <w:pStyle w:val="Heading1"/>
        <w:pageBreakBefore/>
      </w:pPr>
      <w:r>
        <w:rPr>
          <w:rFonts w:ascii="Calibri" w:cs="Calibri" w:eastAsia="Calibri" w:hAnsi="Calibri"/>
          <w:b/>
          <w:bCs/>
          <w:color w:val="1A2B3C"/>
          <w:sz w:val="36"/>
          <w:szCs w:val="36"/>
        </w:rPr>
        <w:t xml:space="preserve">Executive Summary</w:t>
      </w:r>
    </w:p>
    <w:p>
      <w:pPr>
        <w:spacing w:after="80" w:before="80" w:line="300"/>
      </w:pPr>
      <w:r>
        <w:rPr>
          <w:rFonts w:ascii="Calibri" w:cs="Calibri" w:eastAsia="Calibri" w:hAnsi="Calibri"/>
          <w:color w:val="1A1A1A"/>
          <w:sz w:val="22"/>
          <w:szCs w:val="22"/>
        </w:rPr>
        <w:t xml:space="preserve">The Fragrance Secrets runs almost entirely on paid advertising, and that engine is becoming more expensive: blended ROAS slipped from 4.0x in April to 3.3x in May, while organic search produced just 456 AED in the same month. With scaled Meta catalog spend (rising to 12–13k AED/month) about to push more paid traffic to the site, the website is the highest-leverage lever in the business. Its current form — a passive product grid with no guidance and no retention loop — leaks the expensive traffic it receives.</w:t>
      </w:r>
    </w:p>
    <w:p>
      <w:pPr>
        <w:spacing w:after="80" w:before="80" w:line="300"/>
      </w:pPr>
      <w:r>
        <w:rPr>
          <w:rFonts w:ascii="Calibri" w:cs="Calibri" w:eastAsia="Calibri" w:hAnsi="Calibri"/>
          <w:color w:val="1A1A1A"/>
          <w:sz w:val="22"/>
          <w:szCs w:val="22"/>
        </w:rPr>
        <w:t xml:space="preserve">This sitemap rebuilds the site to plug that leak with a deliberately buy-led, brand-anchored architecture. The fastest, most reliable way to convert paid traffic for this catalogue is to put product and brand in front of the buyer immediately and remove every gram of friction between the click and the order. Guided discovery (the Find My Scent quiz) and personalisation (oil-to-spray custom mixing) remain in the architecture — but as assists and a phased differentiator, not as the front door. Every page is accountable to one of three jobs: convert the click, grow the order, keep the customer.</w:t>
      </w:r>
    </w:p>
    <w:p>
      <w:pPr>
        <w:pStyle w:val="Heading3"/>
        <w:spacing w:after="100" w:before="180"/>
      </w:pPr>
      <w:r>
        <w:rPr>
          <w:rFonts w:ascii="Calibri" w:cs="Calibri" w:eastAsia="Calibri" w:hAnsi="Calibri"/>
          <w:b/>
          <w:bCs/>
          <w:color w:val="1A2B3C"/>
          <w:sz w:val="24"/>
          <w:szCs w:val="24"/>
        </w:rPr>
        <w:t xml:space="preserve">The critical strategic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40"/>
              <w:left w:type="dxa" w:w="240"/>
              <w:bottom w:type="dxa" w:w="240"/>
              <w:right w:type="dxa" w:w="240"/>
            </w:tcMar>
          </w:tcPr>
          <w:p>
            <w:pPr>
              <w:spacing w:after="60" w:before="40"/>
            </w:pPr>
            <w:r>
              <w:rPr>
                <w:rFonts w:ascii="Calibri" w:cs="Calibri" w:eastAsia="Calibri" w:hAnsi="Calibri"/>
                <w:b/>
                <w:bCs/>
                <w:color w:val="1A2B3C"/>
                <w:sz w:val="22"/>
                <w:szCs w:val="22"/>
              </w:rPr>
              <w:t xml:space="preserve">The Paid-Traffic Leak</w:t>
            </w:r>
          </w:p>
          <w:p>
            <w:pPr>
              <w:spacing w:after="20" w:before="20" w:line="300"/>
            </w:pPr>
            <w:r>
              <w:rPr>
                <w:rFonts w:ascii="Calibri" w:cs="Calibri" w:eastAsia="Calibri" w:hAnsi="Calibri"/>
                <w:color w:val="1A1A1A"/>
                <w:sz w:val="22"/>
                <w:szCs w:val="22"/>
              </w:rPr>
              <w:t xml:space="preserve">The business pays for traffic that the current site fails to convert, fails to grow in value, and fails to retain. With paid costs rising and organic near zero, the website must convert more of the paid click, raise the value of each order, and build the owned / repeat / organic channels that reduce paid dependency over time.</w:t>
            </w:r>
          </w:p>
          <w:p>
            <w:pPr>
              <w:spacing w:after="20" w:before="20" w:line="300"/>
            </w:pPr>
            <w:r>
              <w:rPr>
                <w:rFonts w:ascii="Calibri" w:cs="Calibri" w:eastAsia="Calibri" w:hAnsi="Calibri"/>
                <w:color w:val="1A1A1A"/>
                <w:sz w:val="22"/>
                <w:szCs w:val="22"/>
              </w:rPr>
              <w:t xml:space="preserve">Every page in this sitemap earns its place by doing one of three jobs: convert the click · grow the order · keep the customer.</w:t>
            </w:r>
          </w:p>
        </w:tc>
      </w:tr>
    </w:tbl>
    <w:p>
      <w:pPr>
        <w:pStyle w:val="Heading3"/>
        <w:spacing w:after="100" w:before="180"/>
      </w:pPr>
      <w:r>
        <w:rPr>
          <w:rFonts w:ascii="Calibri" w:cs="Calibri" w:eastAsia="Calibri" w:hAnsi="Calibri"/>
          <w:b/>
          <w:bCs/>
          <w:color w:val="1A2B3C"/>
          <w:sz w:val="24"/>
          <w:szCs w:val="24"/>
        </w:rPr>
        <w:t xml:space="preserve">The four locked decisions</w:t>
      </w:r>
    </w:p>
    <w:p>
      <w:pPr>
        <w:pStyle w:val="ListParagraph"/>
        <w:numPr>
          <w:ilvl w:val="0"/>
          <w:numId w:val="2"/>
        </w:numPr>
        <w:spacing w:after="40" w:before="40" w:line="300"/>
      </w:pPr>
      <w:r>
        <w:rPr>
          <w:rFonts w:ascii="Calibri" w:cs="Calibri" w:eastAsia="Calibri" w:hAnsi="Calibri"/>
          <w:color w:val="1A1A1A"/>
          <w:sz w:val="22"/>
          <w:szCs w:val="22"/>
        </w:rPr>
        <w:t xml:space="preserve">Decision 1 — CTA hierarchy is buy-led / conversion-maximiser. Add to Cart / Buy Now with express checkout (COD + Tabby/Tamara + wallet) is the primary action, and the homepage leads with a shop-first hero (best-sellers / occasion), not the quiz. Find My Scent is a secondary rescue/assist; custom mixing, bundles and WhatsApp are secondary; email capture and referral are the tertiary retention layer.</w:t>
      </w:r>
    </w:p>
    <w:p>
      <w:pPr>
        <w:pStyle w:val="ListParagraph"/>
        <w:numPr>
          <w:ilvl w:val="0"/>
          <w:numId w:val="2"/>
        </w:numPr>
        <w:spacing w:after="40" w:before="40" w:line="300"/>
      </w:pPr>
      <w:r>
        <w:rPr>
          <w:rFonts w:ascii="Calibri" w:cs="Calibri" w:eastAsia="Calibri" w:hAnsi="Calibri"/>
          <w:color w:val="1A1A1A"/>
          <w:sz w:val="22"/>
          <w:szCs w:val="22"/>
        </w:rPr>
        <w:t xml:space="preserve">Decision 2 — user intents are anchored on the ready buyer: brand-shopping, fast buy, best-sellers/offers, gifting/occasions and authenticity/trust are the Tier-1 spine. Quiz, reorder, mixing, discovery kits, guides, WhatsApp, about, policies, referral and account are accommodated as secondary. B2B/wholesale and outside-UAE intents are excluded per the Negative ICP.</w:t>
      </w:r>
    </w:p>
    <w:p>
      <w:pPr>
        <w:pStyle w:val="ListParagraph"/>
        <w:numPr>
          <w:ilvl w:val="0"/>
          <w:numId w:val="2"/>
        </w:numPr>
        <w:spacing w:after="40" w:before="40" w:line="300"/>
      </w:pPr>
      <w:r>
        <w:rPr>
          <w:rFonts w:ascii="Calibri" w:cs="Calibri" w:eastAsia="Calibri" w:hAnsi="Calibri"/>
          <w:color w:val="1A1A1A"/>
          <w:sz w:val="22"/>
          <w:szCs w:val="22"/>
        </w:rPr>
        <w:t xml:space="preserve">Decision 3 — the product hierarchy is brand-led, with the in-house lines (Fragrance Secrets, Secret Scents, Paris Collection) elevated as a promoted “Our Brands” group above the resale A-Z, for margin focus and a clean authenticity split. Secondary axes are ranked: Category/audience → Scent-family → Occasion → Price/Offers.</w:t>
      </w:r>
    </w:p>
    <w:p>
      <w:pPr>
        <w:pStyle w:val="ListParagraph"/>
        <w:numPr>
          <w:ilvl w:val="0"/>
          <w:numId w:val="2"/>
        </w:numPr>
        <w:spacing w:after="40" w:before="40" w:line="300"/>
      </w:pPr>
      <w:r>
        <w:rPr>
          <w:rFonts w:ascii="Calibri" w:cs="Calibri" w:eastAsia="Calibri" w:hAnsi="Calibri"/>
          <w:color w:val="1A1A1A"/>
          <w:sz w:val="22"/>
          <w:szCs w:val="22"/>
        </w:rPr>
        <w:t xml:space="preserve">Decision 4 — the CMS capability set is split into launch and phase-2. Launch carries the full catalogue model, collections, the elevated brand structure, occasion pages, the section library, Guides/blog, express checkout/BNPL, search/filters, reviews, bundles/kits, the quiz, email/WhatsApp capture, WhatsApp concierge, SEO/schema, full analytics (incl. Meta CAPI), a speed budget and LLMs.txt. Phase 2 holds Custom Mixing (gated on fulfilment, Risk R-3) and Referral.</w:t>
      </w:r>
    </w:p>
    <w:p>
      <w:pPr>
        <w:pStyle w:val="Heading3"/>
        <w:spacing w:after="100" w:before="180"/>
      </w:pPr>
      <w:r>
        <w:rPr>
          <w:rFonts w:ascii="Calibri" w:cs="Calibri" w:eastAsia="Calibri" w:hAnsi="Calibri"/>
          <w:b/>
          <w:bCs/>
          <w:color w:val="1A2B3C"/>
          <w:sz w:val="24"/>
          <w:szCs w:val="24"/>
        </w:rPr>
        <w:t xml:space="preserve">How those decisions were reached</w:t>
      </w:r>
    </w:p>
    <w:p>
      <w:pPr>
        <w:pStyle w:val="ListParagraph"/>
        <w:numPr>
          <w:ilvl w:val="0"/>
          <w:numId w:val="2"/>
        </w:numPr>
        <w:spacing w:after="40" w:before="40" w:line="300"/>
      </w:pPr>
      <w:r>
        <w:rPr>
          <w:rFonts w:ascii="Calibri" w:cs="Calibri" w:eastAsia="Calibri" w:hAnsi="Calibri"/>
          <w:color w:val="1A1A1A"/>
          <w:sz w:val="22"/>
          <w:szCs w:val="22"/>
        </w:rPr>
        <w:t xml:space="preserve">Foundational analysis of the three client documents (goals, ICP/persona, competitor analysis), reconciled against the live storefront and live competitor sites (June 2026).</w:t>
      </w:r>
    </w:p>
    <w:p>
      <w:pPr>
        <w:pStyle w:val="ListParagraph"/>
        <w:numPr>
          <w:ilvl w:val="0"/>
          <w:numId w:val="2"/>
        </w:numPr>
        <w:spacing w:after="40" w:before="40" w:line="300"/>
      </w:pPr>
      <w:r>
        <w:rPr>
          <w:rFonts w:ascii="Calibri" w:cs="Calibri" w:eastAsia="Calibri" w:hAnsi="Calibri"/>
          <w:color w:val="1A1A1A"/>
          <w:sz w:val="22"/>
          <w:szCs w:val="22"/>
        </w:rPr>
        <w:t xml:space="preserve">Competitor structure verification — five UAE rivals checked live; none runs a scent quiz or oil-to-spray mixing, confirming the differentiation lane is real but not the safest primary conversion bet for paid traffic.</w:t>
      </w:r>
    </w:p>
    <w:p>
      <w:pPr>
        <w:pStyle w:val="ListParagraph"/>
        <w:numPr>
          <w:ilvl w:val="0"/>
          <w:numId w:val="2"/>
        </w:numPr>
        <w:spacing w:after="40" w:before="40" w:line="300"/>
      </w:pPr>
      <w:r>
        <w:rPr>
          <w:rFonts w:ascii="Calibri" w:cs="Calibri" w:eastAsia="Calibri" w:hAnsi="Calibri"/>
          <w:color w:val="1A1A1A"/>
          <w:sz w:val="22"/>
          <w:szCs w:val="22"/>
        </w:rPr>
        <w:t xml:space="preserve">Intent-to-architecture mapping — every buyer intent assigned to a page, a section, or a reserved slot, with the ready-buyer intents anchored as the spine.</w:t>
      </w:r>
    </w:p>
    <w:p>
      <w:pPr>
        <w:pStyle w:val="ListParagraph"/>
        <w:numPr>
          <w:ilvl w:val="0"/>
          <w:numId w:val="2"/>
        </w:numPr>
        <w:spacing w:after="40" w:before="40" w:line="300"/>
      </w:pPr>
      <w:r>
        <w:rPr>
          <w:rFonts w:ascii="Calibri" w:cs="Calibri" w:eastAsia="Calibri" w:hAnsi="Calibri"/>
          <w:color w:val="1A1A1A"/>
          <w:sz w:val="22"/>
          <w:szCs w:val="22"/>
        </w:rPr>
        <w:t xml:space="preserve">Dynamic routing &amp; internal-linking design — a Shopify-native URL map, slug/canonical/redirect rules, and per-template link contracts feeding the paired CSV.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40"/>
              <w:left w:type="dxa" w:w="240"/>
              <w:bottom w:type="dxa" w:w="240"/>
              <w:right w:type="dxa" w:w="240"/>
            </w:tcMar>
          </w:tcPr>
          <w:p>
            <w:pPr>
              <w:spacing w:after="60" w:before="40"/>
            </w:pPr>
            <w:r>
              <w:rPr>
                <w:rFonts w:ascii="Calibri" w:cs="Calibri" w:eastAsia="Calibri" w:hAnsi="Calibri"/>
                <w:b/>
                <w:bCs/>
                <w:color w:val="1A2B3C"/>
                <w:sz w:val="22"/>
                <w:szCs w:val="22"/>
              </w:rPr>
              <w:t xml:space="preserve">How to read this document</w:t>
            </w:r>
          </w:p>
          <w:p>
            <w:pPr>
              <w:spacing w:after="20" w:before="20" w:line="300"/>
            </w:pPr>
            <w:r>
              <w:rPr>
                <w:rFonts w:ascii="Calibri" w:cs="Calibri" w:eastAsia="Calibri" w:hAnsi="Calibri"/>
                <w:color w:val="1A1A1A"/>
                <w:sz w:val="22"/>
                <w:szCs w:val="22"/>
              </w:rPr>
              <w:t xml:space="preserve">Part One records the foundational context and the four locked decisions with their rationale. Part Two records the build process and the resulting architecture rules. Part Three is the final sitemap: navigation, the complete page inventory, and how to read the paired CSV.</w:t>
            </w:r>
          </w:p>
          <w:p>
            <w:pPr>
              <w:spacing w:after="20" w:before="20" w:line="300"/>
            </w:pPr>
            <w:r>
              <w:rPr>
                <w:rFonts w:ascii="Calibri" w:cs="Calibri" w:eastAsia="Calibri" w:hAnsi="Calibri"/>
                <w:color w:val="1A1A1A"/>
                <w:sz w:val="22"/>
                <w:szCs w:val="22"/>
              </w:rPr>
              <w:t xml:space="preserve">The .docx answers “why”. The paired .csv (the-fragrance-secrets-sitemap.csv) answers “what to build” — one row per section per page, 39 pages, with a URL on every row.</w:t>
            </w:r>
          </w:p>
        </w:tc>
      </w:tr>
    </w:tbl>
    <w:p>
      <w:pPr>
        <w:pStyle w:val="Heading1"/>
        <w:pageBreakBefore/>
      </w:pPr>
      <w:r>
        <w:rPr>
          <w:rFonts w:ascii="Calibri" w:cs="Calibri" w:eastAsia="Calibri" w:hAnsi="Calibri"/>
          <w:b/>
          <w:bCs/>
          <w:color w:val="1A2B3C"/>
          <w:sz w:val="36"/>
          <w:szCs w:val="36"/>
        </w:rPr>
        <w:t xml:space="preserve">Part One — Foundational Context &amp; The Four Locked Decisions</w:t>
      </w:r>
    </w:p>
    <w:p>
      <w:pPr>
        <w:pStyle w:val="Heading2"/>
        <w:spacing w:after="120" w:before="240"/>
      </w:pPr>
      <w:r>
        <w:rPr>
          <w:rFonts w:ascii="Calibri" w:cs="Calibri" w:eastAsia="Calibri" w:hAnsi="Calibri"/>
          <w:b/>
          <w:bCs/>
          <w:color w:val="1A2B3C"/>
          <w:sz w:val="28"/>
          <w:szCs w:val="28"/>
        </w:rPr>
        <w:t xml:space="preserve">Brand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Attribute</w:t>
            </w:r>
          </w:p>
        </w:tc>
        <w:tc>
          <w:tcPr>
            <w:tcW w:type="dxa" w:w="67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Detail</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Business</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Dubai-based perfume e-commerce on Shopify; UAE-only B2C</w:t>
            </w:r>
          </w:p>
        </w:tc>
      </w:tr>
      <w:tr>
        <w:tc>
          <w:tcPr>
            <w:tcW w:type="dxa" w:w="26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Model</w:t>
            </w:r>
          </w:p>
        </w:tc>
        <w:tc>
          <w:tcPr>
            <w:tcW w:type="dxa" w:w="67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Dual: in-house lines (Fragrance Secrets, Secret Scents, Paris Collection) + verified resale of ~47 Arabic-house &amp; designer houses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Catalogue (live)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218 products across ~47 brand collections; price band ~AED 49–299 (below mall pricing)</w:t>
            </w:r>
          </w:p>
        </w:tc>
      </w:tr>
      <w:tr>
        <w:tc>
          <w:tcPr>
            <w:tcW w:type="dxa" w:w="26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Fulfilment</w:t>
            </w:r>
          </w:p>
        </w:tc>
        <w:tc>
          <w:tcPr>
            <w:tcW w:type="dxa" w:w="67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Next-day UAE delivery; Cash on Delivery; WhatsApp-first support intent</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Positioning</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Authentic + affordable + personalised — tuned for UAE heat and taste</w:t>
            </w:r>
          </w:p>
        </w:tc>
      </w:tr>
      <w:tr>
        <w:tc>
          <w:tcPr>
            <w:tcW w:type="dxa" w:w="26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Domain</w:t>
            </w:r>
          </w:p>
        </w:tc>
        <w:tc>
          <w:tcPr>
            <w:tcW w:type="dxa" w:w="67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thefragrancesecrets.com (live; rebuild is a re-theme on Shopify, not a re-platform)</w:t>
            </w:r>
          </w:p>
        </w:tc>
      </w:tr>
    </w:tbl>
    <w:p>
      <w:pPr>
        <w:pStyle w:val="Heading2"/>
        <w:spacing w:after="120" w:before="240"/>
      </w:pPr>
      <w:r>
        <w:rPr>
          <w:rFonts w:ascii="Calibri" w:cs="Calibri" w:eastAsia="Calibri" w:hAnsi="Calibri"/>
          <w:b/>
          <w:bCs/>
          <w:color w:val="1A2B3C"/>
          <w:sz w:val="28"/>
          <w:szCs w:val="28"/>
        </w:rPr>
        <w:t xml:space="preserve">What the New Site Must Achieve</w:t>
      </w:r>
    </w:p>
    <w:p>
      <w:pPr>
        <w:spacing w:after="80" w:before="80" w:line="300"/>
      </w:pPr>
      <w:r>
        <w:rPr>
          <w:rFonts w:ascii="Calibri" w:cs="Calibri" w:eastAsia="Calibri" w:hAnsi="Calibri"/>
          <w:color w:val="1A1A1A"/>
          <w:sz w:val="22"/>
          <w:szCs w:val="22"/>
        </w:rPr>
        <w:t xml:space="preserve">The goal-research document defines five business goals, ordered by leverage on the core problem. The buy-led architecture is built so that each goal has explicit structural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Goal</w:t>
            </w:r>
          </w:p>
        </w:tc>
        <w:tc>
          <w:tcPr>
            <w:tcW w:type="dxa" w:w="13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Priority</w:t>
            </w:r>
          </w:p>
        </w:tc>
        <w:tc>
          <w:tcPr>
            <w:tcW w:type="dxa" w:w="50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How the architecture serves it</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1. Lift conversion of paid traffic</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Critical</w:t>
            </w:r>
          </w:p>
        </w:tc>
        <w:tc>
          <w:tcPr>
            <w:tcW w:type="dxa" w:w="50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Shop-first hero, brand-led catalogue, stacked trust strips, low-friction PDP buy box with COD/BNPL/wallet and express buy</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2. Increase average order value</w:t>
            </w:r>
          </w:p>
        </w:tc>
        <w:tc>
          <w:tcPr>
            <w:tcW w:type="dxa" w:w="13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High</w:t>
            </w:r>
          </w:p>
        </w:tc>
        <w:tc>
          <w:tcPr>
            <w:tcW w:type="dxa" w:w="50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Bundles, gift sets, discovery kits, complete-the-set cross-sell, free-delivery threshold nudge (AED 150); custom mixing in phase 2</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3. Build a retention engine</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High</w:t>
            </w:r>
          </w:p>
        </w:tc>
        <w:tc>
          <w:tcPr>
            <w:tcW w:type="dxa" w:w="50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Email/WhatsApp capture, reorder/replenishment surfaces and flows at launch; referral in phase 2</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4. Win organic &amp; AI-search visibility</w:t>
            </w:r>
          </w:p>
        </w:tc>
        <w:tc>
          <w:tcPr>
            <w:tcW w:type="dxa" w:w="13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Medium–High</w:t>
            </w:r>
          </w:p>
        </w:tc>
        <w:tc>
          <w:tcPr>
            <w:tcW w:type="dxa" w:w="50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Brand/family/category SEO pages, Guides hub, structured data, LLMs.txt — all at launch</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5. Differentiate the brand</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Medium</w:t>
            </w:r>
          </w:p>
        </w:tc>
        <w:tc>
          <w:tcPr>
            <w:tcW w:type="dxa" w:w="50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Elevated own brands, transparent dual-model sourcing, occasion-led curation; quiz as assist; mixing as a phase-2 differentiator</w:t>
            </w:r>
          </w:p>
        </w:tc>
      </w:tr>
    </w:tbl>
    <w:p>
      <w:pPr>
        <w:pStyle w:val="Heading2"/>
        <w:spacing w:after="120" w:before="240"/>
      </w:pPr>
      <w:r>
        <w:rPr>
          <w:rFonts w:ascii="Calibri" w:cs="Calibri" w:eastAsia="Calibri" w:hAnsi="Calibri"/>
          <w:b/>
          <w:bCs/>
          <w:color w:val="1A2B3C"/>
          <w:sz w:val="28"/>
          <w:szCs w:val="28"/>
        </w:rPr>
        <w:t xml:space="preserve">Who the Site Serves</w:t>
      </w:r>
    </w:p>
    <w:p>
      <w:pPr>
        <w:spacing w:after="80" w:before="80" w:line="300"/>
      </w:pPr>
      <w:r>
        <w:rPr>
          <w:rFonts w:ascii="Calibri" w:cs="Calibri" w:eastAsia="Calibri" w:hAnsi="Calibri"/>
          <w:color w:val="1A1A1A"/>
          <w:sz w:val="22"/>
          <w:szCs w:val="22"/>
        </w:rPr>
        <w:t xml:space="preserve">Three buyer types emerge from the ICP. They drive the page architecture, the CTA placement, and the conversion paths. The buy-led posture is tuned first to the ready buyer and the Gifter, with the undecided Explorer rescued by secondary assists.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Buyer type</w:t>
            </w:r>
          </w:p>
        </w:tc>
        <w:tc>
          <w:tcPr>
            <w:tcW w:type="dxa" w:w="13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Focus</w:t>
            </w:r>
          </w:p>
        </w:tc>
        <w:tc>
          <w:tcPr>
            <w:tcW w:type="dxa" w:w="50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What the site must give them</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 — The Scent Explorer</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Acquisition</w:t>
            </w:r>
          </w:p>
        </w:tc>
        <w:tc>
          <w:tcPr>
            <w:tcW w:type="dxa" w:w="50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New from an ad, undecided, price-sensitive. Served first by best-sellers, brand familiarity and stacked trust; rescued by the quiz, discovery kits and WhatsApp when undecided.</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SL — The Signature-Scent Loyalist</w:t>
            </w:r>
          </w:p>
        </w:tc>
        <w:tc>
          <w:tcPr>
            <w:tcW w:type="dxa" w:w="13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Retention</w:t>
            </w:r>
          </w:p>
        </w:tc>
        <w:tc>
          <w:tcPr>
            <w:tcW w:type="dxa" w:w="50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Repeat buyer who knows their house style. Needs fast brand-led navigation, fast reorder, and replenishment nudges. The cheapest revenue to win back.</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GF — The Gifter</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w:t>
            </w:r>
          </w:p>
        </w:tc>
        <w:tc>
          <w:tcPr>
            <w:tcW w:type="dxa" w:w="50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Buying for someone else around Eid/weddings. Needs gift sets, occasion navigation, premium packaging and fast, reliable delivery. Higher AOV, strongly seasonal.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40"/>
              <w:left w:type="dxa" w:w="240"/>
              <w:bottom w:type="dxa" w:w="240"/>
              <w:right w:type="dxa" w:w="240"/>
            </w:tcMar>
          </w:tcPr>
          <w:p>
            <w:pPr>
              <w:spacing w:after="60" w:before="40"/>
            </w:pPr>
            <w:r>
              <w:rPr>
                <w:rFonts w:ascii="Calibri" w:cs="Calibri" w:eastAsia="Calibri" w:hAnsi="Calibri"/>
                <w:b/>
                <w:bCs/>
                <w:color w:val="1A2B3C"/>
                <w:sz w:val="22"/>
                <w:szCs w:val="22"/>
              </w:rPr>
              <w:t xml:space="preserve">Two live conflicts the new architecture resolves</w:t>
            </w:r>
          </w:p>
          <w:p>
            <w:pPr>
              <w:spacing w:after="20" w:before="20" w:line="300"/>
            </w:pPr>
            <w:r>
              <w:rPr>
                <w:rFonts w:ascii="Calibri" w:cs="Calibri" w:eastAsia="Calibri" w:hAnsi="Calibri"/>
                <w:color w:val="1A1A1A"/>
                <w:sz w:val="22"/>
                <w:szCs w:val="22"/>
              </w:rPr>
              <w:t xml:space="preserve">R-1 (authenticity vs legal reality): the current About page claims “100% genuine… directly from authorized partners”, which is untrue for a non-authorized reseller. The new IA carries a dedicated Sourcing Promise page and separates own-brand from verified resale wherever scepticism occurs.</w:t>
            </w:r>
          </w:p>
          <w:p>
            <w:pPr>
              <w:spacing w:after="20" w:before="20" w:line="300"/>
            </w:pPr>
            <w:r>
              <w:rPr>
                <w:rFonts w:ascii="Calibri" w:cs="Calibri" w:eastAsia="Calibri" w:hAnsi="Calibri"/>
                <w:color w:val="1A1A1A"/>
                <w:sz w:val="22"/>
                <w:szCs w:val="22"/>
              </w:rPr>
              <w:t xml:space="preserve">Negative-ICP conflict: the current FAQ invites “bulk and wholesale orders”, contradicting the B2B hard-no in the ICP. The rebuilt FAQ removes it.</w:t>
            </w:r>
          </w:p>
        </w:tc>
      </w:tr>
    </w:tbl>
    <w:p>
      <w:pPr>
        <w:pStyle w:val="Heading2"/>
        <w:spacing w:after="120" w:before="240"/>
      </w:pPr>
      <w:r>
        <w:rPr>
          <w:rFonts w:ascii="Calibri" w:cs="Calibri" w:eastAsia="Calibri" w:hAnsi="Calibri"/>
          <w:b/>
          <w:bCs/>
          <w:color w:val="1A2B3C"/>
          <w:sz w:val="28"/>
          <w:szCs w:val="28"/>
        </w:rPr>
        <w:t xml:space="preserve">Decision 1 — CTA Hierarchy (Buy-Led / Conversion-Maximiser)</w:t>
      </w:r>
    </w:p>
    <w:p>
      <w:pPr>
        <w:spacing w:after="80" w:before="80" w:line="300"/>
      </w:pPr>
      <w:r>
        <w:rPr>
          <w:rFonts w:ascii="Calibri" w:cs="Calibri" w:eastAsia="Calibri" w:hAnsi="Calibri"/>
          <w:color w:val="1A1A1A"/>
          <w:sz w:val="22"/>
          <w:szCs w:val="22"/>
        </w:rPr>
        <w:t xml:space="preserve">Every page exists to drive an action. This hierarchy is locked first because every downstream page spec inherits a clear conversion target. The decision is buy-led: the shortest path to a paid order is the default, and discovery tools assist rather than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2810"/>
        <w:gridCol w:w="2000"/>
      </w:tblGrid>
      <w:tr>
        <w:trPr>
          <w:tblHeader/>
        </w:trPr>
        <w:tc>
          <w:tcPr>
            <w:tcW w:type="dxa" w:w="15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Level</w:t>
            </w:r>
          </w:p>
        </w:tc>
        <w:tc>
          <w:tcPr>
            <w:tcW w:type="dxa" w:w="305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CTA</w:t>
            </w:r>
          </w:p>
        </w:tc>
        <w:tc>
          <w:tcPr>
            <w:tcW w:type="dxa" w:w="281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Where it lives</w:t>
            </w:r>
          </w:p>
        </w:tc>
        <w:tc>
          <w:tcPr>
            <w:tcW w:type="dxa" w:w="2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Serves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Primary</w:t>
            </w:r>
          </w:p>
        </w:tc>
        <w:tc>
          <w:tcPr>
            <w:tcW w:type="dxa" w:w="305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Add to Cart / Buy Now — express checkout (COD + Tabby/Tamara + wallet)</w:t>
            </w:r>
          </w:p>
        </w:tc>
        <w:tc>
          <w:tcPr>
            <w:tcW w:type="dxa" w:w="281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Every PDP; sticky on mobile; PDP buy box</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Goal 1 — convert the click</w:t>
            </w:r>
          </w:p>
        </w:tc>
      </w:tr>
      <w:tr>
        <w:tc>
          <w:tcPr>
            <w:tcW w:type="dxa" w:w="15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Primary (home)</w:t>
            </w:r>
          </w:p>
        </w:tc>
        <w:tc>
          <w:tcPr>
            <w:tcW w:type="dxa" w:w="305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 best-sellers / Shop by Occasion (shop-first hero)</w:t>
            </w:r>
          </w:p>
        </w:tc>
        <w:tc>
          <w:tcPr>
            <w:tcW w:type="dxa" w:w="281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Homepage hero, ad landings</w:t>
            </w:r>
          </w:p>
        </w:tc>
        <w:tc>
          <w:tcPr>
            <w:tcW w:type="dxa" w:w="2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Goal 1 — convert the click</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Secondary</w:t>
            </w:r>
          </w:p>
        </w:tc>
        <w:tc>
          <w:tcPr>
            <w:tcW w:type="dxa" w:w="305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Find My Scent (60-sec quiz) — rescue/assist</w:t>
            </w:r>
          </w:p>
        </w:tc>
        <w:tc>
          <w:tcPr>
            <w:tcW w:type="dxa" w:w="281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Homepage band, collection + PDP assist, no-results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Goal 1, 5 — rescue undecided traffic</w:t>
            </w:r>
          </w:p>
        </w:tc>
      </w:tr>
      <w:tr>
        <w:tc>
          <w:tcPr>
            <w:tcW w:type="dxa" w:w="15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Secondary</w:t>
            </w:r>
          </w:p>
        </w:tc>
        <w:tc>
          <w:tcPr>
            <w:tcW w:type="dxa" w:w="305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Build a Gift / Shop the Set; Start Mixing (phase 2)</w:t>
            </w:r>
          </w:p>
        </w:tc>
        <w:tc>
          <w:tcPr>
            <w:tcW w:type="dxa" w:w="281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 pages, PDP cross-sell, oil PDPs</w:t>
            </w:r>
          </w:p>
        </w:tc>
        <w:tc>
          <w:tcPr>
            <w:tcW w:type="dxa" w:w="2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Goal 2, 5 — grow the order</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Secondary</w:t>
            </w:r>
          </w:p>
        </w:tc>
        <w:tc>
          <w:tcPr>
            <w:tcW w:type="dxa" w:w="305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WhatsApp / Concierge (one-tap)</w:t>
            </w:r>
          </w:p>
        </w:tc>
        <w:tc>
          <w:tcPr>
            <w:tcW w:type="dxa" w:w="281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Sitewide sticky, PDP, support</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Goal 1, 3 — convert + retain</w:t>
            </w:r>
          </w:p>
        </w:tc>
      </w:tr>
      <w:tr>
        <w:tc>
          <w:tcPr>
            <w:tcW w:type="dxa" w:w="15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Tertiary</w:t>
            </w:r>
          </w:p>
        </w:tc>
        <w:tc>
          <w:tcPr>
            <w:tcW w:type="dxa" w:w="305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Get 10% off (email/WhatsApp); Refer &amp; earn (phase 2)</w:t>
            </w:r>
          </w:p>
        </w:tc>
        <w:tc>
          <w:tcPr>
            <w:tcW w:type="dxa" w:w="281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Footer, popup, post-purchase, account</w:t>
            </w:r>
          </w:p>
        </w:tc>
        <w:tc>
          <w:tcPr>
            <w:tcW w:type="dxa" w:w="2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Goal 3 — keep the customer</w:t>
            </w:r>
          </w:p>
        </w:tc>
      </w:tr>
    </w:tbl>
    <w:p>
      <w:pPr>
        <w:spacing w:after="80" w:before="140"/>
      </w:pPr>
      <w:r>
        <w:rPr>
          <w:rFonts w:ascii="Calibri" w:cs="Calibri" w:eastAsia="Calibri" w:hAnsi="Calibri"/>
          <w:b/>
          <w:bCs/>
          <w:color w:val="1A2B3C"/>
          <w:sz w:val="22"/>
          <w:szCs w:val="22"/>
        </w:rPr>
        <w:t xml:space="preserve">Homepage hero — locked as shop-first</w:t>
      </w:r>
    </w:p>
    <w:p>
      <w:pPr>
        <w:spacing w:after="80" w:before="80" w:line="300"/>
      </w:pPr>
      <w:r>
        <w:rPr>
          <w:rFonts w:ascii="Calibri" w:cs="Calibri" w:eastAsia="Calibri" w:hAnsi="Calibri"/>
          <w:color w:val="1A1A1A"/>
          <w:sz w:val="22"/>
          <w:szCs w:val="22"/>
        </w:rPr>
        <w:t xml:space="preserve">Three framings were considered: shop-first (lead with product/brand/occasion), discovery-first (lead with the quiz), and dual-primary. Locked: shop-first.</w:t>
      </w:r>
    </w:p>
    <w:p>
      <w:pPr>
        <w:pStyle w:val="ListParagraph"/>
        <w:numPr>
          <w:ilvl w:val="0"/>
          <w:numId w:val="2"/>
        </w:numPr>
        <w:spacing w:after="40" w:before="40" w:line="300"/>
      </w:pPr>
      <w:r>
        <w:rPr>
          <w:rFonts w:ascii="Calibri" w:cs="Calibri" w:eastAsia="Calibri" w:hAnsi="Calibri"/>
          <w:color w:val="1A1A1A"/>
          <w:sz w:val="22"/>
          <w:szCs w:val="22"/>
        </w:rPr>
        <w:t xml:space="preserve">Paid traffic converts most reliably when it lands on product and recognisable brands, not on an interstitial task; the hero is the highest-traffic surface and must monetise it directly.</w:t>
      </w:r>
    </w:p>
    <w:p>
      <w:pPr>
        <w:pStyle w:val="ListParagraph"/>
        <w:numPr>
          <w:ilvl w:val="0"/>
          <w:numId w:val="2"/>
        </w:numPr>
        <w:spacing w:after="40" w:before="40" w:line="300"/>
      </w:pPr>
      <w:r>
        <w:rPr>
          <w:rFonts w:ascii="Calibri" w:cs="Calibri" w:eastAsia="Calibri" w:hAnsi="Calibri"/>
          <w:color w:val="1A1A1A"/>
          <w:sz w:val="22"/>
          <w:szCs w:val="22"/>
        </w:rPr>
        <w:t xml:space="preserve">The ready buyer and the Gifter — the two highest-intent, highest-value arrivals — are served immediately, with best-sellers and occasions leading.</w:t>
      </w:r>
    </w:p>
    <w:p>
      <w:pPr>
        <w:pStyle w:val="ListParagraph"/>
        <w:numPr>
          <w:ilvl w:val="0"/>
          <w:numId w:val="2"/>
        </w:numPr>
        <w:spacing w:after="40" w:before="40" w:line="300"/>
      </w:pPr>
      <w:r>
        <w:rPr>
          <w:rFonts w:ascii="Calibri" w:cs="Calibri" w:eastAsia="Calibri" w:hAnsi="Calibri"/>
          <w:color w:val="1A1A1A"/>
          <w:sz w:val="22"/>
          <w:szCs w:val="22"/>
        </w:rPr>
        <w:t xml:space="preserve">The undecided Explorer is not abandoned: a Find My Scent assist band sits on the homepage and on collection/PDP surfaces, and the no-results state routes into the quiz.</w:t>
      </w:r>
    </w:p>
    <w:p>
      <w:pPr>
        <w:pStyle w:val="ListParagraph"/>
        <w:numPr>
          <w:ilvl w:val="0"/>
          <w:numId w:val="2"/>
        </w:numPr>
        <w:spacing w:after="40" w:before="40" w:line="300"/>
      </w:pPr>
      <w:r>
        <w:rPr>
          <w:rFonts w:ascii="Calibri" w:cs="Calibri" w:eastAsia="Calibri" w:hAnsi="Calibri"/>
          <w:color w:val="1A1A1A"/>
          <w:sz w:val="22"/>
          <w:szCs w:val="22"/>
        </w:rPr>
        <w:t xml:space="preserve">The quiz remains the market’s unclaimed lane, but it is treated as an assist that rescues hesitation rather than the default front door — the safer conversion bet for paid traffic now.</w:t>
      </w:r>
    </w:p>
    <w:p>
      <w:pPr>
        <w:pBdr>
          <w:left w:val="single" w:color="C8A35B" w:sz="18" w:space="12"/>
        </w:pBdr>
        <w:spacing w:after="120" w:before="120" w:line="300"/>
        <w:ind w:left="480" w:right="480"/>
      </w:pPr>
      <w:r>
        <w:rPr>
          <w:rFonts w:ascii="Calibri" w:cs="Calibri" w:eastAsia="Calibri" w:hAnsi="Calibri"/>
          <w:i/>
          <w:iCs/>
          <w:color w:val="555555"/>
          <w:sz w:val="22"/>
          <w:szCs w:val="22"/>
        </w:rPr>
        <w:t xml:space="preserve">Reversal path: if 90-day data shows undecided/first-touch traffic dominating the homepage and bouncing, the Find My Scent assist can be promoted into the hero as a module swap — no IA change.</w:t>
      </w:r>
    </w:p>
    <w:p>
      <w:pPr>
        <w:pStyle w:val="Heading2"/>
        <w:spacing w:after="120" w:before="240"/>
      </w:pPr>
      <w:r>
        <w:rPr>
          <w:rFonts w:ascii="Calibri" w:cs="Calibri" w:eastAsia="Calibri" w:hAnsi="Calibri"/>
          <w:b/>
          <w:bCs/>
          <w:color w:val="1A2B3C"/>
          <w:sz w:val="28"/>
          <w:szCs w:val="28"/>
        </w:rPr>
        <w:t xml:space="preserve">Decision 2 — User Intent Tiers (Anchored on the Ready Buyer)</w:t>
      </w:r>
    </w:p>
    <w:p>
      <w:pPr>
        <w:spacing w:after="80" w:before="80" w:line="300"/>
      </w:pPr>
      <w:r>
        <w:rPr>
          <w:rFonts w:ascii="Calibri" w:cs="Calibri" w:eastAsia="Calibri" w:hAnsi="Calibri"/>
          <w:color w:val="1A1A1A"/>
          <w:sz w:val="22"/>
          <w:szCs w:val="22"/>
        </w:rPr>
        <w:t xml:space="preserve">Fifteen distinct intents across the three buyer types, tiered by mission-criticality, frequency and commercial value. The buy-led posture anchors the Tier-1 spine on the ready buyer and the Gifter; discovery and retention intents are accommodated as secondary.</w:t>
      </w:r>
    </w:p>
    <w:p>
      <w:pPr>
        <w:spacing w:after="80" w:before="140"/>
      </w:pPr>
      <w:r>
        <w:rPr>
          <w:rFonts w:ascii="Calibri" w:cs="Calibri" w:eastAsia="Calibri" w:hAnsi="Calibri"/>
          <w:b/>
          <w:bCs/>
          <w:color w:val="1A2B3C"/>
          <w:sz w:val="22"/>
          <w:szCs w:val="22"/>
        </w:rPr>
        <w:t xml:space="preserve">Tier 1 — Mission-Critical (the anchored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660"/>
        <w:gridCol w:w="1700"/>
      </w:tblGrid>
      <w:tr>
        <w:trPr>
          <w:tblHeader/>
        </w:trPr>
        <w:tc>
          <w:tcPr>
            <w:tcW w:type="dxa" w:w="1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Code</w:t>
            </w:r>
          </w:p>
        </w:tc>
        <w:tc>
          <w:tcPr>
            <w:tcW w:type="dxa" w:w="66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Intent (visitor's voice)</w:t>
            </w:r>
          </w:p>
        </w:tc>
        <w:tc>
          <w:tcPr>
            <w:tcW w:type="dxa" w:w="17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Buyer</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A1</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I know the brand/house I want — take me straight to it</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SL/GF</w:t>
            </w:r>
          </w:p>
        </w:tc>
      </w:tr>
      <w:tr>
        <w:tc>
          <w:tcPr>
            <w:tcW w:type="dxa" w:w="1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A2</w:t>
            </w:r>
          </w:p>
        </w:tc>
        <w:tc>
          <w:tcPr>
            <w:tcW w:type="dxa" w:w="66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Let me buy this fast — COD/BNPL, on my phone</w:t>
            </w:r>
          </w:p>
        </w:tc>
        <w:tc>
          <w:tcPr>
            <w:tcW w:type="dxa" w:w="1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All</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A3</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Show me what’s best-selling / on offer</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All</w:t>
            </w:r>
          </w:p>
        </w:tc>
      </w:tr>
      <w:tr>
        <w:tc>
          <w:tcPr>
            <w:tcW w:type="dxa" w:w="1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A5</w:t>
            </w:r>
          </w:p>
        </w:tc>
        <w:tc>
          <w:tcPr>
            <w:tcW w:type="dxa" w:w="66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Make this a gift / shop for an occasion (Eid, wedding)</w:t>
            </w:r>
          </w:p>
        </w:tc>
        <w:tc>
          <w:tcPr>
            <w:tcW w:type="dxa" w:w="1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GF</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A4</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Reassure me this is genuine and worth the below-mall price</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SE/GF</w:t>
            </w:r>
          </w:p>
        </w:tc>
      </w:tr>
    </w:tbl>
    <w:p>
      <w:pPr>
        <w:spacing w:after="80" w:before="140"/>
      </w:pPr>
      <w:r>
        <w:rPr>
          <w:rFonts w:ascii="Calibri" w:cs="Calibri" w:eastAsia="Calibri" w:hAnsi="Calibri"/>
          <w:b/>
          <w:bCs/>
          <w:color w:val="1A2B3C"/>
          <w:sz w:val="22"/>
          <w:szCs w:val="22"/>
        </w:rPr>
        <w:t xml:space="preserve">Tier 2 — Accommodated (secondary; dedicated pages or assists)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660"/>
        <w:gridCol w:w="1700"/>
      </w:tblGrid>
      <w:tr>
        <w:trPr>
          <w:tblHeader/>
        </w:trPr>
        <w:tc>
          <w:tcPr>
            <w:tcW w:type="dxa" w:w="1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Code</w:t>
            </w:r>
          </w:p>
        </w:tc>
        <w:tc>
          <w:tcPr>
            <w:tcW w:type="dxa" w:w="66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Intent</w:t>
            </w:r>
          </w:p>
        </w:tc>
        <w:tc>
          <w:tcPr>
            <w:tcW w:type="dxa" w:w="17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Buyer</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B1</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Arrived undecided — help me find a scent (quiz assist)</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w:t>
            </w:r>
          </w:p>
        </w:tc>
      </w:tr>
      <w:tr>
        <w:tc>
          <w:tcPr>
            <w:tcW w:type="dxa" w:w="1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B2</w:t>
            </w:r>
          </w:p>
        </w:tc>
        <w:tc>
          <w:tcPr>
            <w:tcW w:type="dxa" w:w="66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 low-commitment way to try first (discovery kit)</w:t>
            </w:r>
          </w:p>
        </w:tc>
        <w:tc>
          <w:tcPr>
            <w:tcW w:type="dxa" w:w="1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B3</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Reorder my signature fast</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SL</w:t>
            </w:r>
          </w:p>
        </w:tc>
      </w:tr>
      <w:tr>
        <w:tc>
          <w:tcPr>
            <w:tcW w:type="dxa" w:w="1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B4</w:t>
            </w:r>
          </w:p>
        </w:tc>
        <w:tc>
          <w:tcPr>
            <w:tcW w:type="dxa" w:w="66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Create my own signature spray (oil-to-spray mixing) — phase 2</w:t>
            </w:r>
          </w:p>
        </w:tc>
        <w:tc>
          <w:tcPr>
            <w:tcW w:type="dxa" w:w="1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SL/SE</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B5</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Help me understand scent before I buy (guides: notes, oud vs attar)</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SE/SL</w:t>
            </w:r>
          </w:p>
        </w:tc>
      </w:tr>
      <w:tr>
        <w:tc>
          <w:tcPr>
            <w:tcW w:type="dxa" w:w="1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B6</w:t>
            </w:r>
          </w:p>
        </w:tc>
        <w:tc>
          <w:tcPr>
            <w:tcW w:type="dxa" w:w="66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Talk to a human now (WhatsApp)</w:t>
            </w:r>
          </w:p>
        </w:tc>
        <w:tc>
          <w:tcPr>
            <w:tcW w:type="dxa" w:w="1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All</w:t>
            </w:r>
          </w:p>
        </w:tc>
      </w:tr>
    </w:tbl>
    <w:p>
      <w:pPr>
        <w:spacing w:after="80" w:before="140"/>
      </w:pPr>
      <w:r>
        <w:rPr>
          <w:rFonts w:ascii="Calibri" w:cs="Calibri" w:eastAsia="Calibri" w:hAnsi="Calibri"/>
          <w:b/>
          <w:bCs/>
          <w:color w:val="1A2B3C"/>
          <w:sz w:val="22"/>
          <w:szCs w:val="22"/>
        </w:rPr>
        <w:t xml:space="preserve">Tier 3 — Accommodated (sub-sections / supporting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660"/>
        <w:gridCol w:w="1700"/>
      </w:tblGrid>
      <w:tr>
        <w:trPr>
          <w:tblHeader/>
        </w:trPr>
        <w:tc>
          <w:tcPr>
            <w:tcW w:type="dxa" w:w="1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Code</w:t>
            </w:r>
          </w:p>
        </w:tc>
        <w:tc>
          <w:tcPr>
            <w:tcW w:type="dxa" w:w="66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Intent</w:t>
            </w:r>
          </w:p>
        </w:tc>
        <w:tc>
          <w:tcPr>
            <w:tcW w:type="dxa" w:w="17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Buyer</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C1</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Tell me about the brand / who I’m buying from</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w:t>
            </w:r>
          </w:p>
        </w:tc>
      </w:tr>
      <w:tr>
        <w:tc>
          <w:tcPr>
            <w:tcW w:type="dxa" w:w="1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C2</w:t>
            </w:r>
          </w:p>
        </w:tc>
        <w:tc>
          <w:tcPr>
            <w:tcW w:type="dxa" w:w="66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What are your delivery, returns, payment terms?</w:t>
            </w:r>
          </w:p>
        </w:tc>
        <w:tc>
          <w:tcPr>
            <w:tcW w:type="dxa" w:w="1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All</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C3</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Refer a friend / earn credit (phase 2)</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SL</w:t>
            </w:r>
          </w:p>
        </w:tc>
      </w:tr>
      <w:tr>
        <w:tc>
          <w:tcPr>
            <w:tcW w:type="dxa" w:w="1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C4</w:t>
            </w:r>
          </w:p>
        </w:tc>
        <w:tc>
          <w:tcPr>
            <w:tcW w:type="dxa" w:w="66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Manage my account / track my order</w:t>
            </w:r>
          </w:p>
        </w:tc>
        <w:tc>
          <w:tcPr>
            <w:tcW w:type="dxa" w:w="1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SL</w:t>
            </w:r>
          </w:p>
        </w:tc>
      </w:tr>
    </w:tbl>
    <w:p>
      <w:pPr>
        <w:spacing w:after="80" w:before="140"/>
      </w:pPr>
      <w:r>
        <w:rPr>
          <w:rFonts w:ascii="Calibri" w:cs="Calibri" w:eastAsia="Calibri" w:hAnsi="Calibri"/>
          <w:b/>
          <w:bCs/>
          <w:color w:val="1A2B3C"/>
          <w:sz w:val="22"/>
          <w:szCs w:val="22"/>
        </w:rPr>
        <w:t xml:space="preserve">Tier 4 — Deferred (reserved URL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60"/>
        <w:gridCol w:w="3700"/>
      </w:tblGrid>
      <w:tr>
        <w:trPr>
          <w:tblHeader/>
        </w:trPr>
        <w:tc>
          <w:tcPr>
            <w:tcW w:type="dxa" w:w="1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Code</w:t>
            </w:r>
          </w:p>
        </w:tc>
        <w:tc>
          <w:tcPr>
            <w:tcW w:type="dxa" w:w="46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Intent</w:t>
            </w:r>
          </w:p>
        </w:tc>
        <w:tc>
          <w:tcPr>
            <w:tcW w:type="dxa" w:w="37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Reserved as</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D1</w:t>
            </w:r>
          </w:p>
        </w:tc>
        <w:tc>
          <w:tcPr>
            <w:tcW w:type="dxa" w:w="4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Subscribe / replenish my signature on a schedule</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/subscriptions (gated on ops, R-3)</w:t>
            </w:r>
          </w:p>
        </w:tc>
      </w:tr>
      <w:tr>
        <w:tc>
          <w:tcPr>
            <w:tcW w:type="dxa" w:w="1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D2</w:t>
            </w:r>
          </w:p>
        </w:tc>
        <w:tc>
          <w:tcPr>
            <w:tcW w:type="dxa" w:w="46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 in Arabic</w:t>
            </w:r>
          </w:p>
        </w:tc>
        <w:tc>
          <w:tcPr>
            <w:tcW w:type="dxa" w:w="3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/ar locale (bilingual UAE)</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D3</w:t>
            </w:r>
          </w:p>
        </w:tc>
        <w:tc>
          <w:tcPr>
            <w:tcW w:type="dxa" w:w="4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Earn loyalty points</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/pages/rewards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40"/>
              <w:left w:type="dxa" w:w="240"/>
              <w:bottom w:type="dxa" w:w="240"/>
              <w:right w:type="dxa" w:w="240"/>
            </w:tcMar>
          </w:tcPr>
          <w:p>
            <w:pPr>
              <w:spacing w:after="60" w:before="40"/>
            </w:pPr>
            <w:r>
              <w:rPr>
                <w:rFonts w:ascii="Calibri" w:cs="Calibri" w:eastAsia="Calibri" w:hAnsi="Calibri"/>
                <w:b/>
                <w:bCs/>
                <w:color w:val="1A2B3C"/>
                <w:sz w:val="22"/>
                <w:szCs w:val="22"/>
              </w:rPr>
              <w:t xml:space="preserve">Deliberate exclusions (traceable to the Negative ICP)</w:t>
            </w:r>
          </w:p>
          <w:p>
            <w:pPr>
              <w:spacing w:after="20" w:before="20" w:line="300"/>
            </w:pPr>
            <w:r>
              <w:rPr>
                <w:rFonts w:ascii="Calibri" w:cs="Calibri" w:eastAsia="Calibri" w:hAnsi="Calibri"/>
                <w:color w:val="1A1A1A"/>
                <w:sz w:val="22"/>
                <w:szCs w:val="22"/>
              </w:rPr>
              <w:t xml:space="preserve">No B2B/wholesale intent — a hard-no in the ICP; the current FAQ invitation is removed.</w:t>
            </w:r>
          </w:p>
          <w:p>
            <w:pPr>
              <w:spacing w:after="20" w:before="20" w:line="300"/>
            </w:pPr>
            <w:r>
              <w:rPr>
                <w:rFonts w:ascii="Calibri" w:cs="Calibri" w:eastAsia="Calibri" w:hAnsi="Calibri"/>
                <w:color w:val="1A1A1A"/>
                <w:sz w:val="22"/>
                <w:szCs w:val="22"/>
              </w:rPr>
              <w:t xml:space="preserve">No outside-UAE / international intent — UAE-only this phase. The /ar reservation is language, not export.</w:t>
            </w:r>
          </w:p>
        </w:tc>
      </w:tr>
    </w:tbl>
    <w:p>
      <w:pPr>
        <w:pStyle w:val="Heading2"/>
        <w:spacing w:after="120" w:before="240"/>
      </w:pPr>
      <w:r>
        <w:rPr>
          <w:rFonts w:ascii="Calibri" w:cs="Calibri" w:eastAsia="Calibri" w:hAnsi="Calibri"/>
          <w:b/>
          <w:bCs/>
          <w:color w:val="1A2B3C"/>
          <w:sz w:val="28"/>
          <w:szCs w:val="28"/>
        </w:rPr>
        <w:t xml:space="preserve">Decision 3 — Product Hierarchy &amp; Navigation (Brand-Led, Own Brands Elevated)</w:t>
      </w:r>
    </w:p>
    <w:p>
      <w:pPr>
        <w:spacing w:after="80" w:before="80" w:line="300"/>
      </w:pPr>
      <w:r>
        <w:rPr>
          <w:rFonts w:ascii="Calibri" w:cs="Calibri" w:eastAsia="Calibri" w:hAnsi="Calibri"/>
          <w:color w:val="1A1A1A"/>
          <w:sz w:val="22"/>
          <w:szCs w:val="22"/>
        </w:rPr>
        <w:t xml:space="preserve">The catalogue is organised first by brand — the axis the market searches on and the spine of a recognised-brand store — with the in-house lines promoted above the resale houses. Secondary axes are layered in a ranked order, then mapped to a buy-led navigation.</w:t>
      </w:r>
    </w:p>
    <w:p>
      <w:pPr>
        <w:spacing w:after="80" w:before="140"/>
      </w:pPr>
      <w:r>
        <w:rPr>
          <w:rFonts w:ascii="Calibri" w:cs="Calibri" w:eastAsia="Calibri" w:hAnsi="Calibri"/>
          <w:b/>
          <w:bCs/>
          <w:color w:val="1A2B3C"/>
          <w:sz w:val="22"/>
          <w:szCs w:val="22"/>
        </w:rPr>
        <w:t xml:space="preserve">Primary axis — brand, with own brands elevated</w:t>
      </w:r>
    </w:p>
    <w:p>
      <w:pPr>
        <w:pStyle w:val="ListParagraph"/>
        <w:numPr>
          <w:ilvl w:val="0"/>
          <w:numId w:val="2"/>
        </w:numPr>
        <w:spacing w:after="40" w:before="40" w:line="300"/>
      </w:pPr>
      <w:r>
        <w:rPr>
          <w:rFonts w:ascii="Calibri" w:cs="Calibri" w:eastAsia="Calibri" w:hAnsi="Calibri"/>
          <w:color w:val="1A1A1A"/>
          <w:sz w:val="22"/>
          <w:szCs w:val="22"/>
        </w:rPr>
        <w:t xml:space="preserve">“Our Brands” (Fragrance Secrets, Secret Scents, Paris Collection) is presented as a promoted group ABOVE the A-Z of ~47 resale houses — concentrating attention on the highest-margin, fully-owned lines.</w:t>
      </w:r>
    </w:p>
    <w:p>
      <w:pPr>
        <w:pStyle w:val="ListParagraph"/>
        <w:numPr>
          <w:ilvl w:val="0"/>
          <w:numId w:val="2"/>
        </w:numPr>
        <w:spacing w:after="40" w:before="40" w:line="300"/>
      </w:pPr>
      <w:r>
        <w:rPr>
          <w:rFonts w:ascii="Calibri" w:cs="Calibri" w:eastAsia="Calibri" w:hAnsi="Calibri"/>
          <w:color w:val="1A1A1A"/>
          <w:sz w:val="22"/>
          <w:szCs w:val="22"/>
        </w:rPr>
        <w:t xml:space="preserve">Elevating own brands also creates the cleanest structural answer to Risk R-1: original in-house product is visibly separated from verified resale, each labelled honestly.</w:t>
      </w:r>
    </w:p>
    <w:p>
      <w:pPr>
        <w:pStyle w:val="ListParagraph"/>
        <w:numPr>
          <w:ilvl w:val="0"/>
          <w:numId w:val="2"/>
        </w:numPr>
        <w:spacing w:after="40" w:before="40" w:line="300"/>
      </w:pPr>
      <w:r>
        <w:rPr>
          <w:rFonts w:ascii="Calibri" w:cs="Calibri" w:eastAsia="Calibri" w:hAnsi="Calibri"/>
          <w:color w:val="1A1A1A"/>
          <w:sz w:val="22"/>
          <w:szCs w:val="22"/>
        </w:rPr>
        <w:t xml:space="preserve">The full resale A-Z still exists in its entirety — it captures the brand-name search demand (Lattafa, Armaf, Ahmed Al Maghribi, Afnan, designer houses) that paid and organic traffic arrives on.</w:t>
      </w:r>
    </w:p>
    <w:p>
      <w:pPr>
        <w:spacing w:after="80" w:before="140"/>
      </w:pPr>
      <w:r>
        <w:rPr>
          <w:rFonts w:ascii="Calibri" w:cs="Calibri" w:eastAsia="Calibri" w:hAnsi="Calibri"/>
          <w:b/>
          <w:bCs/>
          <w:color w:val="1A2B3C"/>
          <w:sz w:val="22"/>
          <w:szCs w:val="22"/>
        </w:rPr>
        <w:t xml:space="preserve">Secondary axes —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Rank</w:t>
            </w:r>
          </w:p>
        </w:tc>
        <w:tc>
          <w:tcPr>
            <w:tcW w:type="dxa" w:w="4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Axis</w:t>
            </w:r>
          </w:p>
        </w:tc>
        <w:tc>
          <w:tcPr>
            <w:tcW w:type="dxa" w:w="45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Surfaces</w:t>
            </w:r>
          </w:p>
        </w:tc>
      </w:tr>
      <w:tr>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1</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Category / audience (Men’s · Women’s · Unisex · Kids)</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Category collections; homepage band; filters</w:t>
            </w:r>
          </w:p>
        </w:tc>
      </w:tr>
      <w:tr>
        <w:tc>
          <w:tcPr>
            <w:tcW w:type="dxa" w:w="8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2</w:t>
            </w:r>
          </w:p>
        </w:tc>
        <w:tc>
          <w:tcPr>
            <w:tcW w:type="dxa" w:w="4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Scent-family (oud · attar · oriental · floral · fresh · woody)</w:t>
            </w:r>
          </w:p>
        </w:tc>
        <w:tc>
          <w:tcPr>
            <w:tcW w:type="dxa" w:w="45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Family collections (SEO); filters; guide links</w:t>
            </w:r>
          </w:p>
        </w:tc>
      </w:tr>
      <w:tr>
        <w:tc>
          <w:tcPr>
            <w:tcW w:type="dxa" w:w="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3</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 (Eid · wedding · gifting · date-night)</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Occasions hub + occasion landings</w:t>
            </w:r>
          </w:p>
        </w:tc>
      </w:tr>
      <w:tr>
        <w:tc>
          <w:tcPr>
            <w:tcW w:type="dxa" w:w="8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4</w:t>
            </w:r>
          </w:p>
        </w:tc>
        <w:tc>
          <w:tcPr>
            <w:tcW w:type="dxa" w:w="4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Price / offers</w:t>
            </w:r>
          </w:p>
        </w:tc>
        <w:tc>
          <w:tcPr>
            <w:tcW w:type="dxa" w:w="45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Best-sellers/offers collection; filters; cart nudges</w:t>
            </w:r>
          </w:p>
        </w:tc>
      </w:tr>
    </w:tbl>
    <w:p>
      <w:pPr>
        <w:spacing w:after="80" w:before="140"/>
      </w:pPr>
      <w:r>
        <w:rPr>
          <w:rFonts w:ascii="Calibri" w:cs="Calibri" w:eastAsia="Calibri" w:hAnsi="Calibri"/>
          <w:b/>
          <w:bCs/>
          <w:color w:val="1A2B3C"/>
          <w:sz w:val="22"/>
          <w:szCs w:val="22"/>
        </w:rPr>
        <w:t xml:space="preserve">Top-level navigation (buy-led)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50"/>
        <w:gridCol w:w="3410"/>
        <w:gridCol w:w="3300"/>
      </w:tblGrid>
      <w:tr>
        <w:trPr>
          <w:tblHeader/>
        </w:trPr>
        <w:tc>
          <w:tcPr>
            <w:tcW w:type="dxa" w:w="6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w:t>
            </w:r>
          </w:p>
        </w:tc>
        <w:tc>
          <w:tcPr>
            <w:tcW w:type="dxa" w:w="205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Nav label</w:t>
            </w:r>
          </w:p>
        </w:tc>
        <w:tc>
          <w:tcPr>
            <w:tcW w:type="dxa" w:w="341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Holds</w:t>
            </w:r>
          </w:p>
        </w:tc>
        <w:tc>
          <w:tcPr>
            <w:tcW w:type="dxa" w:w="33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Why top-level</w:t>
            </w:r>
          </w:p>
        </w:tc>
      </w:tr>
      <w:tr>
        <w:tc>
          <w:tcPr>
            <w:tcW w:type="dxa" w:w="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1</w:t>
            </w:r>
          </w:p>
        </w:tc>
        <w:tc>
          <w:tcPr>
            <w:tcW w:type="dxa" w:w="205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 (mega-menu, dominant)</w:t>
            </w:r>
          </w:p>
        </w:tc>
        <w:tc>
          <w:tcPr>
            <w:tcW w:type="dxa" w:w="341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Our Brands · All Brands A-Z · Categories · Scent-family · Best-sellers/Offers</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A1/A2/A3 — the ready buyer’s express lane and the search-demand engine</w:t>
            </w:r>
          </w:p>
        </w:tc>
      </w:tr>
      <w:tr>
        <w:tc>
          <w:tcPr>
            <w:tcW w:type="dxa" w:w="6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2</w:t>
            </w:r>
          </w:p>
        </w:tc>
        <w:tc>
          <w:tcPr>
            <w:tcW w:type="dxa" w:w="205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Occasions &amp; Gifts</w:t>
            </w:r>
          </w:p>
        </w:tc>
        <w:tc>
          <w:tcPr>
            <w:tcW w:type="dxa" w:w="341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Eid · Wedding · Date Night · Gift Sets · Discovery Kits</w:t>
            </w:r>
          </w:p>
        </w:tc>
        <w:tc>
          <w:tcPr>
            <w:tcW w:type="dxa" w:w="33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A5 — the Gifter’s world; high-AOV, seasonal</w:t>
            </w:r>
          </w:p>
        </w:tc>
      </w:tr>
      <w:tr>
        <w:tc>
          <w:tcPr>
            <w:tcW w:type="dxa" w:w="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3</w:t>
            </w:r>
          </w:p>
        </w:tc>
        <w:tc>
          <w:tcPr>
            <w:tcW w:type="dxa" w:w="205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Guides</w:t>
            </w:r>
          </w:p>
        </w:tc>
        <w:tc>
          <w:tcPr>
            <w:tcW w:type="dxa" w:w="341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Scent-education hub</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B5 + Goal 4 — organic / AI-search engine (launch)</w:t>
            </w:r>
          </w:p>
        </w:tc>
      </w:tr>
      <w:tr>
        <w:tc>
          <w:tcPr>
            <w:tcW w:type="dxa" w:w="6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t>
            </w:r>
          </w:p>
        </w:tc>
        <w:tc>
          <w:tcPr>
            <w:tcW w:type="dxa" w:w="205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Utility</w:t>
            </w:r>
          </w:p>
        </w:tc>
        <w:tc>
          <w:tcPr>
            <w:tcW w:type="dxa" w:w="341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Search · Account · Cart · WhatsApp</w:t>
            </w:r>
          </w:p>
        </w:tc>
        <w:tc>
          <w:tcPr>
            <w:tcW w:type="dxa" w:w="33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A2/B6/C4 — persistent</w:t>
            </w:r>
          </w:p>
        </w:tc>
      </w:tr>
      <w:tr>
        <w:tc>
          <w:tcPr>
            <w:tcW w:type="dxa" w:w="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t>
            </w:r>
          </w:p>
        </w:tc>
        <w:tc>
          <w:tcPr>
            <w:tcW w:type="dxa" w:w="205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Find My Scent</w:t>
            </w:r>
          </w:p>
        </w:tc>
        <w:tc>
          <w:tcPr>
            <w:tcW w:type="dxa" w:w="341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The quiz (assist)</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B1 — reached as a secondary band/entry, not a primary nav anchor</w:t>
            </w:r>
          </w:p>
        </w:tc>
      </w:tr>
    </w:tbl>
    <w:p>
      <w:pPr>
        <w:spacing w:after="80" w:before="140"/>
      </w:pPr>
      <w:r>
        <w:rPr>
          <w:rFonts w:ascii="Calibri" w:cs="Calibri" w:eastAsia="Calibri" w:hAnsi="Calibri"/>
          <w:b/>
          <w:bCs/>
          <w:color w:val="1A2B3C"/>
          <w:sz w:val="22"/>
          <w:szCs w:val="22"/>
        </w:rPr>
        <w:t xml:space="preserve">The Sourcing/trust page — folded into About, surfaced contextually</w:t>
      </w:r>
    </w:p>
    <w:p>
      <w:pPr>
        <w:spacing w:after="80" w:before="80" w:line="300"/>
      </w:pPr>
      <w:r>
        <w:rPr>
          <w:rFonts w:ascii="Calibri" w:cs="Calibri" w:eastAsia="Calibri" w:hAnsi="Calibri"/>
          <w:color w:val="1A1A1A"/>
          <w:sz w:val="22"/>
          <w:szCs w:val="22"/>
        </w:rPr>
        <w:t xml:space="preserve">Locked: the Sourcing Promise lives at /pages/sourcing-promise, is folded prominently into About, and is surfaced contextually (trust strip + “See our sourcing promise →”) on resale PDPs and brand pages — linked from four-plus surfaces.</w:t>
      </w:r>
    </w:p>
    <w:p>
      <w:pPr>
        <w:pStyle w:val="ListParagraph"/>
        <w:numPr>
          <w:ilvl w:val="0"/>
          <w:numId w:val="2"/>
        </w:numPr>
        <w:spacing w:after="40" w:before="40" w:line="300"/>
      </w:pPr>
      <w:r>
        <w:rPr>
          <w:rFonts w:ascii="Calibri" w:cs="Calibri" w:eastAsia="Calibri" w:hAnsi="Calibri"/>
          <w:color w:val="1A1A1A"/>
          <w:sz w:val="22"/>
          <w:szCs w:val="22"/>
        </w:rPr>
        <w:t xml:space="preserve">The price-vs-legitimacy objection fires on the product/brand page at the moment of scepticism, not on a nav click — contextual placement intercepts it where it happens.</w:t>
      </w:r>
    </w:p>
    <w:p>
      <w:pPr>
        <w:pStyle w:val="ListParagraph"/>
        <w:numPr>
          <w:ilvl w:val="0"/>
          <w:numId w:val="2"/>
        </w:numPr>
        <w:spacing w:after="40" w:before="40" w:line="300"/>
      </w:pPr>
      <w:r>
        <w:rPr>
          <w:rFonts w:ascii="Calibri" w:cs="Calibri" w:eastAsia="Calibri" w:hAnsi="Calibri"/>
          <w:color w:val="1A1A1A"/>
          <w:sz w:val="22"/>
          <w:szCs w:val="22"/>
        </w:rPr>
        <w:t xml:space="preserve">Keeping the nav lean (Shop · Occasions &amp; Gifts · Guides + utility) stays thumb-friendly for a mobile-first audience and keeps Shop dominant.</w:t>
      </w:r>
    </w:p>
    <w:p>
      <w:pPr>
        <w:pStyle w:val="ListParagraph"/>
        <w:numPr>
          <w:ilvl w:val="0"/>
          <w:numId w:val="2"/>
        </w:numPr>
        <w:spacing w:after="40" w:before="40" w:line="300"/>
      </w:pPr>
      <w:r>
        <w:rPr>
          <w:rFonts w:ascii="Calibri" w:cs="Calibri" w:eastAsia="Calibri" w:hAnsi="Calibri"/>
          <w:color w:val="1A1A1A"/>
          <w:sz w:val="22"/>
          <w:szCs w:val="22"/>
        </w:rPr>
        <w:t xml:space="preserve">Housing the transparent own-brand-vs-resale story in one canonical page, linked everywhere scepticism lives, is the cleanest structural fix for Risk R-1.</w:t>
      </w:r>
    </w:p>
    <w:p>
      <w:pPr>
        <w:pBdr>
          <w:left w:val="single" w:color="C8A35B" w:sz="18" w:space="12"/>
        </w:pBdr>
        <w:spacing w:after="120" w:before="120" w:line="300"/>
        <w:ind w:left="480" w:right="480"/>
      </w:pPr>
      <w:r>
        <w:rPr>
          <w:rFonts w:ascii="Calibri" w:cs="Calibri" w:eastAsia="Calibri" w:hAnsi="Calibri"/>
          <w:i/>
          <w:iCs/>
          <w:color w:val="555555"/>
          <w:sz w:val="22"/>
          <w:szCs w:val="22"/>
        </w:rPr>
        <w:t xml:space="preserve">Reversal path: if trust proves to be a homepage-level bounce driver, promote Sourcing to its own nav slot — the page and URL already exist.</w:t>
      </w:r>
    </w:p>
    <w:p>
      <w:pPr>
        <w:pStyle w:val="Heading2"/>
        <w:spacing w:after="120" w:before="240"/>
      </w:pPr>
      <w:r>
        <w:rPr>
          <w:rFonts w:ascii="Calibri" w:cs="Calibri" w:eastAsia="Calibri" w:hAnsi="Calibri"/>
          <w:b/>
          <w:bCs/>
          <w:color w:val="1A2B3C"/>
          <w:sz w:val="28"/>
          <w:szCs w:val="28"/>
        </w:rPr>
        <w:t xml:space="preserve">Decision 4 — CMS Capability Brief (Launch vs Phase 2)</w:t>
      </w:r>
    </w:p>
    <w:p>
      <w:pPr>
        <w:spacing w:after="80" w:before="80" w:line="300"/>
      </w:pPr>
      <w:r>
        <w:rPr>
          <w:rFonts w:ascii="Calibri" w:cs="Calibri" w:eastAsia="Calibri" w:hAnsi="Calibri"/>
          <w:color w:val="1A1A1A"/>
          <w:sz w:val="22"/>
          <w:szCs w:val="22"/>
        </w:rPr>
        <w:t xml:space="preserve">The rebuild stays on Shopify (a locked assumption), so capabilities map to Shopify plus its app ecosystem. The set is split into what ships at launch and what is deliberately phased. Recommended tools are starting recommendations a developer may substitute for an equivalent without any IA change.</w:t>
      </w:r>
    </w:p>
    <w:p>
      <w:pPr>
        <w:spacing w:after="80" w:before="140"/>
      </w:pPr>
      <w:r>
        <w:rPr>
          <w:rFonts w:ascii="Calibri" w:cs="Calibri" w:eastAsia="Calibri" w:hAnsi="Calibri"/>
          <w:b/>
          <w:bCs/>
          <w:color w:val="1A2B3C"/>
          <w:sz w:val="22"/>
          <w:szCs w:val="22"/>
        </w:rPr>
        <w:t xml:space="preserve">Launch — Layer A — Content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4100"/>
      </w:tblGrid>
      <w:tr>
        <w:trPr>
          <w:tblHeader/>
        </w:trPr>
        <w:tc>
          <w:tcPr>
            <w:tcW w:type="dxa" w:w="52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Capability</w:t>
            </w:r>
          </w:p>
        </w:tc>
        <w:tc>
          <w:tcPr>
            <w:tcW w:type="dxa" w:w="41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Shopify delivery</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Product model with fragrance metafields (notes, longevity, sillage, concentration, family, occasion, own-brand-vs-resale flag)</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Metafields + metaobjects</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Automated + manual collections (brand / category / family / occasion; best-sellers, kits, gift sets)</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Smart + manual collections</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Elevated brand structure (Our Brands group + resale A-Z)</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 index page + metaobjects</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 &amp; gifting landing pages</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Metaobjects / sections</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Guides/blog content model</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Shopify blog + article metafields</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Reusable section library (trust strip, quiz assist band, reviews, cross-sell)</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Online Store 2.0 sections</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Sourcing-promise &amp; policy pages</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 + metaobjects</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Draft / preview / scheduled publish</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Native</w:t>
            </w:r>
          </w:p>
        </w:tc>
      </w:tr>
    </w:tbl>
    <w:p>
      <w:pPr>
        <w:spacing w:after="80" w:before="140"/>
      </w:pPr>
      <w:r>
        <w:rPr>
          <w:rFonts w:ascii="Calibri" w:cs="Calibri" w:eastAsia="Calibri" w:hAnsi="Calibri"/>
          <w:b/>
          <w:bCs/>
          <w:color w:val="1A2B3C"/>
          <w:sz w:val="22"/>
          <w:szCs w:val="22"/>
        </w:rPr>
        <w:t xml:space="preserve">Launch — Layer B — Visitor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4100"/>
      </w:tblGrid>
      <w:tr>
        <w:trPr>
          <w:tblHeader/>
        </w:trPr>
        <w:tc>
          <w:tcPr>
            <w:tcW w:type="dxa" w:w="52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Capability</w:t>
            </w:r>
          </w:p>
        </w:tc>
        <w:tc>
          <w:tcPr>
            <w:tcW w:type="dxa" w:w="41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Recommended tool</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Find My Scent quiz (assist; logic → recs, captures email + intent)</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Octane AI</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Bundles / discovery kits / gift sets</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Shopify Bundles + Fast Bundle</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Reviews with photo + verified badge (real only)</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Judge.me (or Loox)</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Email + WhatsApp capture (10% first order)</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Klaviyo + WhatsApp tool</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WhatsApp concierge / support</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WhatsApp Business API (Wati / Interakt)</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Predictive search + filters (brand/note/family/occasion/price/gender)</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Shopify Search &amp; Discovery</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Express checkout — COD + Tabby/Tamara + card + wallet</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Shopify Payments + BNPL apps</w:t>
            </w:r>
          </w:p>
        </w:tc>
      </w:tr>
    </w:tbl>
    <w:p>
      <w:pPr>
        <w:spacing w:after="80" w:before="140"/>
      </w:pPr>
      <w:r>
        <w:rPr>
          <w:rFonts w:ascii="Calibri" w:cs="Calibri" w:eastAsia="Calibri" w:hAnsi="Calibri"/>
          <w:b/>
          <w:bCs/>
          <w:color w:val="1A2B3C"/>
          <w:sz w:val="22"/>
          <w:szCs w:val="22"/>
        </w:rPr>
        <w:t xml:space="preserve">Launch — Layer C — Operational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4100"/>
      </w:tblGrid>
      <w:tr>
        <w:trPr>
          <w:tblHeader/>
        </w:trPr>
        <w:tc>
          <w:tcPr>
            <w:tcW w:type="dxa" w:w="52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Capability</w:t>
            </w:r>
          </w:p>
        </w:tc>
        <w:tc>
          <w:tcPr>
            <w:tcW w:type="dxa" w:w="41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Delivery</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Per-page/product SEO controls + metafield-driven meta</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SEO app + theme</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Structured data — Product, Offer, AggregateRating, FAQ, Article</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Theme JSON-LD + SEO app</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LLMs.txt + AI-crawler guidance (Goal 4)</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file + robots config</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Core Web Vitals / speed (guardrail metric)</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Theme performance budget</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Analytics — GA4, Search Console, Meta Pixel/CAPI, Google Ads, Shopify, CVR-by-landing-page</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Tag setup</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Custom domain + SSL</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Native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40"/>
              <w:left w:type="dxa" w:w="240"/>
              <w:bottom w:type="dxa" w:w="240"/>
              <w:right w:type="dxa" w:w="240"/>
            </w:tcMar>
          </w:tcPr>
          <w:p>
            <w:pPr>
              <w:spacing w:after="60" w:before="40"/>
            </w:pPr>
            <w:r>
              <w:rPr>
                <w:rFonts w:ascii="Calibri" w:cs="Calibri" w:eastAsia="Calibri" w:hAnsi="Calibri"/>
                <w:b/>
                <w:bCs/>
                <w:color w:val="1A2B3C"/>
                <w:sz w:val="22"/>
                <w:szCs w:val="22"/>
              </w:rPr>
              <w:t xml:space="preserve">Phase 2 — deferred, in-architecture</w:t>
            </w:r>
          </w:p>
          <w:p>
            <w:pPr>
              <w:spacing w:after="20" w:before="20" w:line="300"/>
            </w:pPr>
            <w:r>
              <w:rPr>
                <w:rFonts w:ascii="Calibri" w:cs="Calibri" w:eastAsia="Calibri" w:hAnsi="Calibri"/>
                <w:color w:val="1A1A1A"/>
                <w:sz w:val="22"/>
                <w:szCs w:val="22"/>
              </w:rPr>
              <w:t xml:space="preserve">Custom Mixing (oil-to-spray configurator) — a hero differentiator kept fully in the architecture; go-live gated on confirmed blending/fulfilment capacity and turnaround copy (Risk R-3). Recommended: Kickflip / Zakeke-class. The CSV flags this on every mixing row.</w:t>
            </w:r>
          </w:p>
          <w:p>
            <w:pPr>
              <w:spacing w:after="20" w:before="20" w:line="300"/>
            </w:pPr>
            <w:r>
              <w:rPr>
                <w:rFonts w:ascii="Calibri" w:cs="Calibri" w:eastAsia="Calibri" w:hAnsi="Calibri"/>
                <w:color w:val="1A1A1A"/>
                <w:sz w:val="22"/>
                <w:szCs w:val="22"/>
              </w:rPr>
              <w:t xml:space="preserve">Referral — “Give 30, Get 30”, the customers-as-a-channel retention layer; follows launch once first-order flows are live. Recommended: Referral Candy (or Yotpo).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40"/>
              <w:left w:type="dxa" w:w="240"/>
              <w:bottom w:type="dxa" w:w="240"/>
              <w:right w:type="dxa" w:w="240"/>
            </w:tcMar>
          </w:tcPr>
          <w:p>
            <w:pPr>
              <w:spacing w:after="60" w:before="40"/>
            </w:pPr>
            <w:r>
              <w:rPr>
                <w:rFonts w:ascii="Calibri" w:cs="Calibri" w:eastAsia="Calibri" w:hAnsi="Calibri"/>
                <w:b/>
                <w:bCs/>
                <w:color w:val="1A2B3C"/>
                <w:sz w:val="22"/>
                <w:szCs w:val="22"/>
              </w:rPr>
              <w:t xml:space="preserve">Explicit exclusions / reserved (flagged, not forgotten)</w:t>
            </w:r>
          </w:p>
          <w:p>
            <w:pPr>
              <w:spacing w:after="20" w:before="20" w:line="300"/>
            </w:pPr>
            <w:r>
              <w:rPr>
                <w:rFonts w:ascii="Calibri" w:cs="Calibri" w:eastAsia="Calibri" w:hAnsi="Calibri"/>
                <w:color w:val="1A1A1A"/>
                <w:sz w:val="22"/>
                <w:szCs w:val="22"/>
              </w:rPr>
              <w:t xml:space="preserve">Subscriptions/replenishment (reserved, gated on R-3) · Loyalty/points (reserved; referral precedes it) · Arabic locale (reserved /ar path) · Multi-currency / international checkout (UAE-only) · B2B/wholesale portal (Negative ICP).</w:t>
            </w:r>
          </w:p>
          <w:p>
            <w:pPr>
              <w:spacing w:after="20" w:before="20" w:line="300"/>
            </w:pPr>
            <w:r>
              <w:rPr>
                <w:rFonts w:ascii="Calibri" w:cs="Calibri" w:eastAsia="Calibri" w:hAnsi="Calibri"/>
                <w:color w:val="1A1A1A"/>
                <w:sz w:val="22"/>
                <w:szCs w:val="22"/>
              </w:rPr>
              <w:t xml:space="preserve">Each reserved capability keeps its URL slot in the architecture (Tier 4) so it can be activated later without restructuring.</w:t>
            </w:r>
          </w:p>
        </w:tc>
      </w:tr>
    </w:tbl>
    <w:p>
      <w:pPr>
        <w:pStyle w:val="Heading1"/>
        <w:pageBreakBefore/>
      </w:pPr>
      <w:r>
        <w:rPr>
          <w:rFonts w:ascii="Calibri" w:cs="Calibri" w:eastAsia="Calibri" w:hAnsi="Calibri"/>
          <w:b/>
          <w:bCs/>
          <w:color w:val="1A2B3C"/>
          <w:sz w:val="36"/>
          <w:szCs w:val="36"/>
        </w:rPr>
        <w:t xml:space="preserve">Part Two — The Build Process &amp; Architecture Rules</w:t>
      </w:r>
    </w:p>
    <w:p>
      <w:pPr>
        <w:pStyle w:val="Heading2"/>
        <w:spacing w:after="120" w:before="240"/>
      </w:pPr>
      <w:r>
        <w:rPr>
          <w:rFonts w:ascii="Calibri" w:cs="Calibri" w:eastAsia="Calibri" w:hAnsi="Calibri"/>
          <w:b/>
          <w:bCs/>
          <w:color w:val="1A2B3C"/>
          <w:sz w:val="28"/>
          <w:szCs w:val="28"/>
        </w:rPr>
        <w:t xml:space="preserve">Build Step 1 — Competitor Site Structure Analysis (live-verified, June 2026)</w:t>
      </w:r>
    </w:p>
    <w:p>
      <w:pPr>
        <w:spacing w:after="80" w:before="80" w:line="300"/>
      </w:pPr>
      <w:r>
        <w:rPr>
          <w:rFonts w:ascii="Calibri" w:cs="Calibri" w:eastAsia="Calibri" w:hAnsi="Calibri"/>
          <w:color w:val="1A1A1A"/>
          <w:sz w:val="22"/>
          <w:szCs w:val="22"/>
        </w:rPr>
        <w:t xml:space="preserve">Five rivals were live-mapped to confirm the months-old competitor analysis still holds and to anchor the architecture in current market structure. The headline finding survives verification: the whole field competes on brand breadth and price, and almost none competes on guidance — but the most reliable way to convert paid traffic in this market is still a clean brand-led store with hard trust and fast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700"/>
        <w:gridCol w:w="900"/>
        <w:gridCol w:w="1100"/>
        <w:gridCol w:w="2100"/>
      </w:tblGrid>
      <w:tr>
        <w:trPr>
          <w:tblHeader/>
        </w:trPr>
        <w:tc>
          <w:tcPr>
            <w:tcW w:type="dxa" w:w="13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Competitor</w:t>
            </w:r>
          </w:p>
        </w:tc>
        <w:tc>
          <w:tcPr>
            <w:tcW w:type="dxa" w:w="32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Top-level nav (live)</w:t>
            </w:r>
          </w:p>
        </w:tc>
        <w:tc>
          <w:tcPr>
            <w:tcW w:type="dxa" w:w="7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Quiz</w:t>
            </w:r>
          </w:p>
        </w:tc>
        <w:tc>
          <w:tcPr>
            <w:tcW w:type="dxa" w:w="9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Mixing</w:t>
            </w:r>
          </w:p>
        </w:tc>
        <w:tc>
          <w:tcPr>
            <w:tcW w:type="dxa" w:w="11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BNPL</w:t>
            </w:r>
          </w:p>
        </w:tc>
        <w:tc>
          <w:tcPr>
            <w:tcW w:type="dxa" w:w="21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Notable</w:t>
            </w:r>
          </w:p>
        </w:tc>
      </w:tr>
      <w:tr>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TFS (current)</w:t>
            </w:r>
          </w:p>
        </w:tc>
        <w:tc>
          <w:tcPr>
            <w:tcW w:type="dxa" w:w="3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Brands · Men’s · Women’s · Unisex · Oil · Attar · Inspired · Kids</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n/v</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Pure brand/category grid; 218 products; no occasion/gift nav</w:t>
            </w:r>
          </w:p>
        </w:tc>
      </w:tr>
      <w:tr>
        <w:tc>
          <w:tcPr>
            <w:tcW w:type="dxa" w:w="13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Samawa</w:t>
            </w:r>
          </w:p>
        </w:tc>
        <w:tc>
          <w:tcPr>
            <w:tcW w:type="dxa" w:w="3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 mega-menu · Categories · Clearance · Own-brands</w:t>
            </w:r>
          </w:p>
        </w:tc>
        <w:tc>
          <w:tcPr>
            <w:tcW w:type="dxa" w:w="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9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Thin link</w:t>
            </w:r>
          </w:p>
        </w:tc>
        <w:tc>
          <w:tcPr>
            <w:tcW w:type="dxa" w:w="1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Tabby/PostPay</w:t>
            </w:r>
          </w:p>
        </w:tc>
        <w:tc>
          <w:tcPr>
            <w:tcW w:type="dxa" w:w="2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10k+ SKUs; discount-anchored; SEO-rich brand pages</w:t>
            </w:r>
          </w:p>
        </w:tc>
      </w:tr>
      <w:tr>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V Perfumes</w:t>
            </w:r>
          </w:p>
        </w:tc>
        <w:tc>
          <w:tcPr>
            <w:tcW w:type="dxa" w:w="3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Brands · Categories · Gender · Offers · App</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Tamara</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50+ stores; app + VAPP code; explicit authenticity FAQ</w:t>
            </w:r>
          </w:p>
        </w:tc>
      </w:tr>
      <w:tr>
        <w:tc>
          <w:tcPr>
            <w:tcW w:type="dxa" w:w="13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My Perfumes</w:t>
            </w:r>
          </w:p>
        </w:tc>
        <w:tc>
          <w:tcPr>
            <w:tcW w:type="dxa" w:w="3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EDP · Him · Her · Unisex · Bakhoor · Gift Set</w:t>
            </w:r>
          </w:p>
        </w:tc>
        <w:tc>
          <w:tcPr>
            <w:tcW w:type="dxa" w:w="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9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1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Wallets</w:t>
            </w:r>
          </w:p>
        </w:tc>
        <w:tc>
          <w:tcPr>
            <w:tcW w:type="dxa" w:w="2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Clean own-brand catalogue; strong PDP notes; counterfeit warning</w:t>
            </w:r>
          </w:p>
        </w:tc>
      </w:tr>
      <w:tr>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Zahaar</w:t>
            </w:r>
          </w:p>
        </w:tc>
        <w:tc>
          <w:tcPr>
            <w:tcW w:type="dxa" w:w="3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Brands · Fragrances · Gender · Best Sellers · Samples · Gift Sets · Offers</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Tabby/Tamara</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Curated, occasion/Eid shops, WhatsApp concierge, luxury packaging</w:t>
            </w:r>
          </w:p>
        </w:tc>
      </w:tr>
    </w:tbl>
    <w:p>
      <w:pPr>
        <w:spacing w:after="80" w:before="140"/>
      </w:pPr>
      <w:r>
        <w:rPr>
          <w:rFonts w:ascii="Calibri" w:cs="Calibri" w:eastAsia="Calibri" w:hAnsi="Calibri"/>
          <w:b/>
          <w:bCs/>
          <w:color w:val="1A2B3C"/>
          <w:sz w:val="22"/>
          <w:szCs w:val="22"/>
        </w:rPr>
        <w:t xml:space="preserve">Patterns to follow vs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4100"/>
      </w:tblGrid>
      <w:tr>
        <w:trPr>
          <w:tblHeader/>
        </w:trPr>
        <w:tc>
          <w:tcPr>
            <w:tcW w:type="dxa" w:w="52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Pattern</w:t>
            </w:r>
          </w:p>
        </w:tc>
        <w:tc>
          <w:tcPr>
            <w:tcW w:type="dxa" w:w="41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Verdict</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Brand-first navigation (search-demand taxonomy)</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FOLLOW &amp; ANCHOR — it is how UAE perfume demand searches; it is our primary axis</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Gender/category split</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FOLLOW — universal convention; our secondary axis #1</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BNPL + COD at checkout + express buy</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FOLLOW — table stakes (Tabby + Tamara + wallet, day one)</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Offers/Best-sellers entry</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FOLLOW — lead the hero with it; manage the permanent-discount trap with curation</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Samples/Gift Sets as nav</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FOLLOW — Zahaar does it; resellers bury it</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Vague “100% original” trust</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BREAK — replace adjectives with a specific Sourcing Promise page</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Catalogue-dump over curation</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BREAK — occasion-led curation + elevated own brands</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 guided discovery anywhere</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DIFFERENTIATE (as assist) — add Find My Scent as a secondary rescue, not the front door</w:t>
            </w:r>
          </w:p>
        </w:tc>
      </w:tr>
      <w:tr>
        <w:tc>
          <w:tcPr>
            <w:tcW w:type="dxa" w:w="5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No real personalisation</w:t>
            </w:r>
          </w:p>
        </w:tc>
        <w:tc>
          <w:tcPr>
            <w:tcW w:type="dxa" w:w="4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DIFFERENTIATE (phase 2) — Custom Mixing as a phased moat, gated on ops (R-3)</w:t>
            </w:r>
          </w:p>
        </w:tc>
      </w:tr>
      <w:tr>
        <w:tc>
          <w:tcPr>
            <w:tcW w:type="dxa" w:w="5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Retention underbuilt across field</w:t>
            </w:r>
          </w:p>
        </w:tc>
        <w:tc>
          <w:tcPr>
            <w:tcW w:type="dxa" w:w="4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BREAK — reorder + email/WhatsApp at launch; referral in phase 2</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40"/>
              <w:left w:type="dxa" w:w="240"/>
              <w:bottom w:type="dxa" w:w="240"/>
              <w:right w:type="dxa" w:w="240"/>
            </w:tcMar>
          </w:tcPr>
          <w:p>
            <w:pPr>
              <w:spacing w:after="60" w:before="40"/>
            </w:pPr>
            <w:r>
              <w:rPr>
                <w:rFonts w:ascii="Calibri" w:cs="Calibri" w:eastAsia="Calibri" w:hAnsi="Calibri"/>
                <w:b/>
                <w:bCs/>
                <w:color w:val="1A2B3C"/>
                <w:sz w:val="22"/>
                <w:szCs w:val="22"/>
              </w:rPr>
              <w:t xml:space="preserve">Architectural verdict</w:t>
            </w:r>
          </w:p>
          <w:p>
            <w:pPr>
              <w:spacing w:after="20" w:before="20" w:line="300"/>
            </w:pPr>
            <w:r>
              <w:rPr>
                <w:rFonts w:ascii="Calibri" w:cs="Calibri" w:eastAsia="Calibri" w:hAnsi="Calibri"/>
                <w:color w:val="1A1A1A"/>
                <w:sz w:val="22"/>
                <w:szCs w:val="22"/>
              </w:rPr>
              <w:t xml:space="preserve">This sitemap = Samawa’s brand/category SEO skeleton (anchored as the primary axis, with our own brands elevated above it) + Zahaar’s occasion-led curation, gift &amp; samples merchandising + My Perfumes’ clean PDP scent-standard and counterfeit-trust framing + a retention engine (Klaviyo / WhatsApp, then referral) none of them run well. The two things no UAE rival has — a Find My Scent quiz and oil-to-spray Custom Mixing — are retained as a secondary assist and a phase-2 differentiator respectively, so they add an edge without taking the place of the proven, buy-led conversion path.</w:t>
            </w:r>
          </w:p>
        </w:tc>
      </w:tr>
    </w:tbl>
    <w:p>
      <w:pPr>
        <w:pStyle w:val="Heading2"/>
        <w:spacing w:after="120" w:before="240"/>
      </w:pPr>
      <w:r>
        <w:rPr>
          <w:rFonts w:ascii="Calibri" w:cs="Calibri" w:eastAsia="Calibri" w:hAnsi="Calibri"/>
          <w:b/>
          <w:bCs/>
          <w:color w:val="1A2B3C"/>
          <w:sz w:val="28"/>
          <w:szCs w:val="28"/>
        </w:rPr>
        <w:t xml:space="preserve">Build Step 2 — User Flow Modelling</w:t>
      </w:r>
    </w:p>
    <w:p>
      <w:pPr>
        <w:spacing w:after="80" w:before="80" w:line="300"/>
      </w:pPr>
      <w:r>
        <w:rPr>
          <w:rFonts w:ascii="Calibri" w:cs="Calibri" w:eastAsia="Calibri" w:hAnsi="Calibri"/>
          <w:color w:val="1A1A1A"/>
          <w:sz w:val="22"/>
          <w:szCs w:val="22"/>
        </w:rPr>
        <w:t xml:space="preserve">Eight flows were modelled end-to-end (entry → intent → path → conversion → post-conversion → drop-off risk). They confirm that the sitemap is a network of conversion paths, not a static page list. The buy-led posture keeps the shortest path to a paid order as the default in every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Flow</w:t>
            </w:r>
          </w:p>
        </w:tc>
        <w:tc>
          <w:tcPr>
            <w:tcW w:type="dxa" w:w="33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Entry → conversion</w:t>
            </w:r>
          </w:p>
        </w:tc>
        <w:tc>
          <w:tcPr>
            <w:tcW w:type="dxa" w:w="42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Key drop-off → mitigation</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1. Cold Scent Explorer (ad)</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Meta ad → PDP/best-sellers → buy (quiz only if undecided)</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Scepticism/slow load → trust strip + sourcing link above the fold; quiz as bounce-rescue</w:t>
            </w:r>
          </w:p>
        </w:tc>
      </w:tr>
      <w:tr>
        <w:tc>
          <w:tcPr>
            <w:tcW w:type="dxa" w:w="18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2. Returning Loyalist</w:t>
            </w:r>
          </w:p>
        </w:tc>
        <w:tc>
          <w:tcPr>
            <w:tcW w:type="dxa" w:w="33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Reorder nudge → account → one-tap reorder</w:t>
            </w:r>
          </w:p>
        </w:tc>
        <w:tc>
          <w:tcPr>
            <w:tcW w:type="dxa" w:w="42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Friction finding past order → persistent account + reorder block in emails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3. Brand/topic searcher</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Google/AI → brand or guide page → PDP → buy</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Content/brand page that doesn’t sell → buy box + contextual product links + trust strip</w:t>
            </w:r>
          </w:p>
        </w:tc>
      </w:tr>
      <w:tr>
        <w:tc>
          <w:tcPr>
            <w:tcW w:type="dxa" w:w="18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4. The Gifter</w:t>
            </w:r>
          </w:p>
        </w:tc>
        <w:tc>
          <w:tcPr>
            <w:tcW w:type="dxa" w:w="33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 ad/nav → occasion landing → gift set → buy</w:t>
            </w:r>
          </w:p>
        </w:tc>
        <w:tc>
          <w:tcPr>
            <w:tcW w:type="dxa" w:w="42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Delivery-timing anxiety → explicit cutoff messaging on occasion pages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5. The sceptic (resale page)</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Brand/PDP → trust strip → sourcing → buy</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Unresolved doubt → sourcing link + reviews on every resale PDP</w:t>
            </w:r>
          </w:p>
        </w:tc>
      </w:tr>
      <w:tr>
        <w:tc>
          <w:tcPr>
            <w:tcW w:type="dxa" w:w="18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6. Trial seeker</w:t>
            </w:r>
          </w:p>
        </w:tc>
        <w:tc>
          <w:tcPr>
            <w:tcW w:type="dxa" w:w="33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Ad/nav → discovery kit → (later) full size</w:t>
            </w:r>
          </w:p>
        </w:tc>
        <w:tc>
          <w:tcPr>
            <w:tcW w:type="dxa" w:w="42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Kit feels like a dead-end → kit credit toward full-size purchase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7. Support-led (WhatsApp)</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Any page → WhatsApp concierge → COD order</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Slow response → stated hours; off-hours deflect to quiz/FAQ</w:t>
            </w:r>
          </w:p>
        </w:tc>
      </w:tr>
      <w:tr>
        <w:tc>
          <w:tcPr>
            <w:tcW w:type="dxa" w:w="18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8. The creator (mixing, phase 2)</w:t>
            </w:r>
          </w:p>
        </w:tc>
        <w:tc>
          <w:tcPr>
            <w:tcW w:type="dxa" w:w="33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Oil PDP/feature → configurator → custom order</w:t>
            </w:r>
          </w:p>
        </w:tc>
        <w:tc>
          <w:tcPr>
            <w:tcW w:type="dxa" w:w="42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R-3 fulfilment uncertainty → exposed only when ops confirmed; clear turnaround</w:t>
            </w:r>
          </w:p>
        </w:tc>
      </w:tr>
    </w:tbl>
    <w:p>
      <w:pPr>
        <w:spacing w:after="80" w:before="140"/>
      </w:pPr>
      <w:r>
        <w:rPr>
          <w:rFonts w:ascii="Calibri" w:cs="Calibri" w:eastAsia="Calibri" w:hAnsi="Calibri"/>
          <w:b/>
          <w:bCs/>
          <w:color w:val="1A2B3C"/>
          <w:sz w:val="22"/>
          <w:szCs w:val="22"/>
        </w:rPr>
        <w:t xml:space="preserve">Emergent sitemap requirements (these shape the CSV)</w:t>
      </w:r>
    </w:p>
    <w:p>
      <w:pPr>
        <w:pStyle w:val="ListParagraph"/>
        <w:numPr>
          <w:ilvl w:val="0"/>
          <w:numId w:val="2"/>
        </w:numPr>
        <w:spacing w:after="40" w:before="40" w:line="300"/>
      </w:pPr>
      <w:r>
        <w:rPr>
          <w:rFonts w:ascii="Calibri" w:cs="Calibri" w:eastAsia="Calibri" w:hAnsi="Calibri"/>
          <w:color w:val="1A1A1A"/>
          <w:sz w:val="22"/>
          <w:szCs w:val="22"/>
        </w:rPr>
        <w:t xml:space="preserve">Every PDP carries: scent notes/longevity/sillage · buy box with express checkout + payment badges · trust strip · reviews · sourcing link · complete-the-set · Find My Scent assist.</w:t>
      </w:r>
    </w:p>
    <w:p>
      <w:pPr>
        <w:pStyle w:val="ListParagraph"/>
        <w:numPr>
          <w:ilvl w:val="0"/>
          <w:numId w:val="2"/>
        </w:numPr>
        <w:spacing w:after="40" w:before="40" w:line="300"/>
      </w:pPr>
      <w:r>
        <w:rPr>
          <w:rFonts w:ascii="Calibri" w:cs="Calibri" w:eastAsia="Calibri" w:hAnsi="Calibri"/>
          <w:color w:val="1A1A1A"/>
          <w:sz w:val="22"/>
          <w:szCs w:val="22"/>
        </w:rPr>
        <w:t xml:space="preserve">The homepage leads with product (best-sellers / occasion / brand); Find My Scent is reachable as an assist band on the homepage, on collections/PDPs, from the no-results state, and from guide articles.</w:t>
      </w:r>
    </w:p>
    <w:p>
      <w:pPr>
        <w:pStyle w:val="ListParagraph"/>
        <w:numPr>
          <w:ilvl w:val="0"/>
          <w:numId w:val="2"/>
        </w:numPr>
        <w:spacing w:after="40" w:before="40" w:line="300"/>
      </w:pPr>
      <w:r>
        <w:rPr>
          <w:rFonts w:ascii="Calibri" w:cs="Calibri" w:eastAsia="Calibri" w:hAnsi="Calibri"/>
          <w:color w:val="1A1A1A"/>
          <w:sz w:val="22"/>
          <w:szCs w:val="22"/>
        </w:rPr>
        <w:t xml:space="preserve">WhatsApp concierge is persistent sitewide.</w:t>
      </w:r>
    </w:p>
    <w:p>
      <w:pPr>
        <w:pStyle w:val="ListParagraph"/>
        <w:numPr>
          <w:ilvl w:val="0"/>
          <w:numId w:val="2"/>
        </w:numPr>
        <w:spacing w:after="40" w:before="40" w:line="300"/>
      </w:pPr>
      <w:r>
        <w:rPr>
          <w:rFonts w:ascii="Calibri" w:cs="Calibri" w:eastAsia="Calibri" w:hAnsi="Calibri"/>
          <w:color w:val="1A1A1A"/>
          <w:sz w:val="22"/>
          <w:szCs w:val="22"/>
        </w:rPr>
        <w:t xml:space="preserve">Sourcing Promise is linked from four-plus surfaces: footer · About · every resale PDP · brand pages · FAQ.</w:t>
      </w:r>
    </w:p>
    <w:p>
      <w:pPr>
        <w:pStyle w:val="ListParagraph"/>
        <w:numPr>
          <w:ilvl w:val="0"/>
          <w:numId w:val="2"/>
        </w:numPr>
        <w:spacing w:after="40" w:before="40" w:line="300"/>
      </w:pPr>
      <w:r>
        <w:rPr>
          <w:rFonts w:ascii="Calibri" w:cs="Calibri" w:eastAsia="Calibri" w:hAnsi="Calibri"/>
          <w:color w:val="1A1A1A"/>
          <w:sz w:val="22"/>
          <w:szCs w:val="22"/>
        </w:rPr>
        <w:t xml:space="preserve">Occasion pages carry explicit delivery-cutoff messaging; discovery kits include an upsell-credit mechanic.</w:t>
      </w:r>
    </w:p>
    <w:p>
      <w:pPr>
        <w:pStyle w:val="ListParagraph"/>
        <w:numPr>
          <w:ilvl w:val="0"/>
          <w:numId w:val="2"/>
        </w:numPr>
        <w:spacing w:after="40" w:before="40" w:line="300"/>
      </w:pPr>
      <w:r>
        <w:rPr>
          <w:rFonts w:ascii="Calibri" w:cs="Calibri" w:eastAsia="Calibri" w:hAnsi="Calibri"/>
          <w:color w:val="1A1A1A"/>
          <w:sz w:val="22"/>
          <w:szCs w:val="22"/>
        </w:rPr>
        <w:t xml:space="preserve">Every guide article links contextually to products and a shop CTA; reorder is surfaced in account and post-purchase flows (referral joins in phase 2).</w:t>
      </w:r>
    </w:p>
    <w:p>
      <w:pPr>
        <w:pStyle w:val="Heading2"/>
        <w:spacing w:after="120" w:before="240"/>
      </w:pPr>
      <w:r>
        <w:rPr>
          <w:rFonts w:ascii="Calibri" w:cs="Calibri" w:eastAsia="Calibri" w:hAnsi="Calibri"/>
          <w:b/>
          <w:bCs/>
          <w:color w:val="1A2B3C"/>
          <w:sz w:val="28"/>
          <w:szCs w:val="28"/>
        </w:rPr>
        <w:t xml:space="preserve">Build Step 3 — Dynamic Routing &amp; Content Structuring</w:t>
      </w:r>
    </w:p>
    <w:p>
      <w:pPr>
        <w:spacing w:after="80" w:before="80" w:line="300"/>
      </w:pPr>
      <w:r>
        <w:rPr>
          <w:rFonts w:ascii="Calibri" w:cs="Calibri" w:eastAsia="Calibri" w:hAnsi="Calibri"/>
          <w:color w:val="1A1A1A"/>
          <w:sz w:val="22"/>
          <w:szCs w:val="22"/>
        </w:rPr>
        <w:t xml:space="preserve">The full URL map uses Shopify-native prefixes (/collections, /products, /blogs, /pages, /policies). Re-slugging Shopify’s reserved prefixes fights the platform and breaks SEO equity, so conventions are built on top of them rather than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60"/>
        <w:gridCol w:w="3100"/>
      </w:tblGrid>
      <w:tr>
        <w:trPr>
          <w:tblHeader/>
        </w:trPr>
        <w:tc>
          <w:tcPr>
            <w:tcW w:type="dxa" w:w="62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URL pattern</w:t>
            </w:r>
          </w:p>
        </w:tc>
        <w:tc>
          <w:tcPr>
            <w:tcW w:type="dxa" w:w="31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Type</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(homepage, shop-first hero)</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/collections/all</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Index</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/pages/brands</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index (Our Brands elevated + A-Z)</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/collections/fragrance-secrets · /secret-scents · /paris-collection</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 (own brands)</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/collections/[brand-slug]</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 (resale)</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/collections/[category-slug]</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/collections/[family-slug]</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/products/[product-slug]</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/pages/occasions-gifts  ·  /collections/[occasion-slug]</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hub + Dynamic Template</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/collections/gift-sets  ·  /collections/discovery-kits</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/pages/find-my-scent  ·  /pages/find-my-scent/results</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 Dynamic (query-state) — secondary</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/blogs/guides  ·  /blogs/guides/[article-slug]</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Index + Template (launch)</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/pages/sourcing-promise  ·  /pages/about  ·  /pages/reviews</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/account  ·  /account/orders  ·  /account/reorder</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(authenticated)</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/policies/* (shipping, refund, privacy, terms) · /pages/payment-policy</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(legal)</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/sitemap.xml · /robots.txt · /llms.txt · /404</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Auto / Utility (llms.txt at launch)</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/pages/custom-mixing · /pages/referral</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Phase 2</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/subscriptions · /ar · /pages/rewards</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Reserved Placeholder (Tier 4)</w:t>
            </w:r>
          </w:p>
        </w:tc>
      </w:tr>
    </w:tbl>
    <w:p>
      <w:pPr>
        <w:spacing w:after="80" w:before="140"/>
      </w:pPr>
      <w:r>
        <w:rPr>
          <w:rFonts w:ascii="Calibri" w:cs="Calibri" w:eastAsia="Calibri" w:hAnsi="Calibri"/>
          <w:b/>
          <w:bCs/>
          <w:color w:val="1A2B3C"/>
          <w:sz w:val="22"/>
          <w:szCs w:val="22"/>
        </w:rPr>
        <w:t xml:space="preserve">Conventions, canonical &amp; redirects</w:t>
      </w:r>
    </w:p>
    <w:p>
      <w:pPr>
        <w:pStyle w:val="ListParagraph"/>
        <w:numPr>
          <w:ilvl w:val="0"/>
          <w:numId w:val="2"/>
        </w:numPr>
        <w:spacing w:after="40" w:before="40" w:line="300"/>
      </w:pPr>
      <w:r>
        <w:rPr>
          <w:rFonts w:ascii="Calibri" w:cs="Calibri" w:eastAsia="Calibri" w:hAnsi="Calibri"/>
          <w:color w:val="1A1A1A"/>
          <w:sz w:val="22"/>
          <w:szCs w:val="22"/>
        </w:rPr>
        <w:t xml:space="preserve">Slugs: descriptive, lowercase, hyphenated, accent-normalised (e.g. “Ahmed Al Maghribi” → ahmed-al-maghribi), 3–60 chars, no special characters.</w:t>
      </w:r>
    </w:p>
    <w:p>
      <w:pPr>
        <w:pStyle w:val="ListParagraph"/>
        <w:numPr>
          <w:ilvl w:val="0"/>
          <w:numId w:val="2"/>
        </w:numPr>
        <w:spacing w:after="40" w:before="40" w:line="300"/>
      </w:pPr>
      <w:r>
        <w:rPr>
          <w:rFonts w:ascii="Calibri" w:cs="Calibri" w:eastAsia="Calibri" w:hAnsi="Calibri"/>
          <w:color w:val="1A1A1A"/>
          <w:sz w:val="22"/>
          <w:szCs w:val="22"/>
        </w:rPr>
        <w:t xml:space="preserve">URL conventions: no trailing slash, lowercase only, hyphens not underscores; filter/sort state as query strings, not separate URLs.</w:t>
      </w:r>
    </w:p>
    <w:p>
      <w:pPr>
        <w:pStyle w:val="ListParagraph"/>
        <w:numPr>
          <w:ilvl w:val="0"/>
          <w:numId w:val="2"/>
        </w:numPr>
        <w:spacing w:after="40" w:before="40" w:line="300"/>
      </w:pPr>
      <w:r>
        <w:rPr>
          <w:rFonts w:ascii="Calibri" w:cs="Calibri" w:eastAsia="Calibri" w:hAnsi="Calibri"/>
          <w:color w:val="1A1A1A"/>
          <w:sz w:val="22"/>
          <w:szCs w:val="22"/>
        </w:rPr>
        <w:t xml:space="preserve">Canonical: self-canonical on products/collections; filtered/sorted views canonical to the clean collection; quiz-results canonical to /pages/find-my-scent; paginated collections use rel=next/prev semantics.</w:t>
      </w:r>
    </w:p>
    <w:p>
      <w:pPr>
        <w:pStyle w:val="ListParagraph"/>
        <w:numPr>
          <w:ilvl w:val="0"/>
          <w:numId w:val="2"/>
        </w:numPr>
        <w:spacing w:after="40" w:before="40" w:line="300"/>
      </w:pPr>
      <w:r>
        <w:rPr>
          <w:rFonts w:ascii="Calibri" w:cs="Calibri" w:eastAsia="Calibri" w:hAnsi="Calibri"/>
          <w:color w:val="1A1A1A"/>
          <w:sz w:val="22"/>
          <w:szCs w:val="22"/>
        </w:rPr>
        <w:t xml:space="preserve">Redirects (~12, all 301): verbose legacy brand slugs → clean /collections/[brand]; /pages/about-us → /pages/about; removed B2B/wholesale FAQ anchor → /pages/faqs. A redirect map is maintained.</w:t>
      </w:r>
    </w:p>
    <w:p>
      <w:pPr>
        <w:pStyle w:val="ListParagraph"/>
        <w:numPr>
          <w:ilvl w:val="0"/>
          <w:numId w:val="2"/>
        </w:numPr>
        <w:spacing w:after="40" w:before="40" w:line="300"/>
      </w:pPr>
      <w:r>
        <w:rPr>
          <w:rFonts w:ascii="Calibri" w:cs="Calibri" w:eastAsia="Calibri" w:hAnsi="Calibri"/>
          <w:color w:val="1A1A1A"/>
          <w:sz w:val="22"/>
          <w:szCs w:val="22"/>
        </w:rPr>
        <w:t xml:space="preserve">Pagination: traditional ?page=N (SEO-friendly), not infinite scroll. Out-of-stock keeps its URL with a “notify me”; discontinued products 301 to the parent brand collection; custom 404 routes to search + best-sellers + quiz.</w:t>
      </w:r>
    </w:p>
    <w:p>
      <w:pPr>
        <w:spacing w:after="80" w:before="140"/>
      </w:pPr>
      <w:r>
        <w:rPr>
          <w:rFonts w:ascii="Calibri" w:cs="Calibri" w:eastAsia="Calibri" w:hAnsi="Calibri"/>
          <w:b/>
          <w:bCs/>
          <w:color w:val="1A2B3C"/>
          <w:sz w:val="22"/>
          <w:szCs w:val="22"/>
        </w:rPr>
        <w:t xml:space="preserve">Brand-slug migration — hybrid, data-driven</w:t>
      </w:r>
    </w:p>
    <w:p>
      <w:pPr>
        <w:spacing w:after="80" w:before="80" w:line="300"/>
      </w:pPr>
      <w:r>
        <w:rPr>
          <w:rFonts w:ascii="Calibri" w:cs="Calibri" w:eastAsia="Calibri" w:hAnsi="Calibri"/>
          <w:color w:val="1A1A1A"/>
          <w:sz w:val="22"/>
          <w:szCs w:val="22"/>
        </w:rPr>
        <w:t xml:space="preserve">Locked: clean the long tail of brand slugs now; preserve the slug for any brand collection that Search Console shows is earning material organic traffic at the launch baseline (then self-canonical).</w:t>
      </w:r>
    </w:p>
    <w:p>
      <w:pPr>
        <w:pStyle w:val="ListParagraph"/>
        <w:numPr>
          <w:ilvl w:val="0"/>
          <w:numId w:val="2"/>
        </w:numPr>
        <w:spacing w:after="40" w:before="40" w:line="300"/>
      </w:pPr>
      <w:r>
        <w:rPr>
          <w:rFonts w:ascii="Calibri" w:cs="Calibri" w:eastAsia="Calibri" w:hAnsi="Calibri"/>
          <w:color w:val="1A1A1A"/>
          <w:sz w:val="22"/>
          <w:szCs w:val="22"/>
        </w:rPr>
        <w:t xml:space="preserve">Organic is only 456 AED/month — but it is the only non-paid revenue; blindly re-slugging all 47 collections risks zeroing even that during reindex.</w:t>
      </w:r>
    </w:p>
    <w:p>
      <w:pPr>
        <w:pStyle w:val="ListParagraph"/>
        <w:numPr>
          <w:ilvl w:val="0"/>
          <w:numId w:val="2"/>
        </w:numPr>
        <w:spacing w:after="40" w:before="40" w:line="300"/>
      </w:pPr>
      <w:r>
        <w:rPr>
          <w:rFonts w:ascii="Calibri" w:cs="Calibri" w:eastAsia="Calibri" w:hAnsi="Calibri"/>
          <w:color w:val="1A1A1A"/>
          <w:sz w:val="22"/>
          <w:szCs w:val="22"/>
        </w:rPr>
        <w:t xml:space="preserve">The decision uses the Search Console baseline the goal doc already mandates pulling pre-launch — no extra work, and it lands in the window where the data exists.</w:t>
      </w:r>
    </w:p>
    <w:p>
      <w:pPr>
        <w:pStyle w:val="ListParagraph"/>
        <w:numPr>
          <w:ilvl w:val="0"/>
          <w:numId w:val="2"/>
        </w:numPr>
        <w:spacing w:after="40" w:before="40" w:line="300"/>
      </w:pPr>
      <w:r>
        <w:rPr>
          <w:rFonts w:ascii="Calibri" w:cs="Calibri" w:eastAsia="Calibri" w:hAnsi="Calibri"/>
          <w:color w:val="1A1A1A"/>
          <w:sz w:val="22"/>
          <w:szCs w:val="22"/>
        </w:rPr>
        <w:t xml:space="preserve">The ugly long tail still gets cleaned; only proven earners are preserved. A 301 map is mandatory either way.</w:t>
      </w:r>
    </w:p>
    <w:p>
      <w:pPr>
        <w:pBdr>
          <w:left w:val="single" w:color="C8A35B" w:sz="18" w:space="12"/>
        </w:pBdr>
        <w:spacing w:after="120" w:before="120" w:line="300"/>
        <w:ind w:left="480" w:right="480"/>
      </w:pPr>
      <w:r>
        <w:rPr>
          <w:rFonts w:ascii="Calibri" w:cs="Calibri" w:eastAsia="Calibri" w:hAnsi="Calibri"/>
          <w:i/>
          <w:iCs/>
          <w:color w:val="555555"/>
          <w:sz w:val="22"/>
          <w:szCs w:val="22"/>
        </w:rPr>
        <w:t xml:space="preserve">CSV implementation note: brand-collection rows carry the flag “clean to /collections/[brand] unless GSC shows material existing organic at baseline; if so, preserve + self-canonical; 301 map mandatory.”</w:t>
      </w:r>
    </w:p>
    <w:p>
      <w:pPr>
        <w:pStyle w:val="Heading2"/>
        <w:spacing w:after="120" w:before="240"/>
      </w:pPr>
      <w:r>
        <w:rPr>
          <w:rFonts w:ascii="Calibri" w:cs="Calibri" w:eastAsia="Calibri" w:hAnsi="Calibri"/>
          <w:b/>
          <w:bCs/>
          <w:color w:val="1A2B3C"/>
          <w:sz w:val="28"/>
          <w:szCs w:val="28"/>
        </w:rPr>
        <w:t xml:space="preserve">Build Step 4 — Internal Linking Strategy</w:t>
      </w:r>
    </w:p>
    <w:p>
      <w:pPr>
        <w:spacing w:after="80" w:before="80" w:line="300"/>
      </w:pPr>
      <w:r>
        <w:rPr>
          <w:rFonts w:ascii="Calibri" w:cs="Calibri" w:eastAsia="Calibri" w:hAnsi="Calibri"/>
          <w:color w:val="1A1A1A"/>
          <w:sz w:val="22"/>
          <w:szCs w:val="22"/>
        </w:rPr>
        <w:t xml:space="preserve">A sitemap without a linking plan is a parking lot with no roads. Five link categories do navigation, SEO-equity distribution and conversion-path engineering simultaneously. The conversion-priority rule keeps the buy-led posture intact wherever links compete for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Category</w:t>
            </w:r>
          </w:p>
        </w:tc>
        <w:tc>
          <w:tcPr>
            <w:tcW w:type="dxa" w:w="47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Role</w:t>
            </w:r>
          </w:p>
        </w:tc>
        <w:tc>
          <w:tcPr>
            <w:tcW w:type="dxa" w:w="27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Where</w:t>
            </w:r>
          </w:p>
        </w:tc>
      </w:tr>
      <w:tr>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1. Navigational</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Header (Shop-dominant nav + utility), footer (4-column), breadcrumbs</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Sitewide persistent</w:t>
            </w:r>
          </w:p>
        </w:tc>
      </w:tr>
      <w:tr>
        <w:tc>
          <w:tcPr>
            <w:tcW w:type="dxa" w:w="19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2. Hierarchical</w:t>
            </w:r>
          </w:p>
        </w:tc>
        <w:tc>
          <w:tcPr>
            <w:tcW w:type="dxa" w:w="47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Index ↔ collection ↔ PDP (breadcrumb up, grid down)</w:t>
            </w:r>
          </w:p>
        </w:tc>
        <w:tc>
          <w:tcPr>
            <w:tcW w:type="dxa" w:w="2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 + PDPs</w:t>
            </w:r>
          </w:p>
        </w:tc>
      </w:tr>
      <w:tr>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3. Lateral Discovery</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Complete-the-set, you-may-also-like, more-from-brand, same-family</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PDPs, collections</w:t>
            </w:r>
          </w:p>
        </w:tc>
      </w:tr>
      <w:tr>
        <w:tc>
          <w:tcPr>
            <w:tcW w:type="dxa" w:w="19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4. Conversion</w:t>
            </w:r>
          </w:p>
        </w:tc>
        <w:tc>
          <w:tcPr>
            <w:tcW w:type="dxa" w:w="47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Buy / cart / express checkout, then quiz / WhatsApp / email assists toward Tier 1–2 intents</w:t>
            </w:r>
          </w:p>
        </w:tc>
        <w:tc>
          <w:tcPr>
            <w:tcW w:type="dxa" w:w="27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Every template</w:t>
            </w:r>
          </w:p>
        </w:tc>
      </w:tr>
      <w:tr>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5. Contextual</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In-body guide links; sourcing link on resale PDPs</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Guides, PDPs</w:t>
            </w:r>
          </w:p>
        </w:tc>
      </w:tr>
    </w:tbl>
    <w:p>
      <w:pPr>
        <w:spacing w:after="80" w:before="140"/>
      </w:pPr>
      <w:r>
        <w:rPr>
          <w:rFonts w:ascii="Calibri" w:cs="Calibri" w:eastAsia="Calibri" w:hAnsi="Calibri"/>
          <w:b/>
          <w:bCs/>
          <w:color w:val="1A2B3C"/>
          <w:sz w:val="22"/>
          <w:szCs w:val="22"/>
        </w:rPr>
        <w:t xml:space="preserve">Locked four-column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Column</w:t>
            </w:r>
          </w:p>
        </w:tc>
        <w:tc>
          <w:tcPr>
            <w:tcW w:type="dxa" w:w="71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Contents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Our Brands · All Brands · Men’s · Women’s · Unisex · Best-sellers · Gift Sets</w:t>
            </w:r>
          </w:p>
        </w:tc>
      </w:tr>
      <w:tr>
        <w:tc>
          <w:tcPr>
            <w:tcW w:type="dxa" w:w="22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Discover</w:t>
            </w:r>
          </w:p>
        </w:tc>
        <w:tc>
          <w:tcPr>
            <w:tcW w:type="dxa" w:w="71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Occasions &amp; Gifts · Discovery Kits · Guides · Find My Scent · Custom Mixing (phase 2)</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Help</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Contact · FAQs · Shipping · Returns/Refund · Payment · Track Order</w:t>
            </w:r>
          </w:p>
        </w:tc>
      </w:tr>
      <w:tr>
        <w:tc>
          <w:tcPr>
            <w:tcW w:type="dxa" w:w="22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Company &amp; Social</w:t>
            </w:r>
          </w:p>
        </w:tc>
        <w:tc>
          <w:tcPr>
            <w:tcW w:type="dxa" w:w="71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About · Sourcing Promise · Instagram/TikTok/FB/YouTube/X · visible email (info@thefragrancesecrets.com) · Referral (phase 2)</w:t>
            </w:r>
          </w:p>
        </w:tc>
      </w:tr>
    </w:tbl>
    <w:p>
      <w:pPr>
        <w:spacing w:after="80" w:before="140"/>
      </w:pPr>
      <w:r>
        <w:rPr>
          <w:rFonts w:ascii="Calibri" w:cs="Calibri" w:eastAsia="Calibri" w:hAnsi="Calibri"/>
          <w:b/>
          <w:bCs/>
          <w:color w:val="1A2B3C"/>
          <w:sz w:val="22"/>
          <w:szCs w:val="22"/>
        </w:rPr>
        <w:t xml:space="preserve">Policies &amp; scale</w:t>
      </w:r>
    </w:p>
    <w:p>
      <w:pPr>
        <w:pStyle w:val="ListParagraph"/>
        <w:numPr>
          <w:ilvl w:val="0"/>
          <w:numId w:val="2"/>
        </w:numPr>
        <w:spacing w:after="40" w:before="40" w:line="300"/>
      </w:pPr>
      <w:r>
        <w:rPr>
          <w:rFonts w:ascii="Calibri" w:cs="Calibri" w:eastAsia="Calibri" w:hAnsi="Calibri"/>
          <w:color w:val="1A1A1A"/>
          <w:sz w:val="22"/>
          <w:szCs w:val="22"/>
        </w:rPr>
        <w:t xml:space="preserve">Anchor text: descriptive (no “click here”), varied across links to the same destination, keyword-inclusive where natural (supports Goal 4).</w:t>
      </w:r>
    </w:p>
    <w:p>
      <w:pPr>
        <w:pStyle w:val="ListParagraph"/>
        <w:numPr>
          <w:ilvl w:val="0"/>
          <w:numId w:val="2"/>
        </w:numPr>
        <w:spacing w:after="40" w:before="40" w:line="300"/>
      </w:pPr>
      <w:r>
        <w:rPr>
          <w:rFonts w:ascii="Calibri" w:cs="Calibri" w:eastAsia="Calibri" w:hAnsi="Calibri"/>
          <w:color w:val="1A1A1A"/>
          <w:sz w:val="22"/>
          <w:szCs w:val="22"/>
        </w:rPr>
        <w:t xml:space="preserve">Conversion-priority rule: when a conversion CTA and an editorial link compete for the same space, conversion wins.</w:t>
      </w:r>
    </w:p>
    <w:p>
      <w:pPr>
        <w:pStyle w:val="ListParagraph"/>
        <w:numPr>
          <w:ilvl w:val="0"/>
          <w:numId w:val="2"/>
        </w:numPr>
        <w:spacing w:after="40" w:before="40" w:line="300"/>
      </w:pPr>
      <w:r>
        <w:rPr>
          <w:rFonts w:ascii="Calibri" w:cs="Calibri" w:eastAsia="Calibri" w:hAnsi="Calibri"/>
          <w:color w:val="1A1A1A"/>
          <w:sz w:val="22"/>
          <w:szCs w:val="22"/>
        </w:rPr>
        <w:t xml:space="preserve">Related-content logic: hybrid — manual editorial picks + algorithmic fallback (same brand/family/tag, best-seller + recency boost).</w:t>
      </w:r>
    </w:p>
    <w:p>
      <w:pPr>
        <w:pStyle w:val="ListParagraph"/>
        <w:numPr>
          <w:ilvl w:val="0"/>
          <w:numId w:val="2"/>
        </w:numPr>
        <w:spacing w:after="40" w:before="40" w:line="300"/>
      </w:pPr>
      <w:r>
        <w:rPr>
          <w:rFonts w:ascii="Calibri" w:cs="Calibri" w:eastAsia="Calibri" w:hAnsi="Calibri"/>
          <w:color w:val="1A1A1A"/>
          <w:sz w:val="22"/>
          <w:szCs w:val="22"/>
        </w:rPr>
        <w:t xml:space="preserve">Hygiene: monthly broken-link audit; quarterly orphan-page check (every product reachable from ≥2 collections); biannual anchor-text review; CMS guardrail — no product publishes without ≥1 collection + family tag, no guide without ≥1 product link.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40"/>
              <w:left w:type="dxa" w:w="240"/>
              <w:bottom w:type="dxa" w:w="240"/>
              <w:right w:type="dxa" w:w="240"/>
            </w:tcMar>
          </w:tcPr>
          <w:p>
            <w:pPr>
              <w:spacing w:after="60" w:before="40"/>
            </w:pPr>
            <w:r>
              <w:rPr>
                <w:rFonts w:ascii="Calibri" w:cs="Calibri" w:eastAsia="Calibri" w:hAnsi="Calibri"/>
                <w:b/>
                <w:bCs/>
                <w:color w:val="1A2B3C"/>
                <w:sz w:val="22"/>
                <w:szCs w:val="22"/>
              </w:rPr>
              <w:t xml:space="preserve">Scale projection</w:t>
            </w:r>
          </w:p>
          <w:p>
            <w:pPr>
              <w:spacing w:after="20" w:before="20" w:line="300"/>
            </w:pPr>
            <w:r>
              <w:rPr>
                <w:rFonts w:ascii="Calibri" w:cs="Calibri" w:eastAsia="Calibri" w:hAnsi="Calibri"/>
                <w:color w:val="1A1A1A"/>
                <w:sz w:val="22"/>
                <w:szCs w:val="22"/>
              </w:rPr>
              <w:t xml:space="preserve">At launch (~218 products, ~50 collections, ~10 guides): roughly 2,500–3,500 internal links — each PDP emits ~12–18. At scale (500 products, 40 guides): 6,000+. The network keeps every product ≤3 clicks from the homepage and in ≥2 collections, distributing SEO equity and creating multiple conversion paths to each Tier-1 intent.</w:t>
            </w:r>
          </w:p>
        </w:tc>
      </w:tr>
    </w:tbl>
    <w:p>
      <w:pPr>
        <w:pStyle w:val="Heading1"/>
        <w:pageBreakBefore/>
      </w:pPr>
      <w:r>
        <w:rPr>
          <w:rFonts w:ascii="Calibri" w:cs="Calibri" w:eastAsia="Calibri" w:hAnsi="Calibri"/>
          <w:b/>
          <w:bCs/>
          <w:color w:val="1A2B3C"/>
          <w:sz w:val="36"/>
          <w:szCs w:val="36"/>
        </w:rPr>
        <w:t xml:space="preserve">Part Three — The Final Sitemap</w:t>
      </w:r>
    </w:p>
    <w:p>
      <w:pPr>
        <w:pStyle w:val="Heading2"/>
        <w:spacing w:after="120" w:before="240"/>
      </w:pPr>
      <w:r>
        <w:rPr>
          <w:rFonts w:ascii="Calibri" w:cs="Calibri" w:eastAsia="Calibri" w:hAnsi="Calibri"/>
          <w:b/>
          <w:bCs/>
          <w:color w:val="1A2B3C"/>
          <w:sz w:val="28"/>
          <w:szCs w:val="28"/>
        </w:rPr>
        <w:t xml:space="preserve">Site Architecture Overview</w:t>
      </w:r>
    </w:p>
    <w:p>
      <w:pPr>
        <w:spacing w:after="80" w:before="80" w:line="300"/>
      </w:pPr>
      <w:r>
        <w:rPr>
          <w:rFonts w:ascii="Calibri" w:cs="Calibri" w:eastAsia="Calibri" w:hAnsi="Calibri"/>
          <w:color w:val="1A1A1A"/>
          <w:sz w:val="22"/>
          <w:szCs w:val="22"/>
        </w:rPr>
        <w:t xml:space="preserve">The site resolves to 39 unique pages (including dynamic templates, utility, legal, two phase-2 pages and three reserved Tier-4 slots), expressed across 152 section rows in the paired CSV. The structure is a Shop-dominant primary navigation over a Shopify-native URL tree, engineered so the three jobs — convert the click, grow the order, keep the customer — each have dedicated surfaces, with the ready buyer served first.</w:t>
      </w:r>
    </w:p>
    <w:p>
      <w:pPr>
        <w:pStyle w:val="Heading2"/>
        <w:spacing w:after="120" w:before="240"/>
      </w:pPr>
      <w:r>
        <w:rPr>
          <w:rFonts w:ascii="Calibri" w:cs="Calibri" w:eastAsia="Calibri" w:hAnsi="Calibri"/>
          <w:b/>
          <w:bCs/>
          <w:color w:val="1A2B3C"/>
          <w:sz w:val="28"/>
          <w:szCs w:val="28"/>
        </w:rPr>
        <w:t xml:space="preserve">Top-Level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Nav slot</w:t>
            </w:r>
          </w:p>
        </w:tc>
        <w:tc>
          <w:tcPr>
            <w:tcW w:type="dxa" w:w="34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Destination</w:t>
            </w:r>
          </w:p>
        </w:tc>
        <w:tc>
          <w:tcPr>
            <w:tcW w:type="dxa" w:w="4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Primary job</w:t>
            </w:r>
          </w:p>
        </w:tc>
      </w:tr>
      <w:tr>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 (dominant)</w:t>
            </w:r>
          </w:p>
        </w:tc>
        <w:tc>
          <w:tcPr>
            <w:tcW w:type="dxa" w:w="3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/collections/all (+ Our Brands, brand/category/family, best-sellers)</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Convert — express lane for the ready buyer; search-demand engine</w:t>
            </w:r>
          </w:p>
        </w:tc>
      </w:tr>
      <w:tr>
        <w:tc>
          <w:tcPr>
            <w:tcW w:type="dxa" w:w="19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Occasions &amp; Gifts</w:t>
            </w:r>
          </w:p>
        </w:tc>
        <w:tc>
          <w:tcPr>
            <w:tcW w:type="dxa" w:w="34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/pages/occasions-gifts</w:t>
            </w:r>
          </w:p>
        </w:tc>
        <w:tc>
          <w:tcPr>
            <w:tcW w:type="dxa" w:w="4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Grow — high-AOV gifting and occasion curation</w:t>
            </w:r>
          </w:p>
        </w:tc>
      </w:tr>
      <w:tr>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Guides</w:t>
            </w:r>
          </w:p>
        </w:tc>
        <w:tc>
          <w:tcPr>
            <w:tcW w:type="dxa" w:w="3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/blogs/guides</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Keep + acquire — organic / AI-citation engine (launch)</w:t>
            </w:r>
          </w:p>
        </w:tc>
      </w:tr>
      <w:tr>
        <w:tc>
          <w:tcPr>
            <w:tcW w:type="dxa" w:w="19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Utility</w:t>
            </w:r>
          </w:p>
        </w:tc>
        <w:tc>
          <w:tcPr>
            <w:tcW w:type="dxa" w:w="34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/search · /account · /cart · WhatsApp</w:t>
            </w:r>
          </w:p>
        </w:tc>
        <w:tc>
          <w:tcPr>
            <w:tcW w:type="dxa" w:w="4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Convert + keep — persistent access</w:t>
            </w:r>
          </w:p>
        </w:tc>
      </w:tr>
      <w:tr>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Find My Scent (secondary)</w:t>
            </w:r>
          </w:p>
        </w:tc>
        <w:tc>
          <w:tcPr>
            <w:tcW w:type="dxa" w:w="3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/pages/find-my-scent</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Convert — assist that rescues the undecided visitor</w:t>
            </w:r>
          </w:p>
        </w:tc>
      </w:tr>
    </w:tbl>
    <w:p>
      <w:pPr>
        <w:pStyle w:val="Heading2"/>
        <w:spacing w:after="120" w:before="240"/>
      </w:pPr>
      <w:r>
        <w:rPr>
          <w:rFonts w:ascii="Calibri" w:cs="Calibri" w:eastAsia="Calibri" w:hAnsi="Calibri"/>
          <w:b/>
          <w:bCs/>
          <w:color w:val="1A2B3C"/>
          <w:sz w:val="28"/>
          <w:szCs w:val="28"/>
        </w:rPr>
        <w:t xml:space="preserve">Complete Page Inventory</w:t>
      </w:r>
    </w:p>
    <w:p>
      <w:pPr>
        <w:spacing w:after="80" w:before="140"/>
      </w:pPr>
      <w:r>
        <w:rPr>
          <w:rFonts w:ascii="Calibri" w:cs="Calibri" w:eastAsia="Calibri" w:hAnsi="Calibri"/>
          <w:b/>
          <w:bCs/>
          <w:color w:val="1A2B3C"/>
          <w:sz w:val="22"/>
          <w:szCs w:val="22"/>
        </w:rPr>
        <w:t xml:space="preserve">Tier 1 — Mission-critical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Page</w:t>
            </w:r>
          </w:p>
        </w:tc>
        <w:tc>
          <w:tcPr>
            <w:tcW w:type="dxa" w:w="39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URL</w:t>
            </w:r>
          </w:p>
        </w:tc>
        <w:tc>
          <w:tcPr>
            <w:tcW w:type="dxa" w:w="24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Type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Homepage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Shop (All Products)</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/collections/all</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Index</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 Index (Our Brands elevated)</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/pages/brands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Own-Brand Collection (x3)</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/collections/fragrance-secrets · /secret-scents · /paris-collection</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Brand Collection (resale)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/collections/[brand-slug]</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Product Detail Page</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/products/[product-slug]</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Occasions &amp; Gifts Hub</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/pages/occasions-gifts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Sourcing Promise</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/pages/sourcing-promise</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(trust)</w:t>
            </w:r>
          </w:p>
        </w:tc>
      </w:tr>
    </w:tbl>
    <w:p>
      <w:pPr>
        <w:spacing w:after="80" w:before="140"/>
      </w:pPr>
      <w:r>
        <w:rPr>
          <w:rFonts w:ascii="Calibri" w:cs="Calibri" w:eastAsia="Calibri" w:hAnsi="Calibri"/>
          <w:b/>
          <w:bCs/>
          <w:color w:val="1A2B3C"/>
          <w:sz w:val="22"/>
          <w:szCs w:val="22"/>
        </w:rPr>
        <w:t xml:space="preserve">Tier 2 — Dedicated pages / assists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Page</w:t>
            </w:r>
          </w:p>
        </w:tc>
        <w:tc>
          <w:tcPr>
            <w:tcW w:type="dxa" w:w="39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URL</w:t>
            </w:r>
          </w:p>
        </w:tc>
        <w:tc>
          <w:tcPr>
            <w:tcW w:type="dxa" w:w="24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Type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Category Collection</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/collections/[category-slug]</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Scent-Family Collection</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/collections/[family-slug]</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Occasion Landing</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/collections/[occasion-slug]</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Gift Sets</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/collections/gift-sets</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Discovery Kits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/collections/discovery-kits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Find My Scent (Quiz)</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/pages/find-my-scent</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(app, secondary)</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Quiz Results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/pages/find-my-scent/results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Guides Hub</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/blogs/guides</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Index</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Guide Article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/blogs/guides/[article-slug]</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Template</w:t>
            </w:r>
          </w:p>
        </w:tc>
      </w:tr>
    </w:tbl>
    <w:p>
      <w:pPr>
        <w:spacing w:after="80" w:before="140"/>
      </w:pPr>
      <w:r>
        <w:rPr>
          <w:rFonts w:ascii="Calibri" w:cs="Calibri" w:eastAsia="Calibri" w:hAnsi="Calibri"/>
          <w:b/>
          <w:bCs/>
          <w:color w:val="1A2B3C"/>
          <w:sz w:val="22"/>
          <w:szCs w:val="22"/>
        </w:rPr>
        <w:t xml:space="preserve">Tier 3 — Accommodated / 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Page</w:t>
            </w:r>
          </w:p>
        </w:tc>
        <w:tc>
          <w:tcPr>
            <w:tcW w:type="dxa" w:w="39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URL</w:t>
            </w:r>
          </w:p>
        </w:tc>
        <w:tc>
          <w:tcPr>
            <w:tcW w:type="dxa" w:w="24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Type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About</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/pages/about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Reviews</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/pages/reviews</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(app-fed)</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Account &amp; Reorder</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/account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Dynamic (auth)</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Contact</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/pages/contact</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FAQs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/pages/faqs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w:t>
            </w:r>
          </w:p>
        </w:tc>
      </w:tr>
    </w:tbl>
    <w:p>
      <w:pPr>
        <w:spacing w:after="80" w:before="140"/>
      </w:pPr>
      <w:r>
        <w:rPr>
          <w:rFonts w:ascii="Calibri" w:cs="Calibri" w:eastAsia="Calibri" w:hAnsi="Calibri"/>
          <w:b/>
          <w:bCs/>
          <w:color w:val="1A2B3C"/>
          <w:sz w:val="22"/>
          <w:szCs w:val="22"/>
        </w:rPr>
        <w:t xml:space="preserve">Utility, legal, phase 2 &amp;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Page</w:t>
            </w:r>
          </w:p>
        </w:tc>
        <w:tc>
          <w:tcPr>
            <w:tcW w:type="dxa" w:w="39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URL</w:t>
            </w:r>
          </w:p>
        </w:tc>
        <w:tc>
          <w:tcPr>
            <w:tcW w:type="dxa" w:w="24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Type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Cart / Checkout</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/cart · /checkout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Utility (Shopify)</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Search</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/search</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Utility</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Shipping / Refund / Payment / Privacy / Terms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/policies/* · /pages/payment-policy</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Static (legal)</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Custom 404</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/404</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Utility</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Sitemap / Robots / LLMs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/sitemap.xml · /robots.txt · /llms.txt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Auto / Static (llms.txt at launch)</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Custom Mixing</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/pages/custom-mixing</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Phase 2 (R-3 gated)</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Referral</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/pages/referral</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Phase 2</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Subscriptions (reserved)</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/subscriptions</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Reserved (Tier 4)</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Arabic locale (reserved)</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/ar</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Reserved (Tier 4)</w:t>
            </w:r>
          </w:p>
        </w:tc>
      </w:tr>
      <w:tr>
        <w:tc>
          <w:tcPr>
            <w:tcW w:type="dxa" w:w="30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Rewards / Loyalty (reserved)</w:t>
            </w:r>
          </w:p>
        </w:tc>
        <w:tc>
          <w:tcPr>
            <w:tcW w:type="dxa" w:w="39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/pages/rewards</w:t>
            </w:r>
          </w:p>
        </w:tc>
        <w:tc>
          <w:tcPr>
            <w:tcW w:type="dxa" w:w="24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Reserved (Tier 4)</w:t>
            </w:r>
          </w:p>
        </w:tc>
      </w:tr>
    </w:tbl>
    <w:p>
      <w:pPr>
        <w:pStyle w:val="Heading2"/>
        <w:spacing w:after="120" w:before="240"/>
      </w:pPr>
      <w:r>
        <w:rPr>
          <w:rFonts w:ascii="Calibri" w:cs="Calibri" w:eastAsia="Calibri" w:hAnsi="Calibri"/>
          <w:b/>
          <w:bCs/>
          <w:color w:val="1A2B3C"/>
          <w:sz w:val="28"/>
          <w:szCs w:val="28"/>
        </w:rPr>
        <w:t xml:space="preserve">Homepage Section Structure</w:t>
      </w:r>
    </w:p>
    <w:p>
      <w:pPr>
        <w:spacing w:after="80" w:before="80" w:line="300"/>
      </w:pPr>
      <w:r>
        <w:rPr>
          <w:rFonts w:ascii="Calibri" w:cs="Calibri" w:eastAsia="Calibri" w:hAnsi="Calibri"/>
          <w:color w:val="1A1A1A"/>
          <w:sz w:val="22"/>
          <w:szCs w:val="22"/>
        </w:rPr>
        <w:t xml:space="preserve">The homepage is the highest-traffic surface and the clearest expression of the buy-led strategy. Its block order, top to bottom:</w:t>
      </w:r>
    </w:p>
    <w:p>
      <w:pPr>
        <w:pStyle w:val="ListParagraph"/>
        <w:numPr>
          <w:ilvl w:val="0"/>
          <w:numId w:val="3"/>
        </w:numPr>
        <w:spacing w:after="40" w:before="40" w:line="300"/>
      </w:pPr>
      <w:r>
        <w:rPr>
          <w:rFonts w:ascii="Calibri" w:cs="Calibri" w:eastAsia="Calibri" w:hAnsi="Calibri"/>
          <w:color w:val="1A1A1A"/>
          <w:sz w:val="22"/>
          <w:szCs w:val="22"/>
        </w:rPr>
        <w:t xml:space="preserve">Sticky header / nav — Shop-dominant mega-menu + search/account/cart + one-tap WhatsApp.</w:t>
      </w:r>
    </w:p>
    <w:p>
      <w:pPr>
        <w:pStyle w:val="ListParagraph"/>
        <w:numPr>
          <w:ilvl w:val="0"/>
          <w:numId w:val="3"/>
        </w:numPr>
        <w:spacing w:after="40" w:before="40" w:line="300"/>
      </w:pPr>
      <w:r>
        <w:rPr>
          <w:rFonts w:ascii="Calibri" w:cs="Calibri" w:eastAsia="Calibri" w:hAnsi="Calibri"/>
          <w:color w:val="1A1A1A"/>
          <w:sz w:val="22"/>
          <w:szCs w:val="22"/>
        </w:rPr>
        <w:t xml:space="preserve">Announcement bar — verifiable next-day delivery + COD/BNPL promise.</w:t>
      </w:r>
    </w:p>
    <w:p>
      <w:pPr>
        <w:pStyle w:val="ListParagraph"/>
        <w:numPr>
          <w:ilvl w:val="0"/>
          <w:numId w:val="3"/>
        </w:numPr>
        <w:spacing w:after="40" w:before="40" w:line="300"/>
      </w:pPr>
      <w:r>
        <w:rPr>
          <w:rFonts w:ascii="Calibri" w:cs="Calibri" w:eastAsia="Calibri" w:hAnsi="Calibri"/>
          <w:color w:val="1A1A1A"/>
          <w:sz w:val="22"/>
          <w:szCs w:val="22"/>
        </w:rPr>
        <w:t xml:space="preserve">Shop-first hero — best-sellers / featured collections / occasion entry with express paths to buy (not the quiz).</w:t>
      </w:r>
    </w:p>
    <w:p>
      <w:pPr>
        <w:pStyle w:val="ListParagraph"/>
        <w:numPr>
          <w:ilvl w:val="0"/>
          <w:numId w:val="3"/>
        </w:numPr>
        <w:spacing w:after="40" w:before="40" w:line="300"/>
      </w:pPr>
      <w:r>
        <w:rPr>
          <w:rFonts w:ascii="Calibri" w:cs="Calibri" w:eastAsia="Calibri" w:hAnsi="Calibri"/>
          <w:color w:val="1A1A1A"/>
          <w:sz w:val="22"/>
          <w:szCs w:val="22"/>
        </w:rPr>
        <w:t xml:space="preserve">Shop by brand — Our Brands elevated + the search-demand A-Z taxonomy.</w:t>
      </w:r>
    </w:p>
    <w:p>
      <w:pPr>
        <w:pStyle w:val="ListParagraph"/>
        <w:numPr>
          <w:ilvl w:val="0"/>
          <w:numId w:val="3"/>
        </w:numPr>
        <w:spacing w:after="40" w:before="40" w:line="300"/>
      </w:pPr>
      <w:r>
        <w:rPr>
          <w:rFonts w:ascii="Calibri" w:cs="Calibri" w:eastAsia="Calibri" w:hAnsi="Calibri"/>
          <w:color w:val="1A1A1A"/>
          <w:sz w:val="22"/>
          <w:szCs w:val="22"/>
        </w:rPr>
        <w:t xml:space="preserve">Best-sellers / trending — express path for the ready buyer.</w:t>
      </w:r>
    </w:p>
    <w:p>
      <w:pPr>
        <w:pStyle w:val="ListParagraph"/>
        <w:numPr>
          <w:ilvl w:val="0"/>
          <w:numId w:val="3"/>
        </w:numPr>
        <w:spacing w:after="40" w:before="40" w:line="300"/>
      </w:pPr>
      <w:r>
        <w:rPr>
          <w:rFonts w:ascii="Calibri" w:cs="Calibri" w:eastAsia="Calibri" w:hAnsi="Calibri"/>
          <w:color w:val="1A1A1A"/>
          <w:sz w:val="22"/>
          <w:szCs w:val="22"/>
        </w:rPr>
        <w:t xml:space="preserve">Shop by occasion — Eid / wedding / date-night / gifts.</w:t>
      </w:r>
    </w:p>
    <w:p>
      <w:pPr>
        <w:pStyle w:val="ListParagraph"/>
        <w:numPr>
          <w:ilvl w:val="0"/>
          <w:numId w:val="3"/>
        </w:numPr>
        <w:spacing w:after="40" w:before="40" w:line="300"/>
      </w:pPr>
      <w:r>
        <w:rPr>
          <w:rFonts w:ascii="Calibri" w:cs="Calibri" w:eastAsia="Calibri" w:hAnsi="Calibri"/>
          <w:color w:val="1A1A1A"/>
          <w:sz w:val="22"/>
          <w:szCs w:val="22"/>
        </w:rPr>
        <w:t xml:space="preserve">Trust / authenticity strip — authenticity + COD + returns + secure payment.</w:t>
      </w:r>
    </w:p>
    <w:p>
      <w:pPr>
        <w:pStyle w:val="ListParagraph"/>
        <w:numPr>
          <w:ilvl w:val="0"/>
          <w:numId w:val="3"/>
        </w:numPr>
        <w:spacing w:after="40" w:before="40" w:line="300"/>
      </w:pPr>
      <w:r>
        <w:rPr>
          <w:rFonts w:ascii="Calibri" w:cs="Calibri" w:eastAsia="Calibri" w:hAnsi="Calibri"/>
          <w:color w:val="1A1A1A"/>
          <w:sz w:val="22"/>
          <w:szCs w:val="22"/>
        </w:rPr>
        <w:t xml:space="preserve">Find My Scent assist band — secondary rescue for the undecided (subordinate to shopping).</w:t>
      </w:r>
    </w:p>
    <w:p>
      <w:pPr>
        <w:pStyle w:val="ListParagraph"/>
        <w:numPr>
          <w:ilvl w:val="0"/>
          <w:numId w:val="3"/>
        </w:numPr>
        <w:spacing w:after="40" w:before="40" w:line="300"/>
      </w:pPr>
      <w:r>
        <w:rPr>
          <w:rFonts w:ascii="Calibri" w:cs="Calibri" w:eastAsia="Calibri" w:hAnsi="Calibri"/>
          <w:color w:val="1A1A1A"/>
          <w:sz w:val="22"/>
          <w:szCs w:val="22"/>
        </w:rPr>
        <w:t xml:space="preserve">Shop by category — Men’s / Women’s / Unisex / Kids (secondary axis #1).</w:t>
      </w:r>
    </w:p>
    <w:p>
      <w:pPr>
        <w:pStyle w:val="ListParagraph"/>
        <w:numPr>
          <w:ilvl w:val="0"/>
          <w:numId w:val="3"/>
        </w:numPr>
        <w:spacing w:after="40" w:before="40" w:line="300"/>
      </w:pPr>
      <w:r>
        <w:rPr>
          <w:rFonts w:ascii="Calibri" w:cs="Calibri" w:eastAsia="Calibri" w:hAnsi="Calibri"/>
          <w:color w:val="1A1A1A"/>
          <w:sz w:val="22"/>
          <w:szCs w:val="22"/>
        </w:rPr>
        <w:t xml:space="preserve">Gift sets &amp; discovery kits band — higher-AOV sets + low-commitment trial.</w:t>
      </w:r>
    </w:p>
    <w:p>
      <w:pPr>
        <w:pStyle w:val="ListParagraph"/>
        <w:numPr>
          <w:ilvl w:val="0"/>
          <w:numId w:val="3"/>
        </w:numPr>
        <w:spacing w:after="40" w:before="40" w:line="300"/>
      </w:pPr>
      <w:r>
        <w:rPr>
          <w:rFonts w:ascii="Calibri" w:cs="Calibri" w:eastAsia="Calibri" w:hAnsi="Calibri"/>
          <w:color w:val="1A1A1A"/>
          <w:sz w:val="22"/>
          <w:szCs w:val="22"/>
        </w:rPr>
        <w:t xml:space="preserve">Guides teaser — organic / AI-search engine (launch).</w:t>
      </w:r>
    </w:p>
    <w:p>
      <w:pPr>
        <w:pStyle w:val="ListParagraph"/>
        <w:numPr>
          <w:ilvl w:val="0"/>
          <w:numId w:val="3"/>
        </w:numPr>
        <w:spacing w:after="40" w:before="40" w:line="300"/>
      </w:pPr>
      <w:r>
        <w:rPr>
          <w:rFonts w:ascii="Calibri" w:cs="Calibri" w:eastAsia="Calibri" w:hAnsi="Calibri"/>
          <w:color w:val="1A1A1A"/>
          <w:sz w:val="22"/>
          <w:szCs w:val="22"/>
        </w:rPr>
        <w:t xml:space="preserve">Reviews / social proof — verifiable only.</w:t>
      </w:r>
    </w:p>
    <w:p>
      <w:pPr>
        <w:pStyle w:val="ListParagraph"/>
        <w:numPr>
          <w:ilvl w:val="0"/>
          <w:numId w:val="3"/>
        </w:numPr>
        <w:spacing w:after="40" w:before="40" w:line="300"/>
      </w:pPr>
      <w:r>
        <w:rPr>
          <w:rFonts w:ascii="Calibri" w:cs="Calibri" w:eastAsia="Calibri" w:hAnsi="Calibri"/>
          <w:color w:val="1A1A1A"/>
          <w:sz w:val="22"/>
          <w:szCs w:val="22"/>
        </w:rPr>
        <w:t xml:space="preserve">Email + WhatsApp capture — 10% first order, top of the retention funnel.</w:t>
      </w:r>
    </w:p>
    <w:p>
      <w:pPr>
        <w:pStyle w:val="ListParagraph"/>
        <w:numPr>
          <w:ilvl w:val="0"/>
          <w:numId w:val="3"/>
        </w:numPr>
        <w:spacing w:after="40" w:before="40" w:line="300"/>
      </w:pPr>
      <w:r>
        <w:rPr>
          <w:rFonts w:ascii="Calibri" w:cs="Calibri" w:eastAsia="Calibri" w:hAnsi="Calibri"/>
          <w:color w:val="1A1A1A"/>
          <w:sz w:val="22"/>
          <w:szCs w:val="22"/>
        </w:rPr>
        <w:t xml:space="preserve">Footer — locked four-column structure with visible email.</w:t>
      </w:r>
    </w:p>
    <w:p>
      <w:pPr>
        <w:pStyle w:val="Heading2"/>
        <w:spacing w:after="120" w:before="240"/>
      </w:pPr>
      <w:r>
        <w:rPr>
          <w:rFonts w:ascii="Calibri" w:cs="Calibri" w:eastAsia="Calibri" w:hAnsi="Calibri"/>
          <w:b/>
          <w:bCs/>
          <w:color w:val="1A2B3C"/>
          <w:sz w:val="28"/>
          <w:szCs w:val="28"/>
        </w:rPr>
        <w:t xml:space="preserve">Page-Count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60"/>
        <w:gridCol w:w="3100"/>
      </w:tblGrid>
      <w:tr>
        <w:trPr>
          <w:tblHeader/>
        </w:trPr>
        <w:tc>
          <w:tcPr>
            <w:tcW w:type="dxa" w:w="62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Layer</w:t>
            </w:r>
          </w:p>
        </w:tc>
        <w:tc>
          <w:tcPr>
            <w:tcW w:type="dxa" w:w="31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Pages</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Tier 1 (mission-critical)</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8 (own-brand counted as one template)</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Tier 2 (dedicated / assists)</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9</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Tier 3 (supporting)</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5</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Utility + legal</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9</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Phase 2</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2</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Reserved (Tier 4)</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3</w:t>
            </w:r>
          </w:p>
        </w:tc>
      </w:tr>
      <w:tr>
        <w:tc>
          <w:tcPr>
            <w:tcW w:type="dxa" w:w="6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Total unique pages</w:t>
            </w:r>
          </w:p>
        </w:tc>
        <w:tc>
          <w:tcPr>
            <w:tcW w:type="dxa" w:w="3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39</w:t>
            </w:r>
          </w:p>
        </w:tc>
      </w:tr>
      <w:tr>
        <w:tc>
          <w:tcPr>
            <w:tcW w:type="dxa" w:w="626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Section rows in CSV</w:t>
            </w:r>
          </w:p>
        </w:tc>
        <w:tc>
          <w:tcPr>
            <w:tcW w:type="dxa" w:w="3100"/>
            <w:tcBorders>
              <w:top w:val="single" w:color="BFBFBF" w:sz="1"/>
              <w:left w:val="single" w:color="BFBFBF" w:sz="1"/>
              <w:bottom w:val="single" w:color="BFBFBF" w:sz="1"/>
              <w:right w:val="single" w:color="BFBFBF" w:sz="1"/>
            </w:tcBorders>
            <w:shd w:fill="F4F1EA"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152</w:t>
            </w:r>
          </w:p>
        </w:tc>
      </w:tr>
    </w:tbl>
    <w:p>
      <w:pPr>
        <w:pStyle w:val="Heading2"/>
        <w:spacing w:after="120" w:before="240"/>
      </w:pPr>
      <w:r>
        <w:rPr>
          <w:rFonts w:ascii="Calibri" w:cs="Calibri" w:eastAsia="Calibri" w:hAnsi="Calibri"/>
          <w:b/>
          <w:bCs/>
          <w:color w:val="1A2B3C"/>
          <w:sz w:val="28"/>
          <w:szCs w:val="28"/>
        </w:rPr>
        <w:t xml:space="preserve">How to Read the Paired CSV</w:t>
      </w:r>
    </w:p>
    <w:p>
      <w:pPr>
        <w:spacing w:after="80" w:before="80" w:line="300"/>
      </w:pPr>
      <w:r>
        <w:rPr>
          <w:rFonts w:ascii="Calibri" w:cs="Calibri" w:eastAsia="Calibri" w:hAnsi="Calibri"/>
          <w:color w:val="1A1A1A"/>
          <w:sz w:val="22"/>
          <w:szCs w:val="22"/>
        </w:rPr>
        <w:t xml:space="preserve">The CSV (the-fragrance-secrets-sitemap.csv) is the build-ready structural reference. It is self-contained — a developer, designer or copywriter can build from it without this document open.</w:t>
      </w:r>
    </w:p>
    <w:p>
      <w:pPr>
        <w:pStyle w:val="ListParagraph"/>
        <w:numPr>
          <w:ilvl w:val="0"/>
          <w:numId w:val="2"/>
        </w:numPr>
        <w:spacing w:after="40" w:before="40" w:line="300"/>
      </w:pPr>
      <w:r>
        <w:rPr>
          <w:rFonts w:ascii="Calibri" w:cs="Calibri" w:eastAsia="Calibri" w:hAnsi="Calibri"/>
          <w:color w:val="1A1A1A"/>
          <w:sz w:val="22"/>
          <w:szCs w:val="22"/>
        </w:rPr>
        <w:t xml:space="preserve">One row per section per page. The same Page # and URL repeat across all section rows for that page.</w:t>
      </w:r>
    </w:p>
    <w:p>
      <w:pPr>
        <w:pStyle w:val="ListParagraph"/>
        <w:numPr>
          <w:ilvl w:val="0"/>
          <w:numId w:val="2"/>
        </w:numPr>
        <w:spacing w:after="40" w:before="40" w:line="300"/>
      </w:pPr>
      <w:r>
        <w:rPr>
          <w:rFonts w:ascii="Calibri" w:cs="Calibri" w:eastAsia="Calibri" w:hAnsi="Calibri"/>
          <w:color w:val="1A1A1A"/>
          <w:sz w:val="22"/>
          <w:szCs w:val="22"/>
        </w:rPr>
        <w:t xml:space="preserve">Fifteen locked columns: Page #, Page Name, URL, Page Type, Parent Page, Template, Content Source, Tier/Priority, Primary CTA, Secondary CTA, Section #, Section Name, Section Purpose/Intent, Internal Links From This Section, Notes.</w:t>
      </w:r>
    </w:p>
    <w:p>
      <w:pPr>
        <w:pStyle w:val="ListParagraph"/>
        <w:numPr>
          <w:ilvl w:val="0"/>
          <w:numId w:val="2"/>
        </w:numPr>
        <w:spacing w:after="40" w:before="40" w:line="300"/>
      </w:pPr>
      <w:r>
        <w:rPr>
          <w:rFonts w:ascii="Calibri" w:cs="Calibri" w:eastAsia="Calibri" w:hAnsi="Calibri"/>
          <w:color w:val="1A1A1A"/>
          <w:sz w:val="22"/>
          <w:szCs w:val="22"/>
        </w:rPr>
        <w:t xml:space="preserve">The Section Purpose/Intent column states the strategic job each block does — not what is on screen. It is the highest-information column.</w:t>
      </w:r>
    </w:p>
    <w:p>
      <w:pPr>
        <w:pStyle w:val="ListParagraph"/>
        <w:numPr>
          <w:ilvl w:val="0"/>
          <w:numId w:val="2"/>
        </w:numPr>
        <w:spacing w:after="40" w:before="40" w:line="300"/>
      </w:pPr>
      <w:r>
        <w:rPr>
          <w:rFonts w:ascii="Calibri" w:cs="Calibri" w:eastAsia="Calibri" w:hAnsi="Calibri"/>
          <w:color w:val="1A1A1A"/>
          <w:sz w:val="22"/>
          <w:szCs w:val="22"/>
        </w:rPr>
        <w:t xml:space="preserve">The Notes column carries implementation constraints: schema types, R-1/R-2/R-3 flags, the slug-migration rule, launch-vs-phase-2 markers, and “real imagery / verifiable numbers only” instructions.</w:t>
      </w:r>
    </w:p>
    <w:p>
      <w:pPr>
        <w:pStyle w:val="ListParagraph"/>
        <w:numPr>
          <w:ilvl w:val="0"/>
          <w:numId w:val="2"/>
        </w:numPr>
        <w:spacing w:after="40" w:before="40" w:line="300"/>
      </w:pPr>
      <w:r>
        <w:rPr>
          <w:rFonts w:ascii="Calibri" w:cs="Calibri" w:eastAsia="Calibri" w:hAnsi="Calibri"/>
          <w:color w:val="1A1A1A"/>
          <w:sz w:val="22"/>
          <w:szCs w:val="22"/>
        </w:rPr>
        <w:t xml:space="preserve">Every row has a URL, including phase-2 pages, reserved Tier-4 placeholders and utility pages.</w:t>
      </w:r>
    </w:p>
    <w:p>
      <w:pPr>
        <w:pStyle w:val="Heading1"/>
        <w:pageBreakBefore/>
      </w:pPr>
      <w:r>
        <w:rPr>
          <w:rFonts w:ascii="Calibri" w:cs="Calibri" w:eastAsia="Calibri" w:hAnsi="Calibri"/>
          <w:b/>
          <w:bCs/>
          <w:color w:val="1A2B3C"/>
          <w:sz w:val="36"/>
          <w:szCs w:val="36"/>
        </w:rPr>
        <w:t xml:space="preserve">Appendix</w:t>
      </w:r>
    </w:p>
    <w:p>
      <w:pPr>
        <w:pStyle w:val="Heading2"/>
        <w:spacing w:after="120" w:before="240"/>
      </w:pPr>
      <w:r>
        <w:rPr>
          <w:rFonts w:ascii="Calibri" w:cs="Calibri" w:eastAsia="Calibri" w:hAnsi="Calibri"/>
          <w:b/>
          <w:bCs/>
          <w:color w:val="1A2B3C"/>
          <w:sz w:val="28"/>
          <w:szCs w:val="28"/>
        </w:rPr>
        <w:t xml:space="preserve">Source Documents Inherited From</w:t>
      </w:r>
    </w:p>
    <w:p>
      <w:pPr>
        <w:pStyle w:val="ListParagraph"/>
        <w:numPr>
          <w:ilvl w:val="0"/>
          <w:numId w:val="2"/>
        </w:numPr>
        <w:spacing w:after="40" w:before="40" w:line="300"/>
      </w:pPr>
      <w:r>
        <w:rPr>
          <w:rFonts w:ascii="Calibri" w:cs="Calibri" w:eastAsia="Calibri" w:hAnsi="Calibri"/>
          <w:color w:val="1A1A1A"/>
          <w:sz w:val="22"/>
          <w:szCs w:val="22"/>
        </w:rPr>
        <w:t xml:space="preserve">Business Goal Research — The Fragrance Secrets (Growthmak, v1.0, June 2026).</w:t>
      </w:r>
    </w:p>
    <w:p>
      <w:pPr>
        <w:pStyle w:val="ListParagraph"/>
        <w:numPr>
          <w:ilvl w:val="0"/>
          <w:numId w:val="2"/>
        </w:numPr>
        <w:spacing w:after="40" w:before="40" w:line="300"/>
      </w:pPr>
      <w:r>
        <w:rPr>
          <w:rFonts w:ascii="Calibri" w:cs="Calibri" w:eastAsia="Calibri" w:hAnsi="Calibri"/>
          <w:color w:val="1A1A1A"/>
          <w:sz w:val="22"/>
          <w:szCs w:val="22"/>
        </w:rPr>
        <w:t xml:space="preserve">Ideal Customer Profile &amp; Persona Master Document (Growthmak, v1.0, June 2026).</w:t>
      </w:r>
    </w:p>
    <w:p>
      <w:pPr>
        <w:pStyle w:val="ListParagraph"/>
        <w:numPr>
          <w:ilvl w:val="0"/>
          <w:numId w:val="2"/>
        </w:numPr>
        <w:spacing w:after="40" w:before="40" w:line="300"/>
      </w:pPr>
      <w:r>
        <w:rPr>
          <w:rFonts w:ascii="Calibri" w:cs="Calibri" w:eastAsia="Calibri" w:hAnsi="Calibri"/>
          <w:color w:val="1A1A1A"/>
          <w:sz w:val="22"/>
          <w:szCs w:val="22"/>
        </w:rPr>
        <w:t xml:space="preserve">Competitor Analysis — UAE Online Fragrance Market (Growthmak, v1.0, June 2026).</w:t>
      </w:r>
    </w:p>
    <w:p>
      <w:pPr>
        <w:pStyle w:val="ListParagraph"/>
        <w:numPr>
          <w:ilvl w:val="0"/>
          <w:numId w:val="2"/>
        </w:numPr>
        <w:spacing w:after="40" w:before="40" w:line="300"/>
      </w:pPr>
      <w:r>
        <w:rPr>
          <w:rFonts w:ascii="Calibri" w:cs="Calibri" w:eastAsia="Calibri" w:hAnsi="Calibri"/>
          <w:color w:val="1A1A1A"/>
          <w:sz w:val="22"/>
          <w:szCs w:val="22"/>
        </w:rPr>
        <w:t xml:space="preserve">Live verification (June 2026): thefragrancesecrets.com storefront, plus live competitor checks of samawa.ae, vperfumes.com, myperfumes.ae, zahaar.com, and the Noon/Amazon benchmark.</w:t>
      </w:r>
    </w:p>
    <w:p>
      <w:pPr>
        <w:pStyle w:val="Heading2"/>
        <w:spacing w:after="120" w:before="240"/>
      </w:pPr>
      <w:r>
        <w:rPr>
          <w:rFonts w:ascii="Calibri" w:cs="Calibri" w:eastAsia="Calibri" w:hAnsi="Calibri"/>
          <w:b/>
          <w:bCs/>
          <w:color w:val="1A2B3C"/>
          <w:sz w:val="28"/>
          <w:szCs w:val="28"/>
        </w:rPr>
        <w:t xml:space="preserve">Documents Produced</w:t>
      </w:r>
    </w:p>
    <w:p>
      <w:pPr>
        <w:pStyle w:val="ListParagraph"/>
        <w:numPr>
          <w:ilvl w:val="0"/>
          <w:numId w:val="2"/>
        </w:numPr>
        <w:spacing w:after="40" w:before="40" w:line="300"/>
      </w:pPr>
      <w:r>
        <w:rPr>
          <w:rFonts w:ascii="Calibri" w:cs="Calibri" w:eastAsia="Calibri" w:hAnsi="Calibri"/>
          <w:color w:val="1A1A1A"/>
          <w:sz w:val="22"/>
          <w:szCs w:val="22"/>
        </w:rPr>
        <w:t xml:space="preserve">the-fragrance-secrets-sitemap-strategy.docx — this strategic record (the “why”).</w:t>
      </w:r>
    </w:p>
    <w:p>
      <w:pPr>
        <w:pStyle w:val="ListParagraph"/>
        <w:numPr>
          <w:ilvl w:val="0"/>
          <w:numId w:val="2"/>
        </w:numPr>
        <w:spacing w:after="40" w:before="40" w:line="300"/>
      </w:pPr>
      <w:r>
        <w:rPr>
          <w:rFonts w:ascii="Calibri" w:cs="Calibri" w:eastAsia="Calibri" w:hAnsi="Calibri"/>
          <w:color w:val="1A1A1A"/>
          <w:sz w:val="22"/>
          <w:szCs w:val="22"/>
        </w:rPr>
        <w:t xml:space="preserve">the-fragrance-secrets-sitemap.csv — the build-ready structural reference (the “what”), 39 pages / 152 section rows.</w:t>
      </w:r>
    </w:p>
    <w:p>
      <w:pPr>
        <w:pStyle w:val="Heading2"/>
        <w:spacing w:after="120" w:before="240"/>
      </w:pPr>
      <w:r>
        <w:rPr>
          <w:rFonts w:ascii="Calibri" w:cs="Calibri" w:eastAsia="Calibri" w:hAnsi="Calibri"/>
          <w:b/>
          <w:bCs/>
          <w:color w:val="1A2B3C"/>
          <w:sz w:val="28"/>
          <w:szCs w:val="28"/>
        </w:rPr>
        <w:t xml:space="preserve">What Comes Next (downstream workstreams)</w:t>
      </w:r>
    </w:p>
    <w:p>
      <w:pPr>
        <w:spacing w:after="80" w:before="80" w:line="300"/>
      </w:pPr>
      <w:r>
        <w:rPr>
          <w:rFonts w:ascii="Calibri" w:cs="Calibri" w:eastAsia="Calibri" w:hAnsi="Calibri"/>
          <w:color w:val="1A1A1A"/>
          <w:sz w:val="22"/>
          <w:szCs w:val="22"/>
        </w:rPr>
        <w:t xml:space="preserve">The sitemap is the spine; it does not ship a website by itself. Three workstreams follow, each referencing this document for rationale and the CSV for structure:</w:t>
      </w:r>
    </w:p>
    <w:p>
      <w:pPr>
        <w:pStyle w:val="ListParagraph"/>
        <w:numPr>
          <w:ilvl w:val="0"/>
          <w:numId w:val="3"/>
        </w:numPr>
        <w:spacing w:after="40" w:before="40" w:line="300"/>
      </w:pPr>
      <w:r>
        <w:rPr>
          <w:rFonts w:ascii="Calibri" w:cs="Calibri" w:eastAsia="Calibri" w:hAnsi="Calibri"/>
          <w:color w:val="1A1A1A"/>
          <w:sz w:val="22"/>
          <w:szCs w:val="22"/>
        </w:rPr>
        <w:t xml:space="preserve">Visual Design System — design tokens, type system, component library and page mockups for the locked templates.</w:t>
      </w:r>
    </w:p>
    <w:p>
      <w:pPr>
        <w:pStyle w:val="ListParagraph"/>
        <w:numPr>
          <w:ilvl w:val="0"/>
          <w:numId w:val="3"/>
        </w:numPr>
        <w:spacing w:after="40" w:before="40" w:line="300"/>
      </w:pPr>
      <w:r>
        <w:rPr>
          <w:rFonts w:ascii="Calibri" w:cs="Calibri" w:eastAsia="Calibri" w:hAnsi="Calibri"/>
          <w:color w:val="1A1A1A"/>
          <w:sz w:val="22"/>
          <w:szCs w:val="22"/>
        </w:rPr>
        <w:t xml:space="preserve">Copy Framework — page-by-page copy briefs and SEO-optimised copy, including the transparent sourcing language (R-1) and verifiable-claims discipline (R-2).</w:t>
      </w:r>
    </w:p>
    <w:p>
      <w:pPr>
        <w:pStyle w:val="ListParagraph"/>
        <w:numPr>
          <w:ilvl w:val="0"/>
          <w:numId w:val="3"/>
        </w:numPr>
        <w:spacing w:after="40" w:before="40" w:line="300"/>
      </w:pPr>
      <w:r>
        <w:rPr>
          <w:rFonts w:ascii="Calibri" w:cs="Calibri" w:eastAsia="Calibri" w:hAnsi="Calibri"/>
          <w:color w:val="1A1A1A"/>
          <w:sz w:val="22"/>
          <w:szCs w:val="22"/>
        </w:rPr>
        <w:t xml:space="preserve">Technical Build — Shopify theme build, metafield/metaobject schema, app configuration (quiz, reviews, BNPL, Klaviyo, WhatsApp; mixing + referral in phase 2), structured data + LLMs.txt, and analytics incl. Meta CAPI.</w:t>
      </w:r>
    </w:p>
    <w:p>
      <w:pPr>
        <w:pStyle w:val="Heading2"/>
        <w:spacing w:after="120" w:before="240"/>
      </w:pPr>
      <w:r>
        <w:rPr>
          <w:rFonts w:ascii="Calibri" w:cs="Calibri" w:eastAsia="Calibri" w:hAnsi="Calibri"/>
          <w:b/>
          <w:bCs/>
          <w:color w:val="1A2B3C"/>
          <w:sz w:val="28"/>
          <w:szCs w:val="28"/>
        </w:rPr>
        <w:t xml:space="preserve">Open Items to Resolve</w:t>
      </w:r>
    </w:p>
    <w:p>
      <w:pPr>
        <w:pStyle w:val="ListParagraph"/>
        <w:numPr>
          <w:ilvl w:val="0"/>
          <w:numId w:val="2"/>
        </w:numPr>
        <w:spacing w:after="40" w:before="40" w:line="300"/>
      </w:pPr>
      <w:r>
        <w:rPr>
          <w:rFonts w:ascii="Calibri" w:cs="Calibri" w:eastAsia="Calibri" w:hAnsi="Calibri"/>
          <w:color w:val="1A1A1A"/>
          <w:sz w:val="22"/>
          <w:szCs w:val="22"/>
        </w:rPr>
        <w:t xml:space="preserve">Confirm fulfilment/blending capacity and turnaround for Custom Mixing (R-3) before activating the phase-2 page site-wide.</w:t>
      </w:r>
    </w:p>
    <w:p>
      <w:pPr>
        <w:pStyle w:val="ListParagraph"/>
        <w:numPr>
          <w:ilvl w:val="0"/>
          <w:numId w:val="2"/>
        </w:numPr>
        <w:spacing w:after="40" w:before="40" w:line="300"/>
      </w:pPr>
      <w:r>
        <w:rPr>
          <w:rFonts w:ascii="Calibri" w:cs="Calibri" w:eastAsia="Calibri" w:hAnsi="Calibri"/>
          <w:color w:val="1A1A1A"/>
          <w:sz w:val="22"/>
          <w:szCs w:val="22"/>
        </w:rPr>
        <w:t xml:space="preserve">Pull Shopify + ad-platform + Search Console baselines in the two-week pre-launch window; finalise KPI targets and the per-brand slug-migration decisions against real data (R-5).</w:t>
      </w:r>
    </w:p>
    <w:p>
      <w:pPr>
        <w:pStyle w:val="ListParagraph"/>
        <w:numPr>
          <w:ilvl w:val="0"/>
          <w:numId w:val="2"/>
        </w:numPr>
        <w:spacing w:after="40" w:before="40" w:line="300"/>
      </w:pPr>
      <w:r>
        <w:rPr>
          <w:rFonts w:ascii="Calibri" w:cs="Calibri" w:eastAsia="Calibri" w:hAnsi="Calibri"/>
          <w:color w:val="1A1A1A"/>
          <w:sz w:val="22"/>
          <w:szCs w:val="22"/>
        </w:rPr>
        <w:t xml:space="preserve">Audit and remove all unverifiable social proof; confirm authenticity/sourcing wording (R-1, R-2).</w:t>
      </w:r>
    </w:p>
    <w:p>
      <w:pPr>
        <w:pStyle w:val="ListParagraph"/>
        <w:numPr>
          <w:ilvl w:val="0"/>
          <w:numId w:val="2"/>
        </w:numPr>
        <w:spacing w:after="40" w:before="40" w:line="300"/>
      </w:pPr>
      <w:r>
        <w:rPr>
          <w:rFonts w:ascii="Calibri" w:cs="Calibri" w:eastAsia="Calibri" w:hAnsi="Calibri"/>
          <w:color w:val="1A1A1A"/>
          <w:sz w:val="22"/>
          <w:szCs w:val="22"/>
        </w:rPr>
        <w:t xml:space="preserve">Confirm the quiz tool and that product data is clean enough to power accurate recommendations.</w:t>
      </w:r>
    </w:p>
    <w:p>
      <w:pPr>
        <w:pStyle w:val="Heading2"/>
        <w:spacing w:after="120" w:before="240"/>
      </w:pPr>
      <w:r>
        <w:rPr>
          <w:rFonts w:ascii="Calibri" w:cs="Calibri" w:eastAsia="Calibri" w:hAnsi="Calibri"/>
          <w:b/>
          <w:bCs/>
          <w:color w:val="1A2B3C"/>
          <w:sz w:val="28"/>
          <w:szCs w:val="28"/>
        </w:rPr>
        <w:t xml:space="preserve">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Version</w:t>
            </w:r>
          </w:p>
        </w:tc>
        <w:tc>
          <w:tcPr>
            <w:tcW w:type="dxa" w:w="180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Date</w:t>
            </w:r>
          </w:p>
        </w:tc>
        <w:tc>
          <w:tcPr>
            <w:tcW w:type="dxa" w:w="5960"/>
            <w:tcBorders>
              <w:top w:val="single" w:color="BFBFBF" w:sz="1"/>
              <w:left w:val="single" w:color="BFBFBF" w:sz="1"/>
              <w:bottom w:val="single" w:color="BFBFBF" w:sz="1"/>
              <w:right w:val="single" w:color="BFBFBF" w:sz="1"/>
            </w:tcBorders>
            <w:shd w:fill="1A2B3C" w:val="clear"/>
            <w:tcMar>
              <w:top w:type="dxa" w:w="100"/>
              <w:left w:type="dxa" w:w="140"/>
              <w:bottom w:type="dxa" w:w="100"/>
              <w:right w:type="dxa" w:w="140"/>
            </w:tcMar>
            <w:vAlign w:val="center"/>
          </w:tcPr>
          <w:p>
            <w:pPr>
              <w:spacing w:after="0" w:before="0" w:line="276"/>
            </w:pPr>
            <w:r>
              <w:rPr>
                <w:rFonts w:ascii="Calibri" w:cs="Calibri" w:eastAsia="Calibri" w:hAnsi="Calibri"/>
                <w:b/>
                <w:bCs/>
                <w:color w:val="FFFFFF"/>
                <w:sz w:val="20"/>
                <w:szCs w:val="20"/>
              </w:rPr>
              <w:t xml:space="preserve">Notes</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1.0</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June 2026</w:t>
            </w:r>
          </w:p>
        </w:tc>
        <w:tc>
          <w:tcPr>
            <w:tcW w:type="dxa" w:w="5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before="0" w:line="276"/>
            </w:pPr>
            <w:r>
              <w:rPr>
                <w:rFonts w:ascii="Calibri" w:cs="Calibri" w:eastAsia="Calibri" w:hAnsi="Calibri"/>
                <w:color w:val="1A1A1A"/>
                <w:sz w:val="20"/>
                <w:szCs w:val="20"/>
              </w:rPr>
              <w:t xml:space="preserve">Buy-led / brand-anchored build from the three foundation documents + live verification, reflecting the four locked client decisions (shop-first hero; ready-buyer intent spine; brand-led hierarchy with elevated own brands; launch-vs-phase-2 CMS split).</w:t>
            </w:r>
          </w:p>
        </w:tc>
      </w:tr>
    </w:tbl>
    <w:p>
      <w:pPr>
        <w:spacing w:after="0" w:before="400"/>
        <w:jc w:val="center"/>
      </w:pPr>
      <w:r>
        <w:rPr>
          <w:rFonts w:ascii="Calibri" w:cs="Calibri" w:eastAsia="Calibri" w:hAnsi="Calibri"/>
          <w:i/>
          <w:iCs/>
          <w:color w:val="555555"/>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THE FRAGRANCE SECRETS  ·  SITEMAP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A2B3C"/>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A2B3C"/>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Fragrance Secrets — Website Sitemap Strategy</dc:title>
  <dc:creator>Growthmak</dc:creator>
  <dc:description>Sitemap strategy &amp; architecture document</dc:description>
  <cp:lastModifiedBy>Un-named</cp:lastModifiedBy>
  <cp:revision>1</cp:revision>
  <dcterms:created xsi:type="dcterms:W3CDTF">2026-06-19T14:41:16.194Z</dcterms:created>
  <dcterms:modified xsi:type="dcterms:W3CDTF">2026-06-19T14:41:16.206Z</dcterms:modified>
</cp:coreProperties>
</file>

<file path=docProps/custom.xml><?xml version="1.0" encoding="utf-8"?>
<Properties xmlns="http://schemas.openxmlformats.org/officeDocument/2006/custom-properties" xmlns:vt="http://schemas.openxmlformats.org/officeDocument/2006/docPropsVTypes"/>
</file>