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line="560" w:lineRule="atLeast"/>
        <w:jc w:val="center"/>
      </w:pPr>
      <w:r>
        <w:rPr>
          <w:rFonts w:ascii="Tahoma" w:cs="Tahoma" w:eastAsia="Tahoma" w:hAnsi="Tahoma"/>
          <w:b/>
          <w:bCs/>
          <w:color w:val="000000"/>
          <w:sz w:val="40"/>
          <w:szCs w:val="40"/>
          <w:rtl/>
        </w:rPr>
        <w:t xml:space="preserve">قرارداد فروش و انتقال کامل پلتفرم اینترنتی «دادبان»</w:t>
      </w:r>
    </w:p>
    <w:p>
      <w:pPr>
        <w:bidi/>
        <w:spacing w:after="200" w:line="400" w:lineRule="atLeast"/>
        <w:jc w:val="center"/>
      </w:pPr>
      <w:r>
        <w:rPr>
          <w:rFonts w:ascii="Tahoma" w:cs="Tahoma" w:eastAsia="Tahoma" w:hAnsi="Tahoma"/>
          <w:b/>
          <w:bCs/>
          <w:color w:val="000000"/>
          <w:sz w:val="26"/>
          <w:szCs w:val="26"/>
          <w:rtl/>
        </w:rPr>
        <w:t xml:space="preserve">به‌همراه پیوست شماره ۱ — قرارداد خدمات سئو</w:t>
      </w:r>
    </w:p>
    <w:p>
      <w:pPr>
        <w:bidi/>
        <w:spacing w:after="240" w:line="320"/>
        <w:jc w:val="right"/>
      </w:pPr>
      <w:r>
        <w:rPr>
          <w:rFonts w:ascii="Tahoma" w:cs="Tahoma" w:eastAsia="Tahoma" w:hAnsi="Tahoma"/>
          <w:color w:val="000000"/>
          <w:sz w:val="21"/>
          <w:szCs w:val="21"/>
          <w:rtl/>
        </w:rPr>
        <w:t xml:space="preserve">شماره قرارداد: 【................】        تاریخ انعقاد: 【................】 ۱۴۰۴        محل انعقاد: 【................】</w:t>
      </w:r>
    </w:p>
    <w:p>
      <w:pPr>
        <w:bidi/>
        <w:spacing w:after="80" w:before="160" w:line="360"/>
      </w:pPr>
      <w:r>
        <w:rPr>
          <w:rFonts w:ascii="Tahoma" w:cs="Tahoma" w:eastAsia="Tahoma" w:hAnsi="Tahoma"/>
          <w:b/>
          <w:bCs/>
          <w:color w:val="000000"/>
          <w:sz w:val="24"/>
          <w:szCs w:val="24"/>
          <w:rtl/>
        </w:rPr>
        <w:t xml:space="preserve">فروشنده (منتقل‌کننده) — طرف اول:</w:t>
      </w:r>
    </w:p>
    <w:tbl>
      <w:tblPr>
        <w:bidiVisual/>
        <w:tblW w:type="pct" w:w="92%"/>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نام و نام خانوادگی:</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【نام و نام خانوادگی فروشنده】</w:t>
            </w:r>
          </w:p>
        </w:tc>
      </w:tr>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کد ملی:</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【کد ملی】</w:t>
            </w:r>
          </w:p>
        </w:tc>
      </w:tr>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شماره تماس:</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【شماره تماس】</w:t>
            </w:r>
          </w:p>
        </w:tc>
      </w:tr>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نشانی اقامتگاه:</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【نشانی کامل】</w:t>
            </w:r>
          </w:p>
        </w:tc>
      </w:tr>
    </w:tbl>
    <w:p>
      <w:pPr>
        <w:bidi/>
        <w:spacing w:after="80" w:before="160" w:line="360"/>
      </w:pPr>
      <w:r>
        <w:rPr>
          <w:rFonts w:ascii="Tahoma" w:cs="Tahoma" w:eastAsia="Tahoma" w:hAnsi="Tahoma"/>
          <w:b/>
          <w:bCs/>
          <w:color w:val="000000"/>
          <w:sz w:val="24"/>
          <w:szCs w:val="24"/>
          <w:rtl/>
        </w:rPr>
        <w:t xml:space="preserve">خریدار (انتقال‌گیرنده) — طرف دوم:</w:t>
      </w:r>
    </w:p>
    <w:tbl>
      <w:tblPr>
        <w:bidiVisual/>
        <w:tblW w:type="pct" w:w="92%"/>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نام و نام خانوادگی / نام شرکت:</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【نام خریدار】</w:t>
            </w:r>
          </w:p>
        </w:tc>
      </w:tr>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کد ملی / شناسه ملی:</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【کد ملی یا شناسه ملی】</w:t>
            </w:r>
          </w:p>
        </w:tc>
      </w:tr>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شماره تماس:</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【شماره تماس】</w:t>
            </w:r>
          </w:p>
        </w:tc>
      </w:tr>
      <w:tr>
        <w:trPr>
          <w:cantSplit/>
        </w:trPr>
        <w:tc>
          <w:tcPr>
            <w:tcW w:type="pct" w:w="32%"/>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نشانی اقامتگاه:</w:t>
            </w:r>
          </w:p>
        </w:tc>
        <w:tc>
          <w:tcPr>
            <w:tcW w:type="pct" w:w="68%"/>
            <w:tcBorders>
              <w:top w:val="none" w:color="FFFFFF" w:sz="0"/>
              <w:left w:val="none" w:color="FFFFFF" w:sz="0"/>
              <w:bottom w:val="none" w:color="FFFFFF" w:sz="0"/>
              <w:right w:val="none" w:color="FFFFFF" w:sz="0"/>
            </w:tcBorders>
            <w:tcMar>
              <w:top w:type="dxa" w:w="30"/>
              <w:left w:type="dxa" w:w="60"/>
              <w:bottom w:type="dxa" w:w="30"/>
              <w:right w:type="dxa" w:w="60"/>
            </w:tcMar>
          </w:tcPr>
          <w:p>
            <w:pPr>
              <w:bidi/>
              <w:spacing w:line="320"/>
            </w:pPr>
            <w:r>
              <w:rPr>
                <w:rFonts w:ascii="Tahoma" w:cs="Tahoma" w:eastAsia="Tahoma" w:hAnsi="Tahoma"/>
                <w:color w:val="000000"/>
                <w:sz w:val="24"/>
                <w:szCs w:val="24"/>
                <w:rtl/>
              </w:rPr>
              <w:t xml:space="preserve">【نشانی کامل】</w:t>
            </w:r>
          </w:p>
        </w:tc>
      </w:tr>
    </w:tbl>
    <w:p>
      <w:pPr>
        <w:bidi/>
        <w:spacing w:after="120" w:before="240" w:line="360"/>
        <w:jc w:val="both"/>
      </w:pPr>
      <w:r>
        <w:rPr>
          <w:rFonts w:ascii="Tahoma" w:cs="Tahoma" w:eastAsia="Tahoma" w:hAnsi="Tahoma"/>
          <w:color w:val="000000"/>
          <w:sz w:val="24"/>
          <w:szCs w:val="24"/>
          <w:rtl/>
        </w:rPr>
        <w:t xml:space="preserve">مقدمه: فروشنده مالک پلتفرم اینترنتی «دادبان» (شامل وب‌سایت، نرم‌افزار، محتوا و مدل کسب‌وکار مرتبط) است و خریدار مایل به خرید کامل آن است. طرفین با توجه به اظهارات یکدیگر و با اراده آزاد و آگاهانه، این قرارداد را مطابق مقررات قانون مدنی و قانون تجارت ایران منعقد نمودند و پذیرفتند که این قرارداد از تاریخ امضا برای آنان لازم‌الاتباع است.</w:t>
      </w:r>
    </w:p>
    <w:p>
      <w:pPr>
        <w:pStyle w:val="Heading1"/>
        <w:bidi/>
        <w:spacing w:after="140" w:before="280" w:line="360"/>
      </w:pPr>
      <w:r>
        <w:rPr>
          <w:rFonts w:ascii="Tahoma" w:cs="Tahoma" w:eastAsia="Tahoma" w:hAnsi="Tahoma"/>
          <w:b/>
          <w:bCs/>
          <w:color w:val="000000"/>
          <w:sz w:val="26"/>
          <w:szCs w:val="26"/>
          <w:rtl/>
        </w:rPr>
        <w:t xml:space="preserve">ماده ۱ — موضوع قرارداد</w:t>
      </w:r>
    </w:p>
    <w:p>
      <w:pPr>
        <w:bidi/>
        <w:spacing w:after="80" w:line="360"/>
        <w:jc w:val="both"/>
      </w:pPr>
      <w:r>
        <w:rPr>
          <w:rFonts w:ascii="Tahoma" w:cs="Tahoma" w:eastAsia="Tahoma" w:hAnsi="Tahoma"/>
          <w:color w:val="000000"/>
          <w:sz w:val="24"/>
          <w:szCs w:val="24"/>
          <w:rtl/>
        </w:rPr>
        <w:t xml:space="preserve">موضوع این قرارداد، فروش مطلق و انتقال کامل و بی‌قیدوشرط پلتفرم «دادبان» از فروشنده به خریدار است که مشتمل بر موارد زیر می‌باشد:</w:t>
      </w:r>
    </w:p>
    <w:p>
      <w:pPr>
        <w:bidi/>
        <w:spacing w:after="60" w:line="360"/>
        <w:ind w:right="340"/>
        <w:jc w:val="both"/>
      </w:pPr>
      <w:r>
        <w:rPr>
          <w:rFonts w:ascii="Tahoma" w:cs="Tahoma" w:eastAsia="Tahoma" w:hAnsi="Tahoma"/>
          <w:color w:val="000000"/>
          <w:sz w:val="24"/>
          <w:szCs w:val="24"/>
          <w:rtl/>
        </w:rPr>
        <w:t xml:space="preserve">۱-۱) سورس‌کد کامل وب‌سایت شامل بخش‌های کاربری، مدیریتی و پایگاه داده؛</w:t>
      </w:r>
    </w:p>
    <w:p>
      <w:pPr>
        <w:bidi/>
        <w:spacing w:after="60" w:line="360"/>
        <w:ind w:right="340"/>
        <w:jc w:val="both"/>
      </w:pPr>
      <w:r>
        <w:rPr>
          <w:rFonts w:ascii="Tahoma" w:cs="Tahoma" w:eastAsia="Tahoma" w:hAnsi="Tahoma"/>
          <w:color w:val="000000"/>
          <w:sz w:val="24"/>
          <w:szCs w:val="24"/>
          <w:rtl/>
        </w:rPr>
        <w:t xml:space="preserve">۱-۲) طراحی رابط و تجربه کاربری (UI/UX) و کلیه فایل‌های گرافیکی؛</w:t>
      </w:r>
    </w:p>
    <w:p>
      <w:pPr>
        <w:bidi/>
        <w:spacing w:after="60" w:line="360"/>
        <w:ind w:right="340"/>
        <w:jc w:val="both"/>
      </w:pPr>
      <w:r>
        <w:rPr>
          <w:rFonts w:ascii="Tahoma" w:cs="Tahoma" w:eastAsia="Tahoma" w:hAnsi="Tahoma"/>
          <w:color w:val="000000"/>
          <w:sz w:val="24"/>
          <w:szCs w:val="24"/>
          <w:rtl/>
        </w:rPr>
        <w:t xml:space="preserve">۱-۳) کلیه محتوای موجود در سایت شامل مقالات، متون حقوقی، داده‌ها، ابزارها و فرم‌ها؛</w:t>
      </w:r>
    </w:p>
    <w:p>
      <w:pPr>
        <w:bidi/>
        <w:spacing w:after="60" w:line="360"/>
        <w:ind w:right="340"/>
        <w:jc w:val="both"/>
      </w:pPr>
      <w:r>
        <w:rPr>
          <w:rFonts w:ascii="Tahoma" w:cs="Tahoma" w:eastAsia="Tahoma" w:hAnsi="Tahoma"/>
          <w:color w:val="000000"/>
          <w:sz w:val="24"/>
          <w:szCs w:val="24"/>
          <w:rtl/>
        </w:rPr>
        <w:t xml:space="preserve">۱-۴) برند و نام تجاری «دادبان» و دامنه اینترنتی سایت؛</w:t>
      </w:r>
    </w:p>
    <w:p>
      <w:pPr>
        <w:bidi/>
        <w:spacing w:after="60" w:line="360"/>
        <w:ind w:right="340"/>
        <w:jc w:val="both"/>
      </w:pPr>
      <w:r>
        <w:rPr>
          <w:rFonts w:ascii="Tahoma" w:cs="Tahoma" w:eastAsia="Tahoma" w:hAnsi="Tahoma"/>
          <w:color w:val="000000"/>
          <w:sz w:val="24"/>
          <w:szCs w:val="24"/>
          <w:rtl/>
        </w:rPr>
        <w:t xml:space="preserve">۱-۵) ایده، مدل کسب‌وکار و دانش فنی مرتبط با پلتفرم؛</w:t>
      </w:r>
    </w:p>
    <w:p>
      <w:pPr>
        <w:bidi/>
        <w:spacing w:after="60" w:line="360"/>
        <w:ind w:right="340"/>
        <w:jc w:val="both"/>
      </w:pPr>
      <w:r>
        <w:rPr>
          <w:rFonts w:ascii="Tahoma" w:cs="Tahoma" w:eastAsia="Tahoma" w:hAnsi="Tahoma"/>
          <w:color w:val="000000"/>
          <w:sz w:val="24"/>
          <w:szCs w:val="24"/>
          <w:rtl/>
        </w:rPr>
        <w:t xml:space="preserve">۱-۶) حساب‌ها و دسترسی‌های مرتبط (میزبانی، مخزن کد، سرویس‌های جانبی) مطابق ماده ۵.</w:t>
      </w:r>
    </w:p>
    <w:p>
      <w:pPr>
        <w:pStyle w:val="Heading1"/>
        <w:bidi/>
        <w:spacing w:after="140" w:before="280" w:line="360"/>
      </w:pPr>
      <w:r>
        <w:rPr>
          <w:rFonts w:ascii="Tahoma" w:cs="Tahoma" w:eastAsia="Tahoma" w:hAnsi="Tahoma"/>
          <w:b/>
          <w:bCs/>
          <w:color w:val="000000"/>
          <w:sz w:val="26"/>
          <w:szCs w:val="26"/>
          <w:rtl/>
        </w:rPr>
        <w:t xml:space="preserve">ماده ۲ — مبلغ قرارداد و نحوه پرداخت</w:t>
      </w:r>
    </w:p>
    <w:p>
      <w:pPr>
        <w:bidi/>
        <w:spacing w:after="80" w:line="360"/>
        <w:jc w:val="both"/>
      </w:pPr>
      <w:r>
        <w:rPr>
          <w:rFonts w:ascii="Tahoma" w:cs="Tahoma" w:eastAsia="Tahoma" w:hAnsi="Tahoma"/>
          <w:color w:val="000000"/>
          <w:sz w:val="24"/>
          <w:szCs w:val="24"/>
          <w:rtl/>
        </w:rPr>
        <w:t xml:space="preserve">مبلغ کل این قرارداد بالغ بر «دویست میلیون تومان» به‌صورت حروف و معادل مبلغ «۲۰۰٬۰۰۰٬۰۰۰ تومان» به‌صورت عدد است که به شرح جدول زیر پرداخت می‌شود:</w:t>
      </w:r>
    </w:p>
    <w:tbl>
      <w:tblPr>
        <w:bidiVisual/>
        <w:tblW w:type="pct" w:w="100%"/>
        <w:tblBorders>
          <w:top w:val="single" w:color="666666" w:sz="6"/>
          <w:left w:val="single" w:color="666666" w:sz="6"/>
          <w:bottom w:val="single" w:color="666666" w:sz="6"/>
          <w:right w:val="single" w:color="666666" w:sz="6"/>
          <w:insideH w:val="single" w:color="666666" w:sz="6"/>
          <w:insideV w:val="single" w:color="666666" w:sz="6"/>
        </w:tblBorders>
      </w:tblPr>
      <w:tblGrid>
        <w:gridCol w:w="100"/>
        <w:gridCol w:w="100"/>
        <w:gridCol w:w="100"/>
      </w:tblGrid>
      <w:tr>
        <w:trPr>
          <w:cantSplit/>
          <w:tblHeader/>
        </w:trPr>
        <w:tc>
          <w:tcPr>
            <w:tcBorders>
              <w:top w:val="none" w:color="FFFFFF" w:sz="0"/>
              <w:left w:val="none" w:color="FFFFFF" w:sz="0"/>
              <w:bottom w:val="none" w:color="FFFFFF" w:sz="0"/>
              <w:right w:val="none" w:color="FFFFFF" w:sz="0"/>
            </w:tcBorders>
            <w:shd w:fill="EFE9E2" w:val="clear"/>
            <w:tcMar>
              <w:top w:type="dxa" w:w="60"/>
              <w:left w:type="dxa" w:w="100"/>
              <w:bottom w:type="dxa" w:w="60"/>
              <w:right w:type="dxa" w:w="100"/>
            </w:tcMar>
            <w:vAlign w:val="center"/>
          </w:tcPr>
          <w:p>
            <w:pPr>
              <w:bidi/>
              <w:spacing w:line="300"/>
              <w:jc w:val="center"/>
            </w:pPr>
            <w:r>
              <w:rPr>
                <w:rFonts w:ascii="Tahoma" w:cs="Tahoma" w:eastAsia="Tahoma" w:hAnsi="Tahoma"/>
                <w:b/>
                <w:bCs/>
                <w:color w:val="000000"/>
                <w:sz w:val="24"/>
                <w:szCs w:val="24"/>
                <w:rtl/>
              </w:rPr>
              <w:t xml:space="preserve">قسط</w:t>
            </w:r>
          </w:p>
        </w:tc>
        <w:tc>
          <w:tcPr>
            <w:tcBorders>
              <w:top w:val="none" w:color="FFFFFF" w:sz="0"/>
              <w:left w:val="none" w:color="FFFFFF" w:sz="0"/>
              <w:bottom w:val="none" w:color="FFFFFF" w:sz="0"/>
              <w:right w:val="none" w:color="FFFFFF" w:sz="0"/>
            </w:tcBorders>
            <w:shd w:fill="EFE9E2" w:val="clear"/>
            <w:tcMar>
              <w:top w:type="dxa" w:w="60"/>
              <w:left w:type="dxa" w:w="100"/>
              <w:bottom w:type="dxa" w:w="60"/>
              <w:right w:type="dxa" w:w="100"/>
            </w:tcMar>
            <w:vAlign w:val="center"/>
          </w:tcPr>
          <w:p>
            <w:pPr>
              <w:bidi/>
              <w:spacing w:line="300"/>
              <w:jc w:val="center"/>
            </w:pPr>
            <w:r>
              <w:rPr>
                <w:rFonts w:ascii="Tahoma" w:cs="Tahoma" w:eastAsia="Tahoma" w:hAnsi="Tahoma"/>
                <w:b/>
                <w:bCs/>
                <w:color w:val="000000"/>
                <w:sz w:val="24"/>
                <w:szCs w:val="24"/>
                <w:rtl/>
              </w:rPr>
              <w:t xml:space="preserve">مبلغ</w:t>
            </w:r>
          </w:p>
        </w:tc>
        <w:tc>
          <w:tcPr>
            <w:tcBorders>
              <w:top w:val="none" w:color="FFFFFF" w:sz="0"/>
              <w:left w:val="none" w:color="FFFFFF" w:sz="0"/>
              <w:bottom w:val="none" w:color="FFFFFF" w:sz="0"/>
              <w:right w:val="none" w:color="FFFFFF" w:sz="0"/>
            </w:tcBorders>
            <w:shd w:fill="EFE9E2" w:val="clear"/>
            <w:tcMar>
              <w:top w:type="dxa" w:w="60"/>
              <w:left w:type="dxa" w:w="100"/>
              <w:bottom w:type="dxa" w:w="60"/>
              <w:right w:type="dxa" w:w="100"/>
            </w:tcMar>
            <w:vAlign w:val="center"/>
          </w:tcPr>
          <w:p>
            <w:pPr>
              <w:bidi/>
              <w:spacing w:line="300"/>
              <w:jc w:val="center"/>
            </w:pPr>
            <w:r>
              <w:rPr>
                <w:rFonts w:ascii="Tahoma" w:cs="Tahoma" w:eastAsia="Tahoma" w:hAnsi="Tahoma"/>
                <w:b/>
                <w:bCs/>
                <w:color w:val="000000"/>
                <w:sz w:val="24"/>
                <w:szCs w:val="24"/>
                <w:rtl/>
              </w:rPr>
              <w:t xml:space="preserve">زمان پرداخت</w:t>
            </w:r>
          </w:p>
        </w:tc>
      </w:tr>
      <w:tr>
        <w:trPr>
          <w:cantSplit/>
        </w:trPr>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۱ — پیش‌پرداخت</w:t>
            </w:r>
          </w:p>
        </w:tc>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۱۰۰٬۰۰۰٬۰۰۰ تومان</w:t>
            </w:r>
          </w:p>
        </w:tc>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همزمان با امضای این قرارداد</w:t>
            </w:r>
          </w:p>
        </w:tc>
      </w:tr>
      <w:tr>
        <w:trPr>
          <w:cantSplit/>
        </w:trPr>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۲</w:t>
            </w:r>
          </w:p>
        </w:tc>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۵۰٬۰۰۰٬۰۰۰ تومان</w:t>
            </w:r>
          </w:p>
        </w:tc>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حداکثر ۵ روز کاری پس از انجام کامل ویرایش‌های درخواستی (ماده ۳) و تأیید کتبی خریدار</w:t>
            </w:r>
          </w:p>
        </w:tc>
      </w:tr>
      <w:tr>
        <w:trPr>
          <w:cantSplit/>
        </w:trPr>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۳</w:t>
            </w:r>
          </w:p>
        </w:tc>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۵۰٬۰۰۰٬۰۰۰ تومان</w:t>
            </w:r>
          </w:p>
        </w:tc>
        <w:tc>
          <w:tcPr>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bidi/>
              <w:spacing w:line="300"/>
              <w:jc w:val="center"/>
            </w:pPr>
            <w:r>
              <w:rPr>
                <w:rFonts w:ascii="Tahoma" w:cs="Tahoma" w:eastAsia="Tahoma" w:hAnsi="Tahoma"/>
                <w:b w:val="false"/>
                <w:bCs w:val="false"/>
                <w:color w:val="000000"/>
                <w:sz w:val="24"/>
                <w:szCs w:val="24"/>
                <w:rtl/>
              </w:rPr>
              <w:t xml:space="preserve">حداکثر ۵ روز کاری پس از تأیید استقرار سایت روی هاست خریدار (ماده ۴)</w:t>
            </w:r>
          </w:p>
        </w:tc>
      </w:tr>
    </w:tbl>
    <w:p>
      <w:pPr>
        <w:bidi/>
        <w:spacing w:after="80" w:line="360"/>
        <w:jc w:val="both"/>
      </w:pPr>
      <w:r>
        <w:rPr>
          <w:rFonts w:ascii="Tahoma" w:cs="Tahoma" w:eastAsia="Tahoma" w:hAnsi="Tahoma"/>
          <w:color w:val="000000"/>
          <w:sz w:val="24"/>
          <w:szCs w:val="24"/>
          <w:rtl/>
        </w:rPr>
        <w:t xml:space="preserve">پرداخت‌ها به حساب بانکی یا کارت بانکی به نام فروشنده انجام می‌شود و رسید بانکی سند پرداخت محسوب می‌گردد. تحقق هر یک از شروط پرداخت اقساط دوم و سوم باید به‌صورت کتبی (پیامک، ایمیل یا پلتفرم پیام‌رسان) توسط خریدار تأیید شود و امتناع خریدار از تأیید بدون ذکر ایراد مشخص و مستند ظرف مهلت مقرر، به‌منزله تأیید خواهد بود.</w:t>
      </w:r>
    </w:p>
    <w:p>
      <w:pPr>
        <w:pStyle w:val="Heading1"/>
        <w:bidi/>
        <w:spacing w:after="140" w:before="280" w:line="360"/>
      </w:pPr>
      <w:r>
        <w:rPr>
          <w:rFonts w:ascii="Tahoma" w:cs="Tahoma" w:eastAsia="Tahoma" w:hAnsi="Tahoma"/>
          <w:b/>
          <w:bCs/>
          <w:color w:val="000000"/>
          <w:sz w:val="26"/>
          <w:szCs w:val="26"/>
          <w:rtl/>
        </w:rPr>
        <w:t xml:space="preserve">ماده ۳ — ویرایش‌های درخواستی (شرط پرداخت قسط دوم)</w:t>
      </w:r>
    </w:p>
    <w:p>
      <w:pPr>
        <w:bidi/>
        <w:spacing w:after="60" w:line="360"/>
        <w:ind w:right="340"/>
        <w:jc w:val="both"/>
      </w:pPr>
      <w:r>
        <w:rPr>
          <w:rFonts w:ascii="Tahoma" w:cs="Tahoma" w:eastAsia="Tahoma" w:hAnsi="Tahoma"/>
          <w:color w:val="000000"/>
          <w:sz w:val="24"/>
          <w:szCs w:val="24"/>
          <w:rtl/>
        </w:rPr>
        <w:t xml:space="preserve">۳-۱) خریدار حداکثر تا ۷ روز پس از امضای این قرارداد، فهرست ویرایش‌های موردنظر خود را به‌صورت کتبی به فروشنده اعلام می‌کند.</w:t>
      </w:r>
    </w:p>
    <w:p>
      <w:pPr>
        <w:bidi/>
        <w:spacing w:after="60" w:line="360"/>
        <w:ind w:right="340"/>
        <w:jc w:val="both"/>
      </w:pPr>
      <w:r>
        <w:rPr>
          <w:rFonts w:ascii="Tahoma" w:cs="Tahoma" w:eastAsia="Tahoma" w:hAnsi="Tahoma"/>
          <w:color w:val="000000"/>
          <w:sz w:val="24"/>
          <w:szCs w:val="24"/>
          <w:rtl/>
        </w:rPr>
        <w:t xml:space="preserve">۳-۲) فروشنده حداکثر ظرف ۱۴ روز از تاریخ دریافت فهرست، ویرایش‌های مذکور را انجام و برای بررسی خریدار ارائه می‌نماید.</w:t>
      </w:r>
    </w:p>
    <w:p>
      <w:pPr>
        <w:bidi/>
        <w:spacing w:after="60" w:line="360"/>
        <w:ind w:right="340"/>
        <w:jc w:val="both"/>
      </w:pPr>
      <w:r>
        <w:rPr>
          <w:rFonts w:ascii="Tahoma" w:cs="Tahoma" w:eastAsia="Tahoma" w:hAnsi="Tahoma"/>
          <w:color w:val="000000"/>
          <w:sz w:val="24"/>
          <w:szCs w:val="24"/>
          <w:rtl/>
        </w:rPr>
        <w:t xml:space="preserve">۳-۳) ویرایش‌های موضوع این ماده محدود به اصلاح و تغییر موارد و امکانات موجود در پلتفرم است؛ افزودن قابلیت، بخش یا سرویس کاملاً جدید مشمول این ماده نبوده و مستلزم توافق کتبی جداگانه و تعیین هزینه مستقل می‌باشد.</w:t>
      </w:r>
    </w:p>
    <w:p>
      <w:pPr>
        <w:bidi/>
        <w:spacing w:after="60" w:line="360"/>
        <w:ind w:right="340"/>
        <w:jc w:val="both"/>
      </w:pPr>
      <w:r>
        <w:rPr>
          <w:rFonts w:ascii="Tahoma" w:cs="Tahoma" w:eastAsia="Tahoma" w:hAnsi="Tahoma"/>
          <w:color w:val="000000"/>
          <w:sz w:val="24"/>
          <w:szCs w:val="24"/>
          <w:rtl/>
        </w:rPr>
        <w:t xml:space="preserve">۳-۴) خریدار حق دارد حداکثر دو نوبت بازبینی جزئی درخواست نماید و فروشنده ظرف ۵ روز کاری نسبت به هر نوبت اقدام می‌کند.</w:t>
      </w:r>
    </w:p>
    <w:p>
      <w:pPr>
        <w:pStyle w:val="Heading1"/>
        <w:bidi/>
        <w:spacing w:after="140" w:before="280" w:line="360"/>
      </w:pPr>
      <w:r>
        <w:rPr>
          <w:rFonts w:ascii="Tahoma" w:cs="Tahoma" w:eastAsia="Tahoma" w:hAnsi="Tahoma"/>
          <w:b/>
          <w:bCs/>
          <w:color w:val="000000"/>
          <w:sz w:val="26"/>
          <w:szCs w:val="26"/>
          <w:rtl/>
        </w:rPr>
        <w:t xml:space="preserve">ماده ۴ — انتقال و استقرار روی هاست خریدار (شرط پرداخت قسط سوم)</w:t>
      </w:r>
    </w:p>
    <w:p>
      <w:pPr>
        <w:bidi/>
        <w:spacing w:after="60" w:line="360"/>
        <w:ind w:right="340"/>
        <w:jc w:val="both"/>
      </w:pPr>
      <w:r>
        <w:rPr>
          <w:rFonts w:ascii="Tahoma" w:cs="Tahoma" w:eastAsia="Tahoma" w:hAnsi="Tahoma"/>
          <w:color w:val="000000"/>
          <w:sz w:val="24"/>
          <w:szCs w:val="24"/>
          <w:rtl/>
        </w:rPr>
        <w:t xml:space="preserve">۴-۱) خریدار حداکثر تا ۱۰ روز پس از امضای قرارداد، هاست (یا سرور)، دامنه و سایر دسترسی‌های لازم را فراهم و در اختیار فروشنده قرار می‌دهد.</w:t>
      </w:r>
    </w:p>
    <w:p>
      <w:pPr>
        <w:bidi/>
        <w:spacing w:after="60" w:line="360"/>
        <w:ind w:right="340"/>
        <w:jc w:val="both"/>
      </w:pPr>
      <w:r>
        <w:rPr>
          <w:rFonts w:ascii="Tahoma" w:cs="Tahoma" w:eastAsia="Tahoma" w:hAnsi="Tahoma"/>
          <w:color w:val="000000"/>
          <w:sz w:val="24"/>
          <w:szCs w:val="24"/>
          <w:rtl/>
        </w:rPr>
        <w:t xml:space="preserve">۴-۲) فروشنده حداکثر ظرف ۱۰ روز کاری از تاریخ دریافت کامل دسترسی‌ها، سایت را روی هاست خریدار منتقل و فعال می‌سازد.</w:t>
      </w:r>
    </w:p>
    <w:p>
      <w:pPr>
        <w:bidi/>
        <w:spacing w:after="60" w:line="360"/>
        <w:ind w:right="340"/>
        <w:jc w:val="both"/>
      </w:pPr>
      <w:r>
        <w:rPr>
          <w:rFonts w:ascii="Tahoma" w:cs="Tahoma" w:eastAsia="Tahoma" w:hAnsi="Tahoma"/>
          <w:color w:val="000000"/>
          <w:sz w:val="24"/>
          <w:szCs w:val="24"/>
          <w:rtl/>
        </w:rPr>
        <w:t xml:space="preserve">۴-۳) «استقرار موفق» عبارت است از: بهره‌برداری سایت روی دامنه خریدار و صحت عملکرد بخش‌های اصلی شامل ثبت‌نام و ورود، ثبت پرونده، پنل موکل، پنل وکیل، پنل مدیریت، ابزارهای هوش مصنوعی و فرم‌های حقوقی.</w:t>
      </w:r>
    </w:p>
    <w:p>
      <w:pPr>
        <w:bidi/>
        <w:spacing w:after="60" w:line="360"/>
        <w:ind w:right="340"/>
        <w:jc w:val="both"/>
      </w:pPr>
      <w:r>
        <w:rPr>
          <w:rFonts w:ascii="Tahoma" w:cs="Tahoma" w:eastAsia="Tahoma" w:hAnsi="Tahoma"/>
          <w:color w:val="000000"/>
          <w:sz w:val="24"/>
          <w:szCs w:val="24"/>
          <w:rtl/>
        </w:rPr>
        <w:t xml:space="preserve">۴-۴) خریدار ظرف ۷ روز پس از اعلام استقرار، فرصت آزمایش دارد و ایرادات اساسی را کتباً اعلام می‌کند؛ فروشنده ظرف ۷ روز نسبت به رفع آن‌ها اقدام می‌نماید.</w:t>
      </w:r>
    </w:p>
    <w:p>
      <w:pPr>
        <w:bidi/>
        <w:spacing w:after="60" w:line="360"/>
        <w:ind w:right="340"/>
        <w:jc w:val="both"/>
      </w:pPr>
      <w:r>
        <w:rPr>
          <w:rFonts w:ascii="Tahoma" w:cs="Tahoma" w:eastAsia="Tahoma" w:hAnsi="Tahoma"/>
          <w:color w:val="000000"/>
          <w:sz w:val="24"/>
          <w:szCs w:val="24"/>
          <w:rtl/>
        </w:rPr>
        <w:t xml:space="preserve">۴-۵) چنانچه خریدار بدون عذر موجه ظرف مهلت مقرر در بند ۴-۱ دسترسی‌ها را فراهم نکند، تعهدات فروشنده معلق شده و کلیه مهلت‌ها به همان میزان به عقب منتقل می‌گردد؛ تأخیر خریدار موجب استرداد مبالغ پرداختی یا ایجاد حق فسخ برای فروشنده نخواهد بود.</w:t>
      </w:r>
    </w:p>
    <w:p>
      <w:pPr>
        <w:pStyle w:val="Heading1"/>
        <w:bidi/>
        <w:spacing w:after="140" w:before="280" w:line="360"/>
      </w:pPr>
      <w:r>
        <w:rPr>
          <w:rFonts w:ascii="Tahoma" w:cs="Tahoma" w:eastAsia="Tahoma" w:hAnsi="Tahoma"/>
          <w:b/>
          <w:bCs/>
          <w:color w:val="000000"/>
          <w:sz w:val="26"/>
          <w:szCs w:val="26"/>
          <w:rtl/>
        </w:rPr>
        <w:t xml:space="preserve">ماده ۵ — اسناد و دسترسی‌های تحویلی</w:t>
      </w:r>
    </w:p>
    <w:p>
      <w:pPr>
        <w:bidi/>
        <w:spacing w:after="80" w:line="360"/>
        <w:jc w:val="both"/>
      </w:pPr>
      <w:r>
        <w:rPr>
          <w:rFonts w:ascii="Tahoma" w:cs="Tahoma" w:eastAsia="Tahoma" w:hAnsi="Tahoma"/>
          <w:color w:val="000000"/>
          <w:sz w:val="24"/>
          <w:szCs w:val="24"/>
          <w:rtl/>
        </w:rPr>
        <w:t xml:space="preserve">فروشنده مکلف است همزمان با پرداخت قسط سوم، موارد زیر را تحویل خریدار نماید: سورس‌کد کامل و به‌روز، نسخه پشتیبان کامل و اخیر پایگاه داده، مستندات نصب و استقرار، فهرست کامل حساب‌ها و دسترسی‌ها و مدارک انتقال دامنه. تحویل هر مورد با امضای «رسید تحویل» کتبی توسط طرفین مستند می‌شود.</w:t>
      </w:r>
    </w:p>
    <w:p>
      <w:pPr>
        <w:pStyle w:val="Heading1"/>
        <w:bidi/>
        <w:spacing w:after="140" w:before="280" w:line="360"/>
      </w:pPr>
      <w:r>
        <w:rPr>
          <w:rFonts w:ascii="Tahoma" w:cs="Tahoma" w:eastAsia="Tahoma" w:hAnsi="Tahoma"/>
          <w:b/>
          <w:bCs/>
          <w:color w:val="000000"/>
          <w:sz w:val="26"/>
          <w:szCs w:val="26"/>
          <w:rtl/>
        </w:rPr>
        <w:t xml:space="preserve">ماده ۶ — مالکیت فکری</w:t>
      </w:r>
    </w:p>
    <w:p>
      <w:pPr>
        <w:bidi/>
        <w:spacing w:after="60" w:line="360"/>
        <w:ind w:right="340"/>
        <w:jc w:val="both"/>
      </w:pPr>
      <w:r>
        <w:rPr>
          <w:rFonts w:ascii="Tahoma" w:cs="Tahoma" w:eastAsia="Tahoma" w:hAnsi="Tahoma"/>
          <w:color w:val="000000"/>
          <w:sz w:val="24"/>
          <w:szCs w:val="24"/>
          <w:rtl/>
        </w:rPr>
        <w:t xml:space="preserve">۶-۱) با پرداخت کامل مبلغ قرارداد، تمامی مالکیت معنوی و مادی پلتفرم موضوع ماده ۱ به خریدار منتقل می‌شود.</w:t>
      </w:r>
    </w:p>
    <w:p>
      <w:pPr>
        <w:bidi/>
        <w:spacing w:after="60" w:line="360"/>
        <w:ind w:right="340"/>
        <w:jc w:val="both"/>
      </w:pPr>
      <w:r>
        <w:rPr>
          <w:rFonts w:ascii="Tahoma" w:cs="Tahoma" w:eastAsia="Tahoma" w:hAnsi="Tahoma"/>
          <w:color w:val="000000"/>
          <w:sz w:val="24"/>
          <w:szCs w:val="24"/>
          <w:rtl/>
        </w:rPr>
        <w:t xml:space="preserve">۶-۲) تا پیش از پرداخت کامل مبلغ، مالکیت نزد فروشنده باقی است و خریدار حق فروش، واگذاری یا انتقال به غیر را ندارد.</w:t>
      </w:r>
    </w:p>
    <w:p>
      <w:pPr>
        <w:bidi/>
        <w:spacing w:after="60" w:line="360"/>
        <w:ind w:right="340"/>
        <w:jc w:val="both"/>
      </w:pPr>
      <w:r>
        <w:rPr>
          <w:rFonts w:ascii="Tahoma" w:cs="Tahoma" w:eastAsia="Tahoma" w:hAnsi="Tahoma"/>
          <w:color w:val="000000"/>
          <w:sz w:val="24"/>
          <w:szCs w:val="24"/>
          <w:rtl/>
        </w:rPr>
        <w:t xml:space="preserve">۶-۳) فروشنده پس از تحویل کامل موضوع ماده ۵، حق هرگونه استفاده مجدد از نام تجاری، کد، محتوا یا ایده پلتفرم را ندارد.</w:t>
      </w:r>
    </w:p>
    <w:p>
      <w:pPr>
        <w:pStyle w:val="Heading1"/>
        <w:bidi/>
        <w:spacing w:after="140" w:before="280" w:line="360"/>
      </w:pPr>
      <w:r>
        <w:rPr>
          <w:rFonts w:ascii="Tahoma" w:cs="Tahoma" w:eastAsia="Tahoma" w:hAnsi="Tahoma"/>
          <w:b/>
          <w:bCs/>
          <w:color w:val="000000"/>
          <w:sz w:val="26"/>
          <w:szCs w:val="26"/>
          <w:rtl/>
        </w:rPr>
        <w:t xml:space="preserve">ماده ۷ — تضمین‌های فروشنده و خدمات اشخاص ثالث</w:t>
      </w:r>
    </w:p>
    <w:p>
      <w:pPr>
        <w:bidi/>
        <w:spacing w:after="60" w:line="360"/>
        <w:ind w:right="340"/>
        <w:jc w:val="both"/>
      </w:pPr>
      <w:r>
        <w:rPr>
          <w:rFonts w:ascii="Tahoma" w:cs="Tahoma" w:eastAsia="Tahoma" w:hAnsi="Tahoma"/>
          <w:color w:val="000000"/>
          <w:sz w:val="24"/>
          <w:szCs w:val="24"/>
          <w:rtl/>
        </w:rPr>
        <w:t xml:space="preserve">۷-۱) فروشنده اعلام و تضمین می‌کند که مالک انحصاری پلتفرم است، آن را به شخص دیگری واگذار نکرده و موضوع وثیقه یا رهن حق‌الناس نمی‌باشد.</w:t>
      </w:r>
    </w:p>
    <w:p>
      <w:pPr>
        <w:bidi/>
        <w:spacing w:after="60" w:line="360"/>
        <w:ind w:right="340"/>
        <w:jc w:val="both"/>
      </w:pPr>
      <w:r>
        <w:rPr>
          <w:rFonts w:ascii="Tahoma" w:cs="Tahoma" w:eastAsia="Tahoma" w:hAnsi="Tahoma"/>
          <w:color w:val="000000"/>
          <w:sz w:val="24"/>
          <w:szCs w:val="24"/>
          <w:rtl/>
        </w:rPr>
        <w:t xml:space="preserve">۷-۲) پلتفرم «به همان وضعیت نمایش‌داده‌شده به خریدار» تحویل می‌شود و تعهد فروشنده صرفاً رفع ایرادات اساسی عملکردی موضوع بند ۴-۳ است.</w:t>
      </w:r>
    </w:p>
    <w:p>
      <w:pPr>
        <w:bidi/>
        <w:spacing w:after="60" w:line="360"/>
        <w:ind w:right="340"/>
        <w:jc w:val="both"/>
      </w:pPr>
      <w:r>
        <w:rPr>
          <w:rFonts w:ascii="Tahoma" w:cs="Tahoma" w:eastAsia="Tahoma" w:hAnsi="Tahoma"/>
          <w:color w:val="000000"/>
          <w:sz w:val="24"/>
          <w:szCs w:val="24"/>
          <w:rtl/>
        </w:rPr>
        <w:t xml:space="preserve">۷-۳) هزینه و مدیریت خدمات اشخاص ثالث (سرور و میزبانی، دامنه، سرویس‌های هوش مصنوعی، درگاه پرداخت و ابزارهای پولی) از تاریخ تحویل موضوع ماده ۵ بر عهده خریدار و با اکانت به نام او خواهد بود و مسئولیت تمدید و حفظ آن‌ها با خریدار است.</w:t>
      </w:r>
    </w:p>
    <w:p>
      <w:pPr>
        <w:pStyle w:val="Heading1"/>
        <w:bidi/>
        <w:spacing w:after="140" w:before="280" w:line="360"/>
      </w:pPr>
      <w:r>
        <w:rPr>
          <w:rFonts w:ascii="Tahoma" w:cs="Tahoma" w:eastAsia="Tahoma" w:hAnsi="Tahoma"/>
          <w:b/>
          <w:bCs/>
          <w:color w:val="000000"/>
          <w:sz w:val="26"/>
          <w:szCs w:val="26"/>
          <w:rtl/>
        </w:rPr>
        <w:t xml:space="preserve">ماده ۸ — نقض تعهدات و فسخ قرارداد</w:t>
      </w:r>
    </w:p>
    <w:p>
      <w:pPr>
        <w:bidi/>
        <w:spacing w:after="60" w:line="360"/>
        <w:ind w:right="340"/>
        <w:jc w:val="both"/>
      </w:pPr>
      <w:r>
        <w:rPr>
          <w:rFonts w:ascii="Tahoma" w:cs="Tahoma" w:eastAsia="Tahoma" w:hAnsi="Tahoma"/>
          <w:color w:val="000000"/>
          <w:sz w:val="24"/>
          <w:szCs w:val="24"/>
          <w:rtl/>
        </w:rPr>
        <w:t xml:space="preserve">۸-۱) چنانچه خریدار در پرداخت هر یک از اقساط بیش از ۱۵ روز تأخیر نماید، فروشنده حق فسخ قرارداد را دارد؛ در این صورت مبلغ پیش‌پرداخت (۱۰۰٬۰۰۰٬۰۰۰ تومان) به‌عنوان وجه خسارت نزد فروشنده باقی می‌ماند و خریدار مکلف است تمامی نسخه‌ها و دسترسی‌های دریافتی را مسترد و در صورت انتقال، لغو آن را هماهنگ نماید.</w:t>
      </w:r>
    </w:p>
    <w:p>
      <w:pPr>
        <w:bidi/>
        <w:spacing w:after="60" w:line="360"/>
        <w:ind w:right="340"/>
        <w:jc w:val="both"/>
      </w:pPr>
      <w:r>
        <w:rPr>
          <w:rFonts w:ascii="Tahoma" w:cs="Tahoma" w:eastAsia="Tahoma" w:hAnsi="Tahoma"/>
          <w:color w:val="000000"/>
          <w:sz w:val="24"/>
          <w:szCs w:val="24"/>
          <w:rtl/>
        </w:rPr>
        <w:t xml:space="preserve">۸-۲) چنانچه فروشنده تعهدات مواد ۳ یا ۴ را انجام ندهد یا ایراد اساسی اعلام‌شده را ظرف ۱۴ روز رفع نکند، خریدار حق فسخ قرارداد و استرداد کامل مبالغ پرداختی ظرف ۱۰ روز را دارد.</w:t>
      </w:r>
    </w:p>
    <w:p>
      <w:pPr>
        <w:bidi/>
        <w:spacing w:after="60" w:line="360"/>
        <w:ind w:right="340"/>
        <w:jc w:val="both"/>
      </w:pPr>
      <w:r>
        <w:rPr>
          <w:rFonts w:ascii="Tahoma" w:cs="Tahoma" w:eastAsia="Tahoma" w:hAnsi="Tahoma"/>
          <w:color w:val="000000"/>
          <w:sz w:val="24"/>
          <w:szCs w:val="24"/>
          <w:rtl/>
        </w:rPr>
        <w:t xml:space="preserve">۸-۳) فسخ قرارداد باید به‌صورت کتبی اعلام شود و طرفین مکلف به اجرای تکالیف پس از فسخ ظرف مهلت‌های مذکور هستند.</w:t>
      </w:r>
    </w:p>
    <w:p>
      <w:pPr>
        <w:pStyle w:val="Heading1"/>
        <w:bidi/>
        <w:spacing w:after="140" w:before="280" w:line="360"/>
      </w:pPr>
      <w:r>
        <w:rPr>
          <w:rFonts w:ascii="Tahoma" w:cs="Tahoma" w:eastAsia="Tahoma" w:hAnsi="Tahoma"/>
          <w:b/>
          <w:bCs/>
          <w:color w:val="000000"/>
          <w:sz w:val="26"/>
          <w:szCs w:val="26"/>
          <w:rtl/>
        </w:rPr>
        <w:t xml:space="preserve">ماده ۹ — داده کاربران و محرمانگی</w:t>
      </w:r>
    </w:p>
    <w:p>
      <w:pPr>
        <w:bidi/>
        <w:spacing w:after="60" w:line="360"/>
        <w:ind w:right="340"/>
        <w:jc w:val="both"/>
      </w:pPr>
      <w:r>
        <w:rPr>
          <w:rFonts w:ascii="Tahoma" w:cs="Tahoma" w:eastAsia="Tahoma" w:hAnsi="Tahoma"/>
          <w:color w:val="000000"/>
          <w:sz w:val="24"/>
          <w:szCs w:val="24"/>
          <w:rtl/>
        </w:rPr>
        <w:t xml:space="preserve">۹-۱) کل پایگاه داده شامل داده کاربران، موضوع تحویل ماده ۵ است و از تاریخ تحویل، مسئولیت حفظ، نگهداری و انطباق آن با مقررات جاری بر عهده خریدار است.</w:t>
      </w:r>
    </w:p>
    <w:p>
      <w:pPr>
        <w:bidi/>
        <w:spacing w:after="60" w:line="360"/>
        <w:ind w:right="340"/>
        <w:jc w:val="both"/>
      </w:pPr>
      <w:r>
        <w:rPr>
          <w:rFonts w:ascii="Tahoma" w:cs="Tahoma" w:eastAsia="Tahoma" w:hAnsi="Tahoma"/>
          <w:color w:val="000000"/>
          <w:sz w:val="24"/>
          <w:szCs w:val="24"/>
          <w:rtl/>
        </w:rPr>
        <w:t xml:space="preserve">۹-۲) فروشنده تعهد می‌کند پس از تحویل، هیچ نسخه‌ای از داده کاربران نزد خود حفظ نکند.</w:t>
      </w:r>
    </w:p>
    <w:p>
      <w:pPr>
        <w:bidi/>
        <w:spacing w:after="60" w:line="360"/>
        <w:ind w:right="340"/>
        <w:jc w:val="both"/>
      </w:pPr>
      <w:r>
        <w:rPr>
          <w:rFonts w:ascii="Tahoma" w:cs="Tahoma" w:eastAsia="Tahoma" w:hAnsi="Tahoma"/>
          <w:color w:val="000000"/>
          <w:sz w:val="24"/>
          <w:szCs w:val="24"/>
          <w:rtl/>
        </w:rPr>
        <w:t xml:space="preserve">۹-۳) طرفین متعهد می‌شوند مبلغ قرارداد، شرایط معامله و اطلاعات تجاری محرمانه یکدیگر را نزد اشخاص ثالث افشا نکنند؛ این تعهد تا ۲ سال پس از خاتمه قرارداد معتبر است.</w:t>
      </w:r>
    </w:p>
    <w:p>
      <w:pPr>
        <w:pStyle w:val="Heading1"/>
        <w:bidi/>
        <w:spacing w:after="140" w:before="280" w:line="360"/>
      </w:pPr>
      <w:r>
        <w:rPr>
          <w:rFonts w:ascii="Tahoma" w:cs="Tahoma" w:eastAsia="Tahoma" w:hAnsi="Tahoma"/>
          <w:b/>
          <w:bCs/>
          <w:color w:val="000000"/>
          <w:sz w:val="26"/>
          <w:szCs w:val="26"/>
          <w:rtl/>
        </w:rPr>
        <w:t xml:space="preserve">ماده ۱۰ — مالیات و عوارض</w:t>
      </w:r>
    </w:p>
    <w:p>
      <w:pPr>
        <w:bidi/>
        <w:spacing w:after="80" w:line="360"/>
        <w:jc w:val="both"/>
      </w:pPr>
      <w:r>
        <w:rPr>
          <w:rFonts w:ascii="Tahoma" w:cs="Tahoma" w:eastAsia="Tahoma" w:hAnsi="Tahoma"/>
          <w:color w:val="000000"/>
          <w:sz w:val="24"/>
          <w:szCs w:val="24"/>
          <w:rtl/>
        </w:rPr>
        <w:t xml:space="preserve">کلیه مالیات‌ها و عوارض قانونی متعلقه به هر یک از طرفین بابت این معامله، بر عهده همان طرف است. در صورت نیاز خریدار به صورت‌حساب یا فاکتور رسمی، نحوه صدور و هزینه‌های آن با توافق کتبی جداگانه مشخص می‌شود.</w:t>
      </w:r>
    </w:p>
    <w:p>
      <w:pPr>
        <w:pStyle w:val="Heading1"/>
        <w:bidi/>
        <w:spacing w:after="140" w:before="280" w:line="360"/>
      </w:pPr>
      <w:r>
        <w:rPr>
          <w:rFonts w:ascii="Tahoma" w:cs="Tahoma" w:eastAsia="Tahoma" w:hAnsi="Tahoma"/>
          <w:b/>
          <w:bCs/>
          <w:color w:val="000000"/>
          <w:sz w:val="26"/>
          <w:szCs w:val="26"/>
          <w:rtl/>
        </w:rPr>
        <w:t xml:space="preserve">ماده ۱۱ — قوه قهریه</w:t>
      </w:r>
    </w:p>
    <w:p>
      <w:pPr>
        <w:bidi/>
        <w:spacing w:after="80" w:line="360"/>
        <w:jc w:val="both"/>
      </w:pPr>
      <w:r>
        <w:rPr>
          <w:rFonts w:ascii="Tahoma" w:cs="Tahoma" w:eastAsia="Tahoma" w:hAnsi="Tahoma"/>
          <w:color w:val="000000"/>
          <w:sz w:val="24"/>
          <w:szCs w:val="24"/>
          <w:rtl/>
        </w:rPr>
        <w:t xml:space="preserve">در صورت وقوع حوادث قهری خارج از اراده طرفین (مانند بلایای طبیعی، اختلال گسترده شبکه ارتباطی یا تصمیمات حاکمیتی) که مانع اجرای تمام یا بخشی از تعهدات شود، طرف متضرر مکلف است حداکثر ظرف ۵ روز کاری طرف دیگر را کتباً مطلع کند؛ در این صورت مهلت‌های اجرای تعهدات مربوط به همان میزان تمدید می‌شود و مسئولیتی بر عهده طرف متأثر نخواهد بود.</w:t>
      </w:r>
    </w:p>
    <w:p>
      <w:pPr>
        <w:pStyle w:val="Heading1"/>
        <w:bidi/>
        <w:spacing w:after="140" w:before="280" w:line="360"/>
      </w:pPr>
      <w:r>
        <w:rPr>
          <w:rFonts w:ascii="Tahoma" w:cs="Tahoma" w:eastAsia="Tahoma" w:hAnsi="Tahoma"/>
          <w:b/>
          <w:bCs/>
          <w:color w:val="000000"/>
          <w:sz w:val="26"/>
          <w:szCs w:val="26"/>
          <w:rtl/>
        </w:rPr>
        <w:t xml:space="preserve">ماده ۱۲ — ابلاعیات و نشانی‌های قانونی</w:t>
      </w:r>
    </w:p>
    <w:p>
      <w:pPr>
        <w:bidi/>
        <w:spacing w:after="80" w:line="360"/>
        <w:jc w:val="both"/>
      </w:pPr>
      <w:r>
        <w:rPr>
          <w:rFonts w:ascii="Tahoma" w:cs="Tahoma" w:eastAsia="Tahoma" w:hAnsi="Tahoma"/>
          <w:color w:val="000000"/>
          <w:sz w:val="24"/>
          <w:szCs w:val="24"/>
          <w:rtl/>
        </w:rPr>
        <w:t xml:space="preserve">نشانی‌ها و شماره تماس‌های درج‌شده در این قرارداد، اقامتگاه قانونی طرفین محسوب می‌شود و ارسال ابلاغ کتبی به نشانی مذکور یا شماره پیام‌رسان/ایمیل اعلامی طرفین، ابلاغ صحیح تلقی می‌گردد. تغییر نشانی باید ظرف ۵ روز کتباً اعلام شود؛ در غیر این صورت ابلاغ به نشانی قبلی معتبر است.</w:t>
      </w:r>
    </w:p>
    <w:p>
      <w:pPr>
        <w:pStyle w:val="Heading1"/>
        <w:bidi/>
        <w:spacing w:after="140" w:before="280" w:line="360"/>
      </w:pPr>
      <w:r>
        <w:rPr>
          <w:rFonts w:ascii="Tahoma" w:cs="Tahoma" w:eastAsia="Tahoma" w:hAnsi="Tahoma"/>
          <w:b/>
          <w:bCs/>
          <w:color w:val="000000"/>
          <w:sz w:val="26"/>
          <w:szCs w:val="26"/>
          <w:rtl/>
        </w:rPr>
        <w:t xml:space="preserve">ماده ۱۳ — حل اختلاف</w:t>
      </w:r>
    </w:p>
    <w:p>
      <w:pPr>
        <w:bidi/>
        <w:spacing w:after="80" w:line="360"/>
        <w:jc w:val="both"/>
      </w:pPr>
      <w:r>
        <w:rPr>
          <w:rFonts w:ascii="Tahoma" w:cs="Tahoma" w:eastAsia="Tahoma" w:hAnsi="Tahoma"/>
          <w:color w:val="000000"/>
          <w:sz w:val="24"/>
          <w:szCs w:val="24"/>
          <w:rtl/>
        </w:rPr>
        <w:t xml:space="preserve">هرگونه اختلاف ناشی از تفسیر یا اجرای این قرارداد و پیوست آن، ابتدا از طریق مذاکره دوستانه ظرف ۱۵ روز حل‌وفصل می‌شود و در صورت عدم حصول توافق، مرجع صالح رسیدگی، دادگاه‌های شهرستان محل اقامت فروشنده خواهد بود.</w:t>
      </w:r>
    </w:p>
    <w:p>
      <w:pPr>
        <w:pStyle w:val="Heading1"/>
        <w:bidi/>
        <w:spacing w:after="140" w:before="280" w:line="360"/>
      </w:pPr>
      <w:r>
        <w:rPr>
          <w:rFonts w:ascii="Tahoma" w:cs="Tahoma" w:eastAsia="Tahoma" w:hAnsi="Tahoma"/>
          <w:b/>
          <w:bCs/>
          <w:color w:val="000000"/>
          <w:sz w:val="26"/>
          <w:szCs w:val="26"/>
          <w:rtl/>
        </w:rPr>
        <w:t xml:space="preserve">ماده ۱۴ — نسخ قرارداد و اعتبار</w:t>
      </w:r>
    </w:p>
    <w:p>
      <w:pPr>
        <w:bidi/>
        <w:spacing w:after="80" w:line="360"/>
        <w:jc w:val="both"/>
      </w:pPr>
      <w:r>
        <w:rPr>
          <w:rFonts w:ascii="Tahoma" w:cs="Tahoma" w:eastAsia="Tahoma" w:hAnsi="Tahoma"/>
          <w:color w:val="000000"/>
          <w:sz w:val="24"/>
          <w:szCs w:val="24"/>
          <w:rtl/>
        </w:rPr>
        <w:t xml:space="preserve">این قرارداد در «۱۴ ماده و ۱ پیوست» تنظیم شده، در دو نسخه واحدالاعتبار نگاشته و پس از قرائت کامل و تأیید طرفین در تاریخ سرصفحه امضا گردید. پیوست شماره ۱ جزء لاینفک این قرارداد است.</w:t>
      </w:r>
    </w:p>
    <w:p>
      <w:pPr>
        <w:bidi/>
        <w:spacing w:after="120" w:before="300" w:line="360"/>
      </w:pPr>
      <w:r>
        <w:rPr>
          <w:rFonts w:ascii="Tahoma" w:cs="Tahoma" w:eastAsia="Tahoma" w:hAnsi="Tahoma"/>
          <w:b/>
          <w:bCs/>
          <w:color w:val="000000"/>
          <w:sz w:val="26"/>
          <w:szCs w:val="26"/>
          <w:rtl/>
        </w:rPr>
        <w:t xml:space="preserve">امضای طرفین</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نام و نام خانوادگی: 【................................】</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نام و نام خانوادگی: 【................................】</w:t>
            </w:r>
          </w:p>
        </w:tc>
      </w:tr>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سمت: فروشنده (منتقل‌کننده)</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سمت: خریدار (انتقال‌گیرنده)</w:t>
            </w:r>
          </w:p>
        </w:tc>
      </w:tr>
      <w:tr>
        <w:trPr>
          <w:cantSplit/>
        </w:trPr>
        <w:tc>
          <w:tcPr>
            <w:tcW w:type="pct" w:w="50%"/>
            <w:tcBorders>
              <w:top w:val="none" w:color="FFFFFF" w:sz="0"/>
              <w:left w:val="none" w:color="FFFFFF" w:sz="0"/>
              <w:bottom w:val="none" w:color="FFFFFF" w:sz="0"/>
              <w:right w:val="none" w:color="FFFFFF" w:sz="0"/>
            </w:tcBorders>
            <w:tcMar>
              <w:top w:type="dxa" w:w="400"/>
              <w:left w:type="dxa" w:w="100"/>
              <w:bottom w:type="dxa" w:w="70"/>
              <w:right w:type="dxa" w:w="100"/>
            </w:tcMar>
          </w:tcPr>
          <w:p>
            <w:pPr>
              <w:bidi/>
              <w:spacing w:line="320"/>
            </w:pPr>
            <w:r>
              <w:rPr>
                <w:rFonts w:ascii="Tahoma" w:cs="Tahoma" w:eastAsia="Tahoma" w:hAnsi="Tahoma"/>
                <w:color w:val="000000"/>
                <w:sz w:val="24"/>
                <w:szCs w:val="24"/>
                <w:rtl/>
              </w:rPr>
              <w:t xml:space="preserve">امضا و اثر انگشت:</w:t>
            </w:r>
          </w:p>
        </w:tc>
        <w:tc>
          <w:tcPr>
            <w:tcW w:type="pct" w:w="50%"/>
            <w:tcBorders>
              <w:top w:val="none" w:color="FFFFFF" w:sz="0"/>
              <w:left w:val="none" w:color="FFFFFF" w:sz="0"/>
              <w:bottom w:val="none" w:color="FFFFFF" w:sz="0"/>
              <w:right w:val="none" w:color="FFFFFF" w:sz="0"/>
            </w:tcBorders>
            <w:tcMar>
              <w:top w:type="dxa" w:w="400"/>
              <w:left w:type="dxa" w:w="100"/>
              <w:bottom w:type="dxa" w:w="70"/>
              <w:right w:type="dxa" w:w="100"/>
            </w:tcMar>
          </w:tcPr>
          <w:p>
            <w:pPr>
              <w:bidi/>
              <w:spacing w:line="320"/>
            </w:pPr>
            <w:r>
              <w:rPr>
                <w:rFonts w:ascii="Tahoma" w:cs="Tahoma" w:eastAsia="Tahoma" w:hAnsi="Tahoma"/>
                <w:color w:val="000000"/>
                <w:sz w:val="24"/>
                <w:szCs w:val="24"/>
                <w:rtl/>
              </w:rPr>
              <w:t xml:space="preserve">امضا و اثر انگشت:</w:t>
            </w:r>
          </w:p>
        </w:tc>
      </w:tr>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کد ملی: 【..............................】</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کد ملی: 【..............................】</w:t>
            </w:r>
          </w:p>
        </w:tc>
      </w:tr>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تاریخ امضا: 【....../....../۱۴۰۴】</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تاریخ امضا: 【....../....../۱۴۰۴】</w:t>
            </w:r>
          </w:p>
        </w:tc>
      </w:tr>
    </w:tbl>
    <w:p>
      <w:pPr>
        <w:pageBreakBefore/>
        <w:bidi/>
        <w:spacing w:after="200" w:line="480" w:lineRule="atLeast"/>
        <w:jc w:val="center"/>
      </w:pPr>
      <w:r>
        <w:rPr>
          <w:rFonts w:ascii="Tahoma" w:cs="Tahoma" w:eastAsia="Tahoma" w:hAnsi="Tahoma"/>
          <w:b/>
          <w:bCs/>
          <w:color w:val="000000"/>
          <w:sz w:val="32"/>
          <w:szCs w:val="32"/>
          <w:rtl/>
        </w:rPr>
        <w:t xml:space="preserve">پیوست شماره ۱ — قرارداد خدمات سئو</w:t>
      </w:r>
    </w:p>
    <w:p>
      <w:pPr>
        <w:bidi/>
        <w:spacing w:after="80" w:line="360"/>
        <w:jc w:val="both"/>
      </w:pPr>
      <w:r>
        <w:rPr>
          <w:rFonts w:ascii="Tahoma" w:cs="Tahoma" w:eastAsia="Tahoma" w:hAnsi="Tahoma"/>
          <w:color w:val="000000"/>
          <w:sz w:val="24"/>
          <w:szCs w:val="24"/>
          <w:rtl/>
        </w:rPr>
        <w:t xml:space="preserve">این پیوست جزء لاینفک قرارداد فروش و انتقال پلتفرم «دادبان» است و مفاد مواد ۹ (محرمانگی)، ۱۲ (ابلاعیات) و ۱۳ (حل اختلاف) قرارداد اصلی بر آن حاکم است.</w:t>
      </w:r>
    </w:p>
    <w:p>
      <w:pPr>
        <w:pStyle w:val="Heading1"/>
        <w:bidi/>
        <w:spacing w:after="140" w:before="280" w:line="360"/>
      </w:pPr>
      <w:r>
        <w:rPr>
          <w:rFonts w:ascii="Tahoma" w:cs="Tahoma" w:eastAsia="Tahoma" w:hAnsi="Tahoma"/>
          <w:b/>
          <w:bCs/>
          <w:color w:val="000000"/>
          <w:sz w:val="26"/>
          <w:szCs w:val="26"/>
          <w:rtl/>
        </w:rPr>
        <w:t xml:space="preserve">ماده ۱ — موضوع و مدت</w:t>
      </w:r>
    </w:p>
    <w:p>
      <w:pPr>
        <w:bidi/>
        <w:spacing w:after="80" w:line="360"/>
        <w:jc w:val="both"/>
      </w:pPr>
      <w:r>
        <w:rPr>
          <w:rFonts w:ascii="Tahoma" w:cs="Tahoma" w:eastAsia="Tahoma" w:hAnsi="Tahoma"/>
          <w:color w:val="000000"/>
          <w:sz w:val="24"/>
          <w:szCs w:val="24"/>
          <w:rtl/>
        </w:rPr>
        <w:t xml:space="preserve">فروشنده متعهد است برای مدت 【......】 ماه (پیشنهاد: ۳ ماه، قابل تمدید با توافق کتبی) از تاریخ امضای قرارداد اصلی، خدمات بهینه‌سازی موتور جستجو (SEO) پلتفرم را مطابق این پیوست انجام دهد.</w:t>
      </w:r>
    </w:p>
    <w:p>
      <w:pPr>
        <w:pStyle w:val="Heading1"/>
        <w:bidi/>
        <w:spacing w:after="140" w:before="280" w:line="360"/>
      </w:pPr>
      <w:r>
        <w:rPr>
          <w:rFonts w:ascii="Tahoma" w:cs="Tahoma" w:eastAsia="Tahoma" w:hAnsi="Tahoma"/>
          <w:b/>
          <w:bCs/>
          <w:color w:val="000000"/>
          <w:sz w:val="26"/>
          <w:szCs w:val="26"/>
          <w:rtl/>
        </w:rPr>
        <w:t xml:space="preserve">ماده ۲ — دستمزد و نحوه پرداخت</w:t>
      </w:r>
    </w:p>
    <w:p>
      <w:pPr>
        <w:bidi/>
        <w:spacing w:after="80" w:line="360"/>
        <w:jc w:val="both"/>
      </w:pPr>
      <w:r>
        <w:rPr>
          <w:rFonts w:ascii="Tahoma" w:cs="Tahoma" w:eastAsia="Tahoma" w:hAnsi="Tahoma"/>
          <w:color w:val="000000"/>
          <w:sz w:val="24"/>
          <w:szCs w:val="24"/>
          <w:rtl/>
        </w:rPr>
        <w:t xml:space="preserve">دستمزد این خدمات ماهانه «پنجاه میلیون تومان» حروفی و معادل «۵۰٬۰۰۰٬۰۰۰ تومان» عددی است که در ابتدای هر ماه و حداکثر تا ۵ روز کاری، به حساب فروشنده پرداخت می‌شود.</w:t>
      </w:r>
    </w:p>
    <w:p>
      <w:pPr>
        <w:pStyle w:val="Heading1"/>
        <w:bidi/>
        <w:spacing w:after="140" w:before="280" w:line="360"/>
      </w:pPr>
      <w:r>
        <w:rPr>
          <w:rFonts w:ascii="Tahoma" w:cs="Tahoma" w:eastAsia="Tahoma" w:hAnsi="Tahoma"/>
          <w:b/>
          <w:bCs/>
          <w:color w:val="000000"/>
          <w:sz w:val="26"/>
          <w:szCs w:val="26"/>
          <w:rtl/>
        </w:rPr>
        <w:t xml:space="preserve">ماده ۳ — تعهدات ماهانه فروشنده</w:t>
      </w:r>
    </w:p>
    <w:p>
      <w:pPr>
        <w:bidi/>
        <w:spacing w:after="60" w:line="360"/>
        <w:ind w:right="340"/>
        <w:jc w:val="both"/>
      </w:pPr>
      <w:r>
        <w:rPr>
          <w:rFonts w:ascii="Tahoma" w:cs="Tahoma" w:eastAsia="Tahoma" w:hAnsi="Tahoma"/>
          <w:color w:val="000000"/>
          <w:sz w:val="24"/>
          <w:szCs w:val="24"/>
          <w:rtl/>
        </w:rPr>
        <w:t xml:space="preserve">۳-۱) بررسی فنی سایت و رفع خطاهای سئو تکنیکال شامل سرعت بارگذاری، ساختار نشانی‌ها، داده ساخت‌یافته (اسکیما)، سازگاری موبایل و ایندکس‌پذیری؛</w:t>
      </w:r>
    </w:p>
    <w:p>
      <w:pPr>
        <w:bidi/>
        <w:spacing w:after="60" w:line="360"/>
        <w:ind w:right="340"/>
        <w:jc w:val="both"/>
      </w:pPr>
      <w:r>
        <w:rPr>
          <w:rFonts w:ascii="Tahoma" w:cs="Tahoma" w:eastAsia="Tahoma" w:hAnsi="Tahoma"/>
          <w:color w:val="000000"/>
          <w:sz w:val="24"/>
          <w:szCs w:val="24"/>
          <w:rtl/>
        </w:rPr>
        <w:t xml:space="preserve">۳-۲) تحقیق کلمات کلیدی مرتبط با کسب‌وکار و تدوین برنامه محتوایی ماهانه؛</w:t>
      </w:r>
    </w:p>
    <w:p>
      <w:pPr>
        <w:bidi/>
        <w:spacing w:after="60" w:line="360"/>
        <w:ind w:right="340"/>
        <w:jc w:val="both"/>
      </w:pPr>
      <w:r>
        <w:rPr>
          <w:rFonts w:ascii="Tahoma" w:cs="Tahoma" w:eastAsia="Tahoma" w:hAnsi="Tahoma"/>
          <w:color w:val="000000"/>
          <w:sz w:val="24"/>
          <w:szCs w:val="24"/>
          <w:rtl/>
        </w:rPr>
        <w:t xml:space="preserve">۳-۳) بهینه‌سازی صفحات موجود و تولید یا بهینه‌سازی حداقل ۴ محتوای تازه در هر ماه با تأیید خریدار؛</w:t>
      </w:r>
    </w:p>
    <w:p>
      <w:pPr>
        <w:bidi/>
        <w:spacing w:after="60" w:line="360"/>
        <w:ind w:right="340"/>
        <w:jc w:val="both"/>
      </w:pPr>
      <w:r>
        <w:rPr>
          <w:rFonts w:ascii="Tahoma" w:cs="Tahoma" w:eastAsia="Tahoma" w:hAnsi="Tahoma"/>
          <w:color w:val="000000"/>
          <w:sz w:val="24"/>
          <w:szCs w:val="24"/>
          <w:rtl/>
        </w:rPr>
        <w:t xml:space="preserve">۳-۴) لینک‌سازی داخلی و بهبود معماری اطلاعات سایت؛</w:t>
      </w:r>
    </w:p>
    <w:p>
      <w:pPr>
        <w:bidi/>
        <w:spacing w:after="60" w:line="360"/>
        <w:ind w:right="340"/>
        <w:jc w:val="both"/>
      </w:pPr>
      <w:r>
        <w:rPr>
          <w:rFonts w:ascii="Tahoma" w:cs="Tahoma" w:eastAsia="Tahoma" w:hAnsi="Tahoma"/>
          <w:color w:val="000000"/>
          <w:sz w:val="24"/>
          <w:szCs w:val="24"/>
          <w:rtl/>
        </w:rPr>
        <w:t xml:space="preserve">۳-۵) ارائه گزارش کتبی ماهانه شامل عملکرد (کلیک، نمایش و میانگین رتبه بر اساس Search Console)، شرح اقدامات انجام‌شده و برنامه ماه بعد.</w:t>
      </w:r>
    </w:p>
    <w:p>
      <w:pPr>
        <w:pStyle w:val="Heading1"/>
        <w:bidi/>
        <w:spacing w:after="140" w:before="280" w:line="360"/>
      </w:pPr>
      <w:r>
        <w:rPr>
          <w:rFonts w:ascii="Tahoma" w:cs="Tahoma" w:eastAsia="Tahoma" w:hAnsi="Tahoma"/>
          <w:b/>
          <w:bCs/>
          <w:color w:val="000000"/>
          <w:sz w:val="26"/>
          <w:szCs w:val="26"/>
          <w:rtl/>
        </w:rPr>
        <w:t xml:space="preserve">ماده ۴ — تعهدات خریدار</w:t>
      </w:r>
    </w:p>
    <w:p>
      <w:pPr>
        <w:bidi/>
        <w:spacing w:after="60" w:line="360"/>
        <w:ind w:right="340"/>
        <w:jc w:val="both"/>
      </w:pPr>
      <w:r>
        <w:rPr>
          <w:rFonts w:ascii="Tahoma" w:cs="Tahoma" w:eastAsia="Tahoma" w:hAnsi="Tahoma"/>
          <w:color w:val="000000"/>
          <w:sz w:val="24"/>
          <w:szCs w:val="24"/>
          <w:rtl/>
        </w:rPr>
        <w:t xml:space="preserve">۴-۱) فراهم‌کردن دسترسی‌های لازم شامل Search Console، هاست و پنل مدیریت سایت؛</w:t>
      </w:r>
    </w:p>
    <w:p>
      <w:pPr>
        <w:bidi/>
        <w:spacing w:after="60" w:line="360"/>
        <w:ind w:right="340"/>
        <w:jc w:val="both"/>
      </w:pPr>
      <w:r>
        <w:rPr>
          <w:rFonts w:ascii="Tahoma" w:cs="Tahoma" w:eastAsia="Tahoma" w:hAnsi="Tahoma"/>
          <w:color w:val="000000"/>
          <w:sz w:val="24"/>
          <w:szCs w:val="24"/>
          <w:rtl/>
        </w:rPr>
        <w:t xml:space="preserve">۴-۲) اعلام نظر درباره محتوای پیشنهادی حداکثر ظرف ۵ روز کاری؛</w:t>
      </w:r>
    </w:p>
    <w:p>
      <w:pPr>
        <w:bidi/>
        <w:spacing w:after="60" w:line="360"/>
        <w:ind w:right="340"/>
        <w:jc w:val="both"/>
      </w:pPr>
      <w:r>
        <w:rPr>
          <w:rFonts w:ascii="Tahoma" w:cs="Tahoma" w:eastAsia="Tahoma" w:hAnsi="Tahoma"/>
          <w:color w:val="000000"/>
          <w:sz w:val="24"/>
          <w:szCs w:val="24"/>
          <w:rtl/>
        </w:rPr>
        <w:t xml:space="preserve">۴-۳) پرداخت به‌موقع دستمزد ماهانه.</w:t>
      </w:r>
    </w:p>
    <w:p>
      <w:pPr>
        <w:pStyle w:val="Heading1"/>
        <w:bidi/>
        <w:spacing w:after="140" w:before="280" w:line="360"/>
      </w:pPr>
      <w:r>
        <w:rPr>
          <w:rFonts w:ascii="Tahoma" w:cs="Tahoma" w:eastAsia="Tahoma" w:hAnsi="Tahoma"/>
          <w:b/>
          <w:bCs/>
          <w:color w:val="000000"/>
          <w:sz w:val="26"/>
          <w:szCs w:val="26"/>
          <w:rtl/>
        </w:rPr>
        <w:t xml:space="preserve">ماده ۵ — شفاف‌سازی نتایج</w:t>
      </w:r>
    </w:p>
    <w:p>
      <w:pPr>
        <w:bidi/>
        <w:spacing w:after="60" w:line="360"/>
        <w:ind w:right="340"/>
        <w:jc w:val="both"/>
      </w:pPr>
      <w:r>
        <w:rPr>
          <w:rFonts w:ascii="Tahoma" w:cs="Tahoma" w:eastAsia="Tahoma" w:hAnsi="Tahoma"/>
          <w:color w:val="000000"/>
          <w:sz w:val="24"/>
          <w:szCs w:val="24"/>
          <w:rtl/>
        </w:rPr>
        <w:t xml:space="preserve">۵-۱) فروشنده متعهد است مطابق اصول حرفه‌ای و عرف صنعت سئو عمل کند و عملکرد هر ماه را به‌صورت شفاف گزارش دهد.</w:t>
      </w:r>
    </w:p>
    <w:p>
      <w:pPr>
        <w:bidi/>
        <w:spacing w:after="60" w:line="360"/>
        <w:ind w:right="340"/>
        <w:jc w:val="both"/>
      </w:pPr>
      <w:r>
        <w:rPr>
          <w:rFonts w:ascii="Tahoma" w:cs="Tahoma" w:eastAsia="Tahoma" w:hAnsi="Tahoma"/>
          <w:color w:val="000000"/>
          <w:sz w:val="24"/>
          <w:szCs w:val="24"/>
          <w:rtl/>
        </w:rPr>
        <w:t xml:space="preserve">۵-۲) رتبه‌های موتور جستجو به عوامل متعدد خارج از کنترل طرفین وابسته است و هیچ تضمین قطعی برای رتبه خاصی وجود ندارد؛ با این حال چنانچه شاخص‌های جستجو (کلیک یا نمایش) در پایان ماه نسبت به مبدأ قرارداد افت محسوس و مستمر داشته باشد، طرفین در جلسه‌ای درباره اصلاح استراتژی توافق می‌کنند.</w:t>
      </w:r>
    </w:p>
    <w:p>
      <w:pPr>
        <w:bidi/>
        <w:spacing w:after="60" w:line="360"/>
        <w:ind w:right="340"/>
        <w:jc w:val="both"/>
      </w:pPr>
      <w:r>
        <w:rPr>
          <w:rFonts w:ascii="Tahoma" w:cs="Tahoma" w:eastAsia="Tahoma" w:hAnsi="Tahoma"/>
          <w:color w:val="000000"/>
          <w:sz w:val="24"/>
          <w:szCs w:val="24"/>
          <w:rtl/>
        </w:rPr>
        <w:t xml:space="preserve">۵-۳) هزینه ابزارها یا تبلیغات پولی در صورت نیاز، جداگانه و منوط به موافقت قبلی کتبی خریدار است.</w:t>
      </w:r>
    </w:p>
    <w:p>
      <w:pPr>
        <w:pStyle w:val="Heading1"/>
        <w:bidi/>
        <w:spacing w:after="140" w:before="280" w:line="360"/>
      </w:pPr>
      <w:r>
        <w:rPr>
          <w:rFonts w:ascii="Tahoma" w:cs="Tahoma" w:eastAsia="Tahoma" w:hAnsi="Tahoma"/>
          <w:b/>
          <w:bCs/>
          <w:color w:val="000000"/>
          <w:sz w:val="26"/>
          <w:szCs w:val="26"/>
          <w:rtl/>
        </w:rPr>
        <w:t xml:space="preserve">ماده ۶ — فسخ و مالکیت محتوا</w:t>
      </w:r>
    </w:p>
    <w:p>
      <w:pPr>
        <w:bidi/>
        <w:spacing w:after="60" w:line="360"/>
        <w:ind w:right="340"/>
        <w:jc w:val="both"/>
      </w:pPr>
      <w:r>
        <w:rPr>
          <w:rFonts w:ascii="Tahoma" w:cs="Tahoma" w:eastAsia="Tahoma" w:hAnsi="Tahoma"/>
          <w:color w:val="000000"/>
          <w:sz w:val="24"/>
          <w:szCs w:val="24"/>
          <w:rtl/>
        </w:rPr>
        <w:t xml:space="preserve">۶-۱) هر یک از طرفین می‌تواند با اطلاع کتبی ۱۵ روز قبل، این پیوست را خاتمه دهد؛ دستمزد ماه جاری به‌صورت تناسبی تسویه می‌شود.</w:t>
      </w:r>
    </w:p>
    <w:p>
      <w:pPr>
        <w:bidi/>
        <w:spacing w:after="60" w:line="360"/>
        <w:ind w:right="340"/>
        <w:jc w:val="both"/>
      </w:pPr>
      <w:r>
        <w:rPr>
          <w:rFonts w:ascii="Tahoma" w:cs="Tahoma" w:eastAsia="Tahoma" w:hAnsi="Tahoma"/>
          <w:color w:val="000000"/>
          <w:sz w:val="24"/>
          <w:szCs w:val="24"/>
          <w:rtl/>
        </w:rPr>
        <w:t xml:space="preserve">۶-۲) تأخیر پرداخت بیش از ۱۰ روز، برای فروشنده حق تعلیق خدمات ایجاد می‌کند.</w:t>
      </w:r>
    </w:p>
    <w:p>
      <w:pPr>
        <w:bidi/>
        <w:spacing w:after="60" w:line="360"/>
        <w:ind w:right="340"/>
        <w:jc w:val="both"/>
      </w:pPr>
      <w:r>
        <w:rPr>
          <w:rFonts w:ascii="Tahoma" w:cs="Tahoma" w:eastAsia="Tahoma" w:hAnsi="Tahoma"/>
          <w:color w:val="000000"/>
          <w:sz w:val="24"/>
          <w:szCs w:val="24"/>
          <w:rtl/>
        </w:rPr>
        <w:t xml:space="preserve">۶-۳) مالکیت تمامی محتوای تولیدشده در طول این پیوست، متعلق به خریدار است.</w:t>
      </w:r>
    </w:p>
    <w:p>
      <w:pPr>
        <w:bidi/>
        <w:spacing w:after="120" w:before="300" w:line="360"/>
      </w:pPr>
      <w:r>
        <w:rPr>
          <w:rFonts w:ascii="Tahoma" w:cs="Tahoma" w:eastAsia="Tahoma" w:hAnsi="Tahoma"/>
          <w:b/>
          <w:bCs/>
          <w:color w:val="000000"/>
          <w:sz w:val="26"/>
          <w:szCs w:val="26"/>
          <w:rtl/>
        </w:rPr>
        <w:t xml:space="preserve">امضای طرفین (پیوست شماره ۱)</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نام و نام خانوادگی: 【................................】</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نام و نام خانوادگی: 【................................】</w:t>
            </w:r>
          </w:p>
        </w:tc>
      </w:tr>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سمت: فروشنده (منتقل‌کننده)</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سمت: خریدار (انتقال‌گیرنده)</w:t>
            </w:r>
          </w:p>
        </w:tc>
      </w:tr>
      <w:tr>
        <w:trPr>
          <w:cantSplit/>
        </w:trPr>
        <w:tc>
          <w:tcPr>
            <w:tcW w:type="pct" w:w="50%"/>
            <w:tcBorders>
              <w:top w:val="none" w:color="FFFFFF" w:sz="0"/>
              <w:left w:val="none" w:color="FFFFFF" w:sz="0"/>
              <w:bottom w:val="none" w:color="FFFFFF" w:sz="0"/>
              <w:right w:val="none" w:color="FFFFFF" w:sz="0"/>
            </w:tcBorders>
            <w:tcMar>
              <w:top w:type="dxa" w:w="400"/>
              <w:left w:type="dxa" w:w="100"/>
              <w:bottom w:type="dxa" w:w="70"/>
              <w:right w:type="dxa" w:w="100"/>
            </w:tcMar>
          </w:tcPr>
          <w:p>
            <w:pPr>
              <w:bidi/>
              <w:spacing w:line="320"/>
            </w:pPr>
            <w:r>
              <w:rPr>
                <w:rFonts w:ascii="Tahoma" w:cs="Tahoma" w:eastAsia="Tahoma" w:hAnsi="Tahoma"/>
                <w:color w:val="000000"/>
                <w:sz w:val="24"/>
                <w:szCs w:val="24"/>
                <w:rtl/>
              </w:rPr>
              <w:t xml:space="preserve">امضا و اثر انگشت:</w:t>
            </w:r>
          </w:p>
        </w:tc>
        <w:tc>
          <w:tcPr>
            <w:tcW w:type="pct" w:w="50%"/>
            <w:tcBorders>
              <w:top w:val="none" w:color="FFFFFF" w:sz="0"/>
              <w:left w:val="none" w:color="FFFFFF" w:sz="0"/>
              <w:bottom w:val="none" w:color="FFFFFF" w:sz="0"/>
              <w:right w:val="none" w:color="FFFFFF" w:sz="0"/>
            </w:tcBorders>
            <w:tcMar>
              <w:top w:type="dxa" w:w="400"/>
              <w:left w:type="dxa" w:w="100"/>
              <w:bottom w:type="dxa" w:w="70"/>
              <w:right w:type="dxa" w:w="100"/>
            </w:tcMar>
          </w:tcPr>
          <w:p>
            <w:pPr>
              <w:bidi/>
              <w:spacing w:line="320"/>
            </w:pPr>
            <w:r>
              <w:rPr>
                <w:rFonts w:ascii="Tahoma" w:cs="Tahoma" w:eastAsia="Tahoma" w:hAnsi="Tahoma"/>
                <w:color w:val="000000"/>
                <w:sz w:val="24"/>
                <w:szCs w:val="24"/>
                <w:rtl/>
              </w:rPr>
              <w:t xml:space="preserve">امضا و اثر انگشت:</w:t>
            </w:r>
          </w:p>
        </w:tc>
      </w:tr>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کد ملی: 【..............................】</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کد ملی: 【..............................】</w:t>
            </w:r>
          </w:p>
        </w:tc>
      </w:tr>
      <w:tr>
        <w:trPr>
          <w:cantSplit/>
        </w:trPr>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تاریخ امضا: 【....../....../۱۴۰۴】</w:t>
            </w:r>
          </w:p>
        </w:tc>
        <w:tc>
          <w:tcPr>
            <w:tcW w:type="pct" w:w="50%"/>
            <w:tcBorders>
              <w:top w:val="none" w:color="FFFFFF" w:sz="0"/>
              <w:left w:val="none" w:color="FFFFFF" w:sz="0"/>
              <w:bottom w:val="none" w:color="FFFFFF" w:sz="0"/>
              <w:right w:val="none" w:color="FFFFFF" w:sz="0"/>
            </w:tcBorders>
            <w:tcMar>
              <w:top w:type="dxa" w:w="70"/>
              <w:left w:type="dxa" w:w="100"/>
              <w:bottom w:type="dxa" w:w="70"/>
              <w:right w:type="dxa" w:w="100"/>
            </w:tcMar>
          </w:tcPr>
          <w:p>
            <w:pPr>
              <w:bidi/>
              <w:spacing w:line="320"/>
            </w:pPr>
            <w:r>
              <w:rPr>
                <w:rFonts w:ascii="Tahoma" w:cs="Tahoma" w:eastAsia="Tahoma" w:hAnsi="Tahoma"/>
                <w:color w:val="000000"/>
                <w:sz w:val="24"/>
                <w:szCs w:val="24"/>
                <w:rtl/>
              </w:rPr>
              <w:t xml:space="preserve">تاریخ امضا: 【....../....../۱۴۰۴】</w:t>
            </w:r>
          </w:p>
        </w:tc>
      </w:tr>
    </w:tbl>
    <w:sectPr>
      <w:footerReference w:type="default" r:id="rId7"/>
      <w:pgSz w:w="11906" w:h="16838" w:orient="portrait"/>
      <w:pgMar w:top="144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2026-10-03T17:06:19.810Z</dcterms:created>
  <dcterms:modified xsi:type="dcterms:W3CDTF">2026-10-03T17:06:19.810Z</dcterms:modified>
</cp:coreProperties>
</file>

<file path=docProps/custom.xml><?xml version="1.0" encoding="utf-8"?>
<Properties xmlns="http://schemas.openxmlformats.org/officeDocument/2006/custom-properties" xmlns:vt="http://schemas.openxmlformats.org/officeDocument/2006/docPropsVTypes"/>
</file>