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from Your Previous Experiences</w:t>
      </w:r>
    </w:p>
    <w:p>
      <w:pPr>
        <w:spacing w:after="220"/>
      </w:pPr>
      <w:r>
        <w:rPr>
          <w:rFonts w:ascii="Aptos Display" w:hAnsi="Aptos Display"/>
          <w:color w:val="464646"/>
          <w:sz w:val="30"/>
        </w:rPr>
        <w:t>Meeting Brief</w:t>
      </w:r>
    </w:p>
    <w:p>
      <w:pPr>
        <w:spacing w:after="50"/>
      </w:pPr>
      <w:r>
        <w:rPr>
          <w:rFonts w:ascii="Aptos" w:hAnsi="Aptos"/>
          <w:b/>
          <w:sz w:val="20"/>
        </w:rPr>
        <w:t xml:space="preserve">Meeting: </w:t>
      </w:r>
      <w:r>
        <w:rPr>
          <w:rFonts w:ascii="Aptos" w:hAnsi="Aptos"/>
          <w:sz w:val="20"/>
        </w:rPr>
        <w:t>Friday, October 2, 2026, 1:30-2:30 PM CT</w:t>
      </w:r>
    </w:p>
    <w:p>
      <w:pPr>
        <w:spacing w:after="50"/>
      </w:pPr>
      <w:r>
        <w:rPr>
          <w:rFonts w:ascii="Aptos" w:hAnsi="Aptos"/>
          <w:b/>
          <w:sz w:val="20"/>
        </w:rPr>
        <w:t xml:space="preserve">Organizer: </w:t>
      </w:r>
      <w:r>
        <w:rPr>
          <w:rFonts w:ascii="Aptos" w:hAnsi="Aptos"/>
          <w:sz w:val="20"/>
        </w:rPr>
        <w:t>Michael Estabrooks</w:t>
      </w:r>
    </w:p>
    <w:p>
      <w:pPr>
        <w:spacing w:after="50"/>
      </w:pPr>
      <w:r>
        <w:rPr>
          <w:rFonts w:ascii="Aptos" w:hAnsi="Aptos"/>
          <w:b/>
          <w:sz w:val="20"/>
        </w:rPr>
        <w:t xml:space="preserve">Participants: </w:t>
      </w:r>
      <w:r>
        <w:rPr>
          <w:rFonts w:ascii="Aptos" w:hAnsi="Aptos"/>
          <w:sz w:val="20"/>
        </w:rPr>
        <w:t>Todd Vahlsing, Michael Estabrooks, Tracy Gallimore; Michael Schwartz and Ryan Hildebrand invited</w:t>
      </w:r>
    </w:p>
    <w:p>
      <w:pPr>
        <w:spacing w:after="50"/>
      </w:pPr>
      <w:r>
        <w:rPr>
          <w:rFonts w:ascii="Aptos" w:hAnsi="Aptos"/>
          <w:b/>
          <w:sz w:val="20"/>
        </w:rPr>
        <w:t xml:space="preserve">Purpose: </w:t>
      </w:r>
      <w:r>
        <w:rPr>
          <w:rFonts w:ascii="Aptos" w:hAnsi="Aptos"/>
          <w:sz w:val="20"/>
        </w:rPr>
        <w:t>Translate lessons from PAR and consulting into practical improvements for GP/Genius sales flow, documentation, commercial scoping, pricing, and downstream handoff.</w:t>
      </w:r>
    </w:p>
    <w:p/>
    <w:p>
      <w:pPr>
        <w:pStyle w:val="Heading1"/>
        <w:keepNext/>
      </w:pPr>
      <w:r>
        <w:t>Recommended headline</w:t>
      </w:r>
    </w:p>
    <w:p>
      <w:r>
        <w:rPr>
          <w:rFonts w:ascii="Aptos" w:hAnsi="Aptos"/>
          <w:color w:val="222222"/>
          <w:sz w:val="21"/>
        </w:rPr>
        <w:t>GP should operate named enterprise and franchise accounts through a single account-control system: one accountable AE, one relationship owner, one coordinated account team, and one visible engagement plan. SDRs should activate an approved account hypothesis; they should not independently prospect into strategic accounts. Five Guys shows the cost of the current gap: several GP channels contacted a long-standing Worldpay customer without the Worldpay relationship owner's coordination, and the customer explicitly told GP to stop and work through Avery Churchwell and Melissa Douglas.</w:t>
      </w:r>
    </w:p>
    <w:p>
      <w:pPr>
        <w:pStyle w:val="Heading1"/>
        <w:keepNext/>
      </w:pPr>
      <w:r>
        <w:t>The recommendation</w:t>
      </w:r>
    </w:p>
    <w:p>
      <w:pPr>
        <w:pStyle w:val="Heading2"/>
        <w:keepNext/>
      </w:pPr>
      <w:r>
        <w:t>1. Establish named-account ownership before adding activity</w:t>
      </w:r>
    </w:p>
    <w:p>
      <w:r>
        <w:rPr>
          <w:rFonts w:ascii="Aptos" w:hAnsi="Aptos"/>
          <w:color w:val="222222"/>
          <w:sz w:val="21"/>
        </w:rPr>
        <w:t>Create a governed account universe for enterprise brands, strategic franchisees, and Worldpay customers. Every account should have:</w:t>
      </w:r>
    </w:p>
    <w:p>
      <w:pPr>
        <w:pStyle w:val="ListBullet"/>
      </w:pPr>
      <w:r>
        <w:rPr>
          <w:rFonts w:ascii="Aptos" w:hAnsi="Aptos"/>
          <w:color w:val="222222"/>
          <w:sz w:val="21"/>
        </w:rPr>
        <w:t>one accountable AE;</w:t>
      </w:r>
    </w:p>
    <w:p>
      <w:pPr>
        <w:pStyle w:val="ListBullet"/>
      </w:pPr>
      <w:r>
        <w:rPr>
          <w:rFonts w:ascii="Aptos" w:hAnsi="Aptos"/>
          <w:color w:val="222222"/>
          <w:sz w:val="21"/>
        </w:rPr>
        <w:t>the incumbent relationship owner, such as the Worldpay RM;</w:t>
      </w:r>
    </w:p>
    <w:p>
      <w:pPr>
        <w:pStyle w:val="ListBullet"/>
      </w:pPr>
      <w:r>
        <w:rPr>
          <w:rFonts w:ascii="Aptos" w:hAnsi="Aptos"/>
          <w:color w:val="222222"/>
          <w:sz w:val="21"/>
        </w:rPr>
        <w:t>a defined supporting team across SDR, product, solutions, pricing, implementation, and executives;</w:t>
      </w:r>
    </w:p>
    <w:p>
      <w:pPr>
        <w:pStyle w:val="ListBullet"/>
      </w:pPr>
      <w:r>
        <w:rPr>
          <w:rFonts w:ascii="Aptos" w:hAnsi="Aptos"/>
          <w:color w:val="222222"/>
          <w:sz w:val="21"/>
        </w:rPr>
        <w:t>a current motion: active conversion, design partner/expansion, payment defense, or monitor/adjacency;</w:t>
      </w:r>
    </w:p>
    <w:p>
      <w:pPr>
        <w:pStyle w:val="ListBullet"/>
      </w:pPr>
      <w:r>
        <w:rPr>
          <w:rFonts w:ascii="Aptos" w:hAnsi="Aptos"/>
          <w:color w:val="222222"/>
          <w:sz w:val="21"/>
        </w:rPr>
        <w:t>an engagement status: activate, nurture, monitor, or suppress;</w:t>
      </w:r>
    </w:p>
    <w:p>
      <w:pPr>
        <w:pStyle w:val="ListBullet"/>
      </w:pPr>
      <w:r>
        <w:rPr>
          <w:rFonts w:ascii="Aptos" w:hAnsi="Aptos"/>
          <w:color w:val="222222"/>
          <w:sz w:val="21"/>
        </w:rPr>
        <w:t>one customer-contact policy and one source of truth in CRM.</w:t>
      </w:r>
    </w:p>
    <w:p>
      <w:r>
        <w:rPr>
          <w:rFonts w:ascii="Aptos" w:hAnsi="Aptos"/>
          <w:color w:val="222222"/>
          <w:sz w:val="21"/>
        </w:rPr>
        <w:t>Named ownership does not mean the AE works alone. It means every channel knows who coordinates the account, what the approved hypothesis is, and when contact is permitted.</w:t>
      </w:r>
    </w:p>
    <w:p>
      <w:pPr>
        <w:pStyle w:val="Heading2"/>
        <w:keepNext/>
      </w:pPr>
      <w:r>
        <w:t>2. Use SDRs as an activation channel</w:t>
      </w:r>
    </w:p>
    <w:p>
      <w:r>
        <w:rPr>
          <w:rFonts w:ascii="Aptos" w:hAnsi="Aptos"/>
          <w:color w:val="222222"/>
          <w:sz w:val="21"/>
        </w:rPr>
        <w:t>The prior plan remains sound: SDRs create leverage by researching accounts, mapping the buying committee, identifying change signals, preparing account-specific outreach, and booking discovery. They activate a motion already aligned by the AE and relationship owner; they do not create a parallel sales motion.</w:t>
      </w:r>
    </w:p>
    <w:p>
      <w:r>
        <w:rPr>
          <w:rFonts w:ascii="Aptos" w:hAnsi="Aptos"/>
          <w:color w:val="222222"/>
          <w:sz w:val="21"/>
        </w:rPr>
        <w:t>An account enters SDR activation only when it has:</w:t>
      </w:r>
    </w:p>
    <w:p>
      <w:pPr>
        <w:pStyle w:val="ListNumber"/>
        <w:numPr>
          <w:ilvl w:val="0"/>
          <w:numId w:val="10"/>
        </w:numPr>
      </w:pPr>
      <w:r>
        <w:rPr>
          <w:rFonts w:ascii="Aptos" w:hAnsi="Aptos"/>
          <w:color w:val="222222"/>
          <w:sz w:val="21"/>
        </w:rPr>
        <w:t>a named AE and relationship owner;</w:t>
      </w:r>
    </w:p>
    <w:p>
      <w:pPr>
        <w:pStyle w:val="ListNumber"/>
        <w:numPr>
          <w:ilvl w:val="0"/>
          <w:numId w:val="10"/>
        </w:numPr>
      </w:pPr>
      <w:r>
        <w:rPr>
          <w:rFonts w:ascii="Aptos" w:hAnsi="Aptos"/>
          <w:color w:val="222222"/>
          <w:sz w:val="21"/>
        </w:rPr>
        <w:t>a current customer problem or change hypothesis;</w:t>
      </w:r>
    </w:p>
    <w:p>
      <w:pPr>
        <w:pStyle w:val="ListNumber"/>
        <w:numPr>
          <w:ilvl w:val="0"/>
          <w:numId w:val="10"/>
        </w:numPr>
      </w:pPr>
      <w:r>
        <w:rPr>
          <w:rFonts w:ascii="Aptos" w:hAnsi="Aptos"/>
          <w:color w:val="222222"/>
          <w:sz w:val="21"/>
        </w:rPr>
        <w:t>a defined target persona;</w:t>
      </w:r>
    </w:p>
    <w:p>
      <w:pPr>
        <w:pStyle w:val="ListNumber"/>
        <w:numPr>
          <w:ilvl w:val="0"/>
          <w:numId w:val="10"/>
        </w:numPr>
      </w:pPr>
      <w:r>
        <w:rPr>
          <w:rFonts w:ascii="Aptos" w:hAnsi="Aptos"/>
          <w:color w:val="222222"/>
          <w:sz w:val="21"/>
        </w:rPr>
        <w:t>a relevant GP/Genius capability;</w:t>
      </w:r>
    </w:p>
    <w:p>
      <w:pPr>
        <w:pStyle w:val="ListNumber"/>
        <w:numPr>
          <w:ilvl w:val="0"/>
          <w:numId w:val="10"/>
        </w:numPr>
      </w:pPr>
      <w:r>
        <w:rPr>
          <w:rFonts w:ascii="Aptos" w:hAnsi="Aptos"/>
          <w:color w:val="222222"/>
          <w:sz w:val="21"/>
        </w:rPr>
        <w:t>an agreed call to action;</w:t>
      </w:r>
    </w:p>
    <w:p>
      <w:pPr>
        <w:pStyle w:val="ListNumber"/>
        <w:numPr>
          <w:ilvl w:val="0"/>
          <w:numId w:val="10"/>
        </w:numPr>
      </w:pPr>
      <w:r>
        <w:rPr>
          <w:rFonts w:ascii="Aptos" w:hAnsi="Aptos"/>
          <w:color w:val="222222"/>
          <w:sz w:val="21"/>
        </w:rPr>
        <w:t>approved messaging and channel sequencing;</w:t>
      </w:r>
    </w:p>
    <w:p>
      <w:pPr>
        <w:pStyle w:val="ListNumber"/>
        <w:numPr>
          <w:ilvl w:val="0"/>
          <w:numId w:val="10"/>
        </w:numPr>
      </w:pPr>
      <w:r>
        <w:rPr>
          <w:rFonts w:ascii="Aptos" w:hAnsi="Aptos"/>
          <w:color w:val="222222"/>
          <w:sz w:val="21"/>
        </w:rPr>
        <w:t>explicit confirmation that the account is not suppressed or partner-protected.</w:t>
      </w:r>
    </w:p>
    <w:p>
      <w:r>
        <w:rPr>
          <w:rFonts w:ascii="Aptos" w:hAnsi="Aptos"/>
          <w:color w:val="222222"/>
          <w:sz w:val="21"/>
        </w:rPr>
        <w:t xml:space="preserve">The operating rule should be simple: </w:t>
      </w:r>
      <w:r>
        <w:rPr>
          <w:rFonts w:ascii="Aptos" w:hAnsi="Aptos"/>
          <w:b/>
          <w:color w:val="222222"/>
          <w:sz w:val="21"/>
        </w:rPr>
        <w:t>no owner, no outreach; no hypothesis, no sequence; no closed-loop disposition, no next touch.</w:t>
      </w:r>
    </w:p>
    <w:p>
      <w:pPr>
        <w:pStyle w:val="Heading2"/>
        <w:keepNext/>
      </w:pPr>
      <w:r>
        <w:t>3. Put account controls into the workflow</w:t>
      </w:r>
    </w:p>
    <w:p>
      <w:r>
        <w:rPr>
          <w:rFonts w:ascii="Aptos" w:hAnsi="Aptos"/>
          <w:color w:val="222222"/>
          <w:sz w:val="21"/>
        </w:rPr>
        <w:t>The process should prevent collisions rather than depend on people noticing them:</w:t>
      </w:r>
    </w:p>
    <w:p>
      <w:pPr>
        <w:pStyle w:val="ListBullet"/>
      </w:pPr>
      <w:r>
        <w:rPr>
          <w:rFonts w:ascii="Aptos" w:hAnsi="Aptos"/>
          <w:color w:val="222222"/>
          <w:sz w:val="21"/>
        </w:rPr>
        <w:t>mandatory named-account assignment for AEs;</w:t>
      </w:r>
    </w:p>
    <w:p>
      <w:pPr>
        <w:pStyle w:val="ListBullet"/>
      </w:pPr>
      <w:r>
        <w:rPr>
          <w:rFonts w:ascii="Aptos" w:hAnsi="Aptos"/>
          <w:color w:val="222222"/>
          <w:sz w:val="21"/>
        </w:rPr>
        <w:t>CRM field for relationship owner and customer-contact policy;</w:t>
      </w:r>
    </w:p>
    <w:p>
      <w:pPr>
        <w:pStyle w:val="ListBullet"/>
      </w:pPr>
      <w:r>
        <w:rPr>
          <w:rFonts w:ascii="Aptos" w:hAnsi="Aptos"/>
          <w:color w:val="222222"/>
          <w:sz w:val="21"/>
        </w:rPr>
        <w:t>visible suppression and partner-protection flags;</w:t>
      </w:r>
    </w:p>
    <w:p>
      <w:pPr>
        <w:pStyle w:val="ListBullet"/>
      </w:pPr>
      <w:r>
        <w:rPr>
          <w:rFonts w:ascii="Aptos" w:hAnsi="Aptos"/>
          <w:color w:val="222222"/>
          <w:sz w:val="21"/>
        </w:rPr>
        <w:t>approval checkpoint before SDR sequencing begins;</w:t>
      </w:r>
    </w:p>
    <w:p>
      <w:pPr>
        <w:pStyle w:val="ListBullet"/>
      </w:pPr>
      <w:r>
        <w:rPr>
          <w:rFonts w:ascii="Aptos" w:hAnsi="Aptos"/>
          <w:color w:val="222222"/>
          <w:sz w:val="21"/>
        </w:rPr>
        <w:t>activity visibility across Worldpay, Genius, marketing, SDR, and partner channels;</w:t>
      </w:r>
    </w:p>
    <w:p>
      <w:pPr>
        <w:pStyle w:val="ListBullet"/>
      </w:pPr>
      <w:r>
        <w:rPr>
          <w:rFonts w:ascii="Aptos" w:hAnsi="Aptos"/>
          <w:color w:val="222222"/>
          <w:sz w:val="21"/>
        </w:rPr>
        <w:t>alert when more than one team is preparing outreach to the same account or buying center;</w:t>
      </w:r>
    </w:p>
    <w:p>
      <w:pPr>
        <w:pStyle w:val="ListBullet"/>
      </w:pPr>
      <w:r>
        <w:rPr>
          <w:rFonts w:ascii="Aptos" w:hAnsi="Aptos"/>
          <w:color w:val="222222"/>
          <w:sz w:val="21"/>
        </w:rPr>
        <w:t>post-meeting closeout with outcome, owner, action, and date.</w:t>
      </w:r>
    </w:p>
    <w:p>
      <w:r>
        <w:rPr>
          <w:rFonts w:ascii="Aptos" w:hAnsi="Aptos"/>
          <w:color w:val="222222"/>
          <w:sz w:val="21"/>
        </w:rPr>
        <w:t>Five Guys should be the first retrospective. Document who contacted whom, what systems failed to expose the overlap, and which gate would have stopped each touch.</w:t>
      </w:r>
    </w:p>
    <w:p>
      <w:pPr>
        <w:pStyle w:val="Heading1"/>
        <w:keepNext/>
      </w:pPr>
      <w:r>
        <w:t>CPQ recommendation</w:t>
      </w:r>
    </w:p>
    <w:p>
      <w:r>
        <w:rPr>
          <w:rFonts w:ascii="Aptos" w:hAnsi="Aptos"/>
          <w:color w:val="222222"/>
          <w:sz w:val="21"/>
        </w:rPr>
        <w:t>Treat CPQ as the commercial control plane, not merely a quote generator. The current hardware-quoting experience appears manual and lacks consistent process visibility. The first objective should be a documented, enforceable workflow:</w:t>
      </w:r>
    </w:p>
    <w:p>
      <w:pPr>
        <w:pStyle w:val="ListNumber"/>
        <w:numPr>
          <w:ilvl w:val="0"/>
          <w:numId w:val="11"/>
        </w:numPr>
      </w:pPr>
      <w:r>
        <w:rPr>
          <w:rFonts w:ascii="Aptos" w:hAnsi="Aptos"/>
          <w:color w:val="222222"/>
          <w:sz w:val="21"/>
        </w:rPr>
        <w:t>structured intake: customer entity, sites, configuration, volumes, dependencies, deployment assumptions, and requested dates;</w:t>
      </w:r>
    </w:p>
    <w:p>
      <w:pPr>
        <w:pStyle w:val="ListNumber"/>
        <w:numPr>
          <w:ilvl w:val="0"/>
          <w:numId w:val="11"/>
        </w:numPr>
      </w:pPr>
      <w:r>
        <w:rPr>
          <w:rFonts w:ascii="Aptos" w:hAnsi="Aptos"/>
          <w:color w:val="222222"/>
          <w:sz w:val="21"/>
        </w:rPr>
        <w:t>approved product and bundle configuration with compatibility rules;</w:t>
      </w:r>
    </w:p>
    <w:p>
      <w:pPr>
        <w:pStyle w:val="ListNumber"/>
        <w:numPr>
          <w:ilvl w:val="0"/>
          <w:numId w:val="11"/>
        </w:numPr>
      </w:pPr>
      <w:r>
        <w:rPr>
          <w:rFonts w:ascii="Aptos" w:hAnsi="Aptos"/>
          <w:color w:val="222222"/>
          <w:sz w:val="21"/>
        </w:rPr>
        <w:t>pricing, discount, margin, subsidy, and payment-economics guardrails;</w:t>
      </w:r>
    </w:p>
    <w:p>
      <w:pPr>
        <w:pStyle w:val="ListNumber"/>
        <w:numPr>
          <w:ilvl w:val="0"/>
          <w:numId w:val="11"/>
        </w:numPr>
      </w:pPr>
      <w:r>
        <w:rPr>
          <w:rFonts w:ascii="Aptos" w:hAnsi="Aptos"/>
          <w:color w:val="222222"/>
          <w:sz w:val="21"/>
        </w:rPr>
        <w:t>explicit approval routing and service-level expectations;</w:t>
      </w:r>
    </w:p>
    <w:p>
      <w:pPr>
        <w:pStyle w:val="ListNumber"/>
        <w:numPr>
          <w:ilvl w:val="0"/>
          <w:numId w:val="11"/>
        </w:numPr>
      </w:pPr>
      <w:r>
        <w:rPr>
          <w:rFonts w:ascii="Aptos" w:hAnsi="Aptos"/>
          <w:color w:val="222222"/>
          <w:sz w:val="21"/>
        </w:rPr>
        <w:t>version-controlled proposal, scope of work, assumptions, exclusions, and expiration;</w:t>
      </w:r>
    </w:p>
    <w:p>
      <w:pPr>
        <w:pStyle w:val="ListNumber"/>
        <w:numPr>
          <w:ilvl w:val="0"/>
          <w:numId w:val="11"/>
        </w:numPr>
      </w:pPr>
      <w:r>
        <w:rPr>
          <w:rFonts w:ascii="Aptos" w:hAnsi="Aptos"/>
          <w:color w:val="222222"/>
          <w:sz w:val="21"/>
        </w:rPr>
        <w:t>customer acceptance linked to the exact commercial and technical baseline;</w:t>
      </w:r>
    </w:p>
    <w:p>
      <w:pPr>
        <w:pStyle w:val="ListNumber"/>
        <w:numPr>
          <w:ilvl w:val="0"/>
          <w:numId w:val="11"/>
        </w:numPr>
      </w:pPr>
      <w:r>
        <w:rPr>
          <w:rFonts w:ascii="Aptos" w:hAnsi="Aptos"/>
          <w:color w:val="222222"/>
          <w:sz w:val="21"/>
        </w:rPr>
        <w:t>clean handoff package to implementation, support, finance, and the account owner;</w:t>
      </w:r>
    </w:p>
    <w:p>
      <w:pPr>
        <w:pStyle w:val="ListNumber"/>
        <w:numPr>
          <w:ilvl w:val="0"/>
          <w:numId w:val="11"/>
        </w:numPr>
      </w:pPr>
      <w:r>
        <w:rPr>
          <w:rFonts w:ascii="Aptos" w:hAnsi="Aptos"/>
          <w:color w:val="222222"/>
          <w:sz w:val="21"/>
        </w:rPr>
        <w:t>change-order control when scope or configuration changes.</w:t>
      </w:r>
    </w:p>
    <w:p>
      <w:r>
        <w:rPr>
          <w:rFonts w:ascii="Aptos" w:hAnsi="Aptos"/>
          <w:color w:val="222222"/>
          <w:sz w:val="21"/>
        </w:rPr>
        <w:t>Do not automate an undefined process. Agree first on decision rights, required data, exception rules, and the definition of a sales-ready handoff; then configure CPQ around those controls.</w:t>
      </w:r>
    </w:p>
    <w:p>
      <w:pPr>
        <w:pStyle w:val="Heading1"/>
        <w:keepNext/>
      </w:pPr>
      <w:r>
        <w:t>Franchisee sales recommendation</w:t>
      </w:r>
    </w:p>
    <w:p>
      <w:r>
        <w:rPr>
          <w:rFonts w:ascii="Aptos" w:hAnsi="Aptos"/>
          <w:color w:val="222222"/>
          <w:sz w:val="21"/>
        </w:rPr>
        <w:t>Franchise systems require two linked sales motions:</w:t>
      </w:r>
    </w:p>
    <w:p>
      <w:pPr>
        <w:pStyle w:val="ListBullet"/>
      </w:pPr>
      <w:r>
        <w:rPr>
          <w:rFonts w:ascii="Aptos" w:hAnsi="Aptos"/>
          <w:b/>
          <w:color w:val="222222"/>
          <w:sz w:val="21"/>
        </w:rPr>
        <w:t>Brand motion:</w:t>
      </w:r>
      <w:r>
        <w:rPr>
          <w:rFonts w:ascii="Aptos" w:hAnsi="Aptos"/>
          <w:color w:val="222222"/>
          <w:sz w:val="21"/>
        </w:rPr>
        <w:t xml:space="preserve"> standards, certification, architecture, security, data, roadmap, preferred vendors, and enterprise economics.</w:t>
      </w:r>
    </w:p>
    <w:p>
      <w:pPr>
        <w:pStyle w:val="ListBullet"/>
      </w:pPr>
      <w:r>
        <w:rPr>
          <w:rFonts w:ascii="Aptos" w:hAnsi="Aptos"/>
          <w:b/>
          <w:color w:val="222222"/>
          <w:sz w:val="21"/>
        </w:rPr>
        <w:t>Franchisee/group motion:</w:t>
      </w:r>
      <w:r>
        <w:rPr>
          <w:rFonts w:ascii="Aptos" w:hAnsi="Aptos"/>
          <w:color w:val="222222"/>
          <w:sz w:val="21"/>
        </w:rPr>
        <w:t xml:space="preserve"> local P&amp;L, adoption economics, financing, deployment capacity, operational pain, support, and multi-brand leverage.</w:t>
      </w:r>
    </w:p>
    <w:p>
      <w:r>
        <w:rPr>
          <w:rFonts w:ascii="Aptos" w:hAnsi="Aptos"/>
          <w:color w:val="222222"/>
          <w:sz w:val="21"/>
        </w:rPr>
        <w:t>Large multi-brand franchisee groups should be named, searchable parent accounts with their brands, legal entities, unit counts by brand, decision makers, contracts, and technology estates nested underneath. This prevents GP from treating each banner or location as an unrelated lead and reveals where one operator can support a portfolio-level proposition.</w:t>
      </w:r>
    </w:p>
    <w:p>
      <w:r>
        <w:rPr>
          <w:rFonts w:ascii="Aptos" w:hAnsi="Aptos"/>
          <w:color w:val="222222"/>
          <w:sz w:val="21"/>
        </w:rPr>
        <w:t>Rules of engagement must answer:</w:t>
      </w:r>
    </w:p>
    <w:p>
      <w:pPr>
        <w:pStyle w:val="ListBullet"/>
      </w:pPr>
      <w:r>
        <w:rPr>
          <w:rFonts w:ascii="Aptos" w:hAnsi="Aptos"/>
          <w:color w:val="222222"/>
          <w:sz w:val="21"/>
        </w:rPr>
        <w:t>Does the brand mandate, approve, certify, or merely recommend the solution?</w:t>
      </w:r>
    </w:p>
    <w:p>
      <w:pPr>
        <w:pStyle w:val="ListBullet"/>
      </w:pPr>
      <w:r>
        <w:rPr>
          <w:rFonts w:ascii="Aptos" w:hAnsi="Aptos"/>
          <w:color w:val="222222"/>
          <w:sz w:val="21"/>
        </w:rPr>
        <w:t>Who owns the commercial relationship—the brand, franchisee group, processor RM, reseller, or AE?</w:t>
      </w:r>
    </w:p>
    <w:p>
      <w:pPr>
        <w:pStyle w:val="ListBullet"/>
      </w:pPr>
      <w:r>
        <w:rPr>
          <w:rFonts w:ascii="Aptos" w:hAnsi="Aptos"/>
          <w:color w:val="222222"/>
          <w:sz w:val="21"/>
        </w:rPr>
        <w:t>Can a franchisee deployment become a reference or brand-standard path?</w:t>
      </w:r>
    </w:p>
    <w:p>
      <w:pPr>
        <w:pStyle w:val="ListBullet"/>
      </w:pPr>
      <w:r>
        <w:rPr>
          <w:rFonts w:ascii="Aptos" w:hAnsi="Aptos"/>
          <w:color w:val="222222"/>
          <w:sz w:val="21"/>
        </w:rPr>
        <w:t>Which contracts and economics sit at the brand, group, legal-entity, or site level?</w:t>
      </w:r>
    </w:p>
    <w:p>
      <w:pPr>
        <w:pStyle w:val="ListBullet"/>
      </w:pPr>
      <w:r>
        <w:rPr>
          <w:rFonts w:ascii="Aptos" w:hAnsi="Aptos"/>
          <w:color w:val="222222"/>
          <w:sz w:val="21"/>
        </w:rPr>
        <w:t>How will conflicts between direct, processor, reseller, and partner channels be resolved?</w:t>
      </w:r>
    </w:p>
    <w:p>
      <w:pPr>
        <w:pStyle w:val="Heading1"/>
        <w:keepNext/>
      </w:pPr>
      <w:r>
        <w:t>Organization design</w:t>
      </w:r>
    </w:p>
    <w:p>
      <w:r>
        <w:rPr>
          <w:rFonts w:ascii="Aptos" w:hAnsi="Aptos"/>
          <w:color w:val="222222"/>
          <w:sz w:val="21"/>
        </w:rPr>
        <w:t>Recommend a matrix with clear accountability rather than separate teams pursuing the same customer:</w:t>
      </w:r>
    </w:p>
    <w:tbl>
      <w:tblPr>
        <w:tblW w:type="auto" w:w="0"/>
        <w:jc w:val="center"/>
        <w:tblLayout w:type="fixed"/>
        <w:tblLook w:firstColumn="1" w:firstRow="1" w:lastColumn="0" w:lastRow="0" w:noHBand="0" w:noVBand="1" w:val="04A0"/>
      </w:tblPr>
      <w:tblGrid>
        <w:gridCol w:w="2664"/>
        <w:gridCol w:w="6696"/>
      </w:tblGrid>
      <w:tr>
        <w:trPr>
          <w:tblHeader w:val="true"/>
        </w:trPr>
        <w:tc>
          <w:tcPr>
            <w:tcW w:type="dxa" w:w="2664"/>
            <w:shd w:fill="1F4E78" w:val="clea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tcPr>
          <w:p>
            <w:r>
              <w:rPr>
                <w:rFonts w:ascii="Aptos" w:hAnsi="Aptos"/>
                <w:b/>
                <w:color w:val="FFFFFF"/>
                <w:sz w:val="20"/>
              </w:rPr>
              <w:t>Role</w:t>
            </w:r>
          </w:p>
        </w:tc>
        <w:tc>
          <w:tcPr>
            <w:tcW w:type="dxa" w:w="6696"/>
            <w:shd w:fill="1F4E78" w:val="clea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tcPr>
          <w:p>
            <w:r>
              <w:rPr>
                <w:rFonts w:ascii="Aptos" w:hAnsi="Aptos"/>
                <w:b/>
                <w:color w:val="FFFFFF"/>
                <w:sz w:val="20"/>
              </w:rPr>
              <w:t>Primary accountability</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b/>
                <w:color w:val="191919"/>
                <w:sz w:val="19"/>
              </w:rPr>
              <w:t>Named-account AE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color w:val="191919"/>
                <w:sz w:val="19"/>
              </w:rPr>
              <w:t>Account strategy, customer POV, qualification, and commercial outcome</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b/>
                <w:color w:val="191919"/>
                <w:sz w:val="19"/>
              </w:rPr>
              <w:t>Relationship owner / RM</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color w:val="191919"/>
                <w:sz w:val="19"/>
              </w:rPr>
              <w:t>Existing relationship, access, account protection, and introduction approval</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b/>
                <w:color w:val="191919"/>
                <w:sz w:val="19"/>
              </w:rPr>
              <w:t>SDR/BDR</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color w:val="191919"/>
                <w:sz w:val="19"/>
              </w:rPr>
              <w:t>Research, contact validation, approved activation, and disposition</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b/>
                <w:color w:val="191919"/>
                <w:sz w:val="19"/>
              </w:rPr>
              <w:t>Solutions / product</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color w:val="191919"/>
                <w:sz w:val="19"/>
              </w:rPr>
              <w:t>Feasibility, architecture, roadmap, proof, and disqualifiers</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b/>
                <w:color w:val="191919"/>
                <w:sz w:val="19"/>
              </w:rPr>
              <w:t>Deal desk / CPQ</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color w:val="191919"/>
                <w:sz w:val="19"/>
              </w:rPr>
              <w:t>Configuration, pricing, approvals, proposal integrity, and change control</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b/>
                <w:color w:val="191919"/>
                <w:sz w:val="19"/>
              </w:rPr>
              <w:t>Implementation leader</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color w:val="191919"/>
                <w:sz w:val="19"/>
              </w:rPr>
              <w:t>Delivery validation before signature and accountable downstream handoff</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b/>
                <w:color w:val="191919"/>
                <w:sz w:val="19"/>
              </w:rPr>
              <w:t>Executive sponsor</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tcPr>
          <w:p>
            <w:pPr>
              <w:spacing w:after="0"/>
            </w:pPr>
            <w:r>
              <w:rPr>
                <w:rFonts w:ascii="Aptos" w:hAnsi="Aptos"/>
                <w:color w:val="191919"/>
                <w:sz w:val="19"/>
              </w:rPr>
              <w:t>Organizational barriers, strategic access, and exception decisions</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b/>
                <w:color w:val="191919"/>
                <w:sz w:val="19"/>
              </w:rPr>
              <w:t>Revenue operations</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shd w:fill="F3F6F9" w:val="clear"/>
          </w:tcPr>
          <w:p>
            <w:pPr>
              <w:spacing w:after="0"/>
            </w:pPr>
            <w:r>
              <w:rPr>
                <w:rFonts w:ascii="Aptos" w:hAnsi="Aptos"/>
                <w:color w:val="191919"/>
                <w:sz w:val="19"/>
              </w:rPr>
              <w:t>Account hierarchy, ownership, CRM controls, metrics, and governance</w:t>
            </w:r>
          </w:p>
        </w:tc>
      </w:tr>
    </w:tbl>
    <w:p>
      <w:pPr>
        <w:spacing w:after="20"/>
      </w:pPr>
    </w:p>
    <w:p>
      <w:r>
        <w:rPr>
          <w:rFonts w:ascii="Aptos" w:hAnsi="Aptos"/>
          <w:color w:val="222222"/>
          <w:sz w:val="21"/>
        </w:rPr>
        <w:t>The AE remains accountable through implementation acceptance; the sale is not complete when the contract is signed. Delivery takes operational ownership, but customer accountability and relationship continuity remain explicit.</w:t>
      </w:r>
    </w:p>
    <w:p>
      <w:pPr>
        <w:pStyle w:val="Heading1"/>
        <w:keepNext/>
      </w:pPr>
      <w:r>
        <w:t>Lessons to bring from PAR and consulting</w:t>
      </w:r>
    </w:p>
    <w:p>
      <w:pPr>
        <w:pStyle w:val="ListBullet"/>
      </w:pPr>
      <w:r>
        <w:rPr>
          <w:rFonts w:ascii="Aptos" w:hAnsi="Aptos"/>
          <w:color w:val="222222"/>
          <w:sz w:val="21"/>
        </w:rPr>
        <w:t>Start with the operating flow and decision rights, then select or configure tools.</w:t>
      </w:r>
    </w:p>
    <w:p>
      <w:pPr>
        <w:pStyle w:val="ListBullet"/>
      </w:pPr>
      <w:r>
        <w:rPr>
          <w:rFonts w:ascii="Aptos" w:hAnsi="Aptos"/>
          <w:color w:val="222222"/>
          <w:sz w:val="21"/>
        </w:rPr>
        <w:t>Define the artifact produced at every stage: account brief, discovery record, solution baseline, proposal, SOW, approval record, and handoff package.</w:t>
      </w:r>
    </w:p>
    <w:p>
      <w:pPr>
        <w:pStyle w:val="ListBullet"/>
      </w:pPr>
      <w:r>
        <w:rPr>
          <w:rFonts w:ascii="Aptos" w:hAnsi="Aptos"/>
          <w:color w:val="222222"/>
          <w:sz w:val="21"/>
        </w:rPr>
        <w:t>Separate what is known, assumed, approved, and customer-accepted.</w:t>
      </w:r>
    </w:p>
    <w:p>
      <w:pPr>
        <w:pStyle w:val="ListBullet"/>
      </w:pPr>
      <w:r>
        <w:rPr>
          <w:rFonts w:ascii="Aptos" w:hAnsi="Aptos"/>
          <w:color w:val="222222"/>
          <w:sz w:val="21"/>
        </w:rPr>
        <w:t>Bring delivery, product, and pricing into the pursuit early enough to prevent downstream surprises.</w:t>
      </w:r>
    </w:p>
    <w:p>
      <w:pPr>
        <w:pStyle w:val="ListBullet"/>
      </w:pPr>
      <w:r>
        <w:rPr>
          <w:rFonts w:ascii="Aptos" w:hAnsi="Aptos"/>
          <w:color w:val="222222"/>
          <w:sz w:val="21"/>
        </w:rPr>
        <w:t>Design around exception handling; complex restaurant and franchise deals will not remain inside a simple happy path.</w:t>
      </w:r>
    </w:p>
    <w:p>
      <w:pPr>
        <w:pStyle w:val="ListBullet"/>
      </w:pPr>
      <w:r>
        <w:rPr>
          <w:rFonts w:ascii="Aptos" w:hAnsi="Aptos"/>
          <w:color w:val="222222"/>
          <w:sz w:val="21"/>
        </w:rPr>
        <w:t>Measure outcomes and cycle quality, not just outreach volume or meetings booked.</w:t>
      </w:r>
    </w:p>
    <w:p>
      <w:pPr>
        <w:pStyle w:val="ListBullet"/>
      </w:pPr>
      <w:r>
        <w:rPr>
          <w:rFonts w:ascii="Aptos" w:hAnsi="Aptos"/>
          <w:color w:val="222222"/>
          <w:sz w:val="21"/>
        </w:rPr>
        <w:t>Preserve one accountable customer narrative across sales, partners, product, and delivery.</w:t>
      </w:r>
    </w:p>
    <w:p>
      <w:pPr>
        <w:pStyle w:val="Heading1"/>
        <w:keepNext/>
      </w:pPr>
      <w:r>
        <w:t>Suggested 60-minute agenda</w:t>
      </w:r>
    </w:p>
    <w:p>
      <w:pPr>
        <w:pStyle w:val="ListNumber"/>
        <w:numPr>
          <w:ilvl w:val="0"/>
          <w:numId w:val="12"/>
        </w:numPr>
      </w:pPr>
      <w:r>
        <w:rPr>
          <w:rFonts w:ascii="Aptos" w:hAnsi="Aptos"/>
          <w:b/>
          <w:color w:val="222222"/>
          <w:sz w:val="21"/>
        </w:rPr>
        <w:t>5 min — Frame the problem:</w:t>
      </w:r>
      <w:r>
        <w:rPr>
          <w:rFonts w:ascii="Aptos" w:hAnsi="Aptos"/>
          <w:color w:val="222222"/>
          <w:sz w:val="21"/>
        </w:rPr>
        <w:t xml:space="preserve"> growth is constrained less by effort than by fragmented ownership and handoffs.</w:t>
      </w:r>
    </w:p>
    <w:p>
      <w:pPr>
        <w:pStyle w:val="ListNumber"/>
        <w:numPr>
          <w:ilvl w:val="0"/>
          <w:numId w:val="12"/>
        </w:numPr>
      </w:pPr>
      <w:r>
        <w:rPr>
          <w:rFonts w:ascii="Aptos" w:hAnsi="Aptos"/>
          <w:b/>
          <w:color w:val="222222"/>
          <w:sz w:val="21"/>
        </w:rPr>
        <w:t>10 min — Five Guys control case:</w:t>
      </w:r>
      <w:r>
        <w:rPr>
          <w:rFonts w:ascii="Aptos" w:hAnsi="Aptos"/>
          <w:color w:val="222222"/>
          <w:sz w:val="21"/>
        </w:rPr>
        <w:t xml:space="preserve"> reconstruct the overlapping outreach and identify the missing controls without assigning blame.</w:t>
      </w:r>
    </w:p>
    <w:p>
      <w:pPr>
        <w:pStyle w:val="ListNumber"/>
        <w:numPr>
          <w:ilvl w:val="0"/>
          <w:numId w:val="12"/>
        </w:numPr>
      </w:pPr>
      <w:r>
        <w:rPr>
          <w:rFonts w:ascii="Aptos" w:hAnsi="Aptos"/>
          <w:b/>
          <w:color w:val="222222"/>
          <w:sz w:val="21"/>
        </w:rPr>
        <w:t>10 min — Named-account and SDR model:</w:t>
      </w:r>
      <w:r>
        <w:rPr>
          <w:rFonts w:ascii="Aptos" w:hAnsi="Aptos"/>
          <w:color w:val="222222"/>
          <w:sz w:val="21"/>
        </w:rPr>
        <w:t xml:space="preserve"> agree on ownership, activation gates, suppression, and closed-loop reporting.</w:t>
      </w:r>
    </w:p>
    <w:p>
      <w:pPr>
        <w:pStyle w:val="ListNumber"/>
        <w:numPr>
          <w:ilvl w:val="0"/>
          <w:numId w:val="12"/>
        </w:numPr>
      </w:pPr>
      <w:r>
        <w:rPr>
          <w:rFonts w:ascii="Aptos" w:hAnsi="Aptos"/>
          <w:b/>
          <w:color w:val="222222"/>
          <w:sz w:val="21"/>
        </w:rPr>
        <w:t>10 min — CPQ and commercial flow:</w:t>
      </w:r>
      <w:r>
        <w:rPr>
          <w:rFonts w:ascii="Aptos" w:hAnsi="Aptos"/>
          <w:color w:val="222222"/>
          <w:sz w:val="21"/>
        </w:rPr>
        <w:t xml:space="preserve"> define intake, configuration, approvals, SOW, versioning, and change control.</w:t>
      </w:r>
    </w:p>
    <w:p>
      <w:pPr>
        <w:pStyle w:val="ListNumber"/>
        <w:numPr>
          <w:ilvl w:val="0"/>
          <w:numId w:val="12"/>
        </w:numPr>
      </w:pPr>
      <w:r>
        <w:rPr>
          <w:rFonts w:ascii="Aptos" w:hAnsi="Aptos"/>
          <w:b/>
          <w:color w:val="222222"/>
          <w:sz w:val="21"/>
        </w:rPr>
        <w:t>10 min — Franchisee sales:</w:t>
      </w:r>
      <w:r>
        <w:rPr>
          <w:rFonts w:ascii="Aptos" w:hAnsi="Aptos"/>
          <w:color w:val="222222"/>
          <w:sz w:val="21"/>
        </w:rPr>
        <w:t xml:space="preserve"> distinguish brand, large franchisee group, legal entity, and site; define channel rules.</w:t>
      </w:r>
    </w:p>
    <w:p>
      <w:pPr>
        <w:pStyle w:val="ListNumber"/>
        <w:numPr>
          <w:ilvl w:val="0"/>
          <w:numId w:val="12"/>
        </w:numPr>
      </w:pPr>
      <w:r>
        <w:rPr>
          <w:rFonts w:ascii="Aptos" w:hAnsi="Aptos"/>
          <w:b/>
          <w:color w:val="222222"/>
          <w:sz w:val="21"/>
        </w:rPr>
        <w:t>10 min — Organization and handoff:</w:t>
      </w:r>
      <w:r>
        <w:rPr>
          <w:rFonts w:ascii="Aptos" w:hAnsi="Aptos"/>
          <w:color w:val="222222"/>
          <w:sz w:val="21"/>
        </w:rPr>
        <w:t xml:space="preserve"> clarify AE, RM, SDR, solutions, deal desk, implementation, and executive accountabilities.</w:t>
      </w:r>
    </w:p>
    <w:p>
      <w:pPr>
        <w:pStyle w:val="ListNumber"/>
        <w:numPr>
          <w:ilvl w:val="0"/>
          <w:numId w:val="12"/>
        </w:numPr>
      </w:pPr>
      <w:r>
        <w:rPr>
          <w:rFonts w:ascii="Aptos" w:hAnsi="Aptos"/>
          <w:b/>
          <w:color w:val="222222"/>
          <w:sz w:val="21"/>
        </w:rPr>
        <w:t>5 min — Decisions and pilot:</w:t>
      </w:r>
      <w:r>
        <w:rPr>
          <w:rFonts w:ascii="Aptos" w:hAnsi="Aptos"/>
          <w:color w:val="222222"/>
          <w:sz w:val="21"/>
        </w:rPr>
        <w:t xml:space="preserve"> select one owner, one pilot portfolio, and a 30-day deliverable.</w:t>
      </w:r>
    </w:p>
    <w:p>
      <w:pPr>
        <w:pStyle w:val="Heading1"/>
        <w:keepNext/>
      </w:pPr>
      <w:r>
        <w:t>Decisions to seek</w:t>
      </w:r>
    </w:p>
    <w:p>
      <w:pPr>
        <w:pStyle w:val="ListNumber"/>
        <w:numPr>
          <w:ilvl w:val="0"/>
          <w:numId w:val="13"/>
        </w:numPr>
      </w:pPr>
      <w:r>
        <w:rPr>
          <w:rFonts w:ascii="Aptos" w:hAnsi="Aptos"/>
          <w:color w:val="222222"/>
          <w:sz w:val="21"/>
        </w:rPr>
        <w:t>Approve a 30-day named-account pilot covering the Worldpay restaurant portfolio and the highest-risk overlapping accounts.</w:t>
      </w:r>
    </w:p>
    <w:p>
      <w:pPr>
        <w:pStyle w:val="ListNumber"/>
        <w:numPr>
          <w:ilvl w:val="0"/>
          <w:numId w:val="13"/>
        </w:numPr>
      </w:pPr>
      <w:r>
        <w:rPr>
          <w:rFonts w:ascii="Aptos" w:hAnsi="Aptos"/>
          <w:color w:val="222222"/>
          <w:sz w:val="21"/>
        </w:rPr>
        <w:t>Name the executive owner and revenue-operations owner for account-governance rules.</w:t>
      </w:r>
    </w:p>
    <w:p>
      <w:pPr>
        <w:pStyle w:val="ListNumber"/>
        <w:numPr>
          <w:ilvl w:val="0"/>
          <w:numId w:val="13"/>
        </w:numPr>
      </w:pPr>
      <w:r>
        <w:rPr>
          <w:rFonts w:ascii="Aptos" w:hAnsi="Aptos"/>
          <w:color w:val="222222"/>
          <w:sz w:val="21"/>
        </w:rPr>
        <w:t>Freeze uncoordinated outreach to protected accounts until ownership and contact policies are visible.</w:t>
      </w:r>
    </w:p>
    <w:p>
      <w:pPr>
        <w:pStyle w:val="ListNumber"/>
        <w:numPr>
          <w:ilvl w:val="0"/>
          <w:numId w:val="13"/>
        </w:numPr>
      </w:pPr>
      <w:r>
        <w:rPr>
          <w:rFonts w:ascii="Aptos" w:hAnsi="Aptos"/>
          <w:color w:val="222222"/>
          <w:sz w:val="21"/>
        </w:rPr>
        <w:t>Use Five Guys as the first no-blame process retrospective.</w:t>
      </w:r>
    </w:p>
    <w:p>
      <w:pPr>
        <w:pStyle w:val="ListNumber"/>
        <w:numPr>
          <w:ilvl w:val="0"/>
          <w:numId w:val="13"/>
        </w:numPr>
      </w:pPr>
      <w:r>
        <w:rPr>
          <w:rFonts w:ascii="Aptos" w:hAnsi="Aptos"/>
          <w:color w:val="222222"/>
          <w:sz w:val="21"/>
        </w:rPr>
        <w:t>Map the current quote-to-contract-to-implementation flow before selecting the CPQ target design.</w:t>
      </w:r>
    </w:p>
    <w:p>
      <w:pPr>
        <w:pStyle w:val="ListNumber"/>
        <w:numPr>
          <w:ilvl w:val="0"/>
          <w:numId w:val="13"/>
        </w:numPr>
      </w:pPr>
      <w:r>
        <w:rPr>
          <w:rFonts w:ascii="Aptos" w:hAnsi="Aptos"/>
          <w:color w:val="222222"/>
          <w:sz w:val="21"/>
        </w:rPr>
        <w:t>Model large franchisee groups as a searchable hierarchy with unit counts by brand.</w:t>
      </w:r>
    </w:p>
    <w:p>
      <w:pPr>
        <w:pStyle w:val="ListNumber"/>
        <w:numPr>
          <w:ilvl w:val="0"/>
          <w:numId w:val="13"/>
        </w:numPr>
      </w:pPr>
      <w:r>
        <w:rPr>
          <w:rFonts w:ascii="Aptos" w:hAnsi="Aptos"/>
          <w:color w:val="222222"/>
          <w:sz w:val="21"/>
        </w:rPr>
        <w:t>Define the minimum handoff package and require acceptance by implementation.</w:t>
      </w:r>
    </w:p>
    <w:p>
      <w:pPr>
        <w:pStyle w:val="Heading1"/>
        <w:keepNext/>
      </w:pPr>
      <w:r>
        <w:t>Proposed 30-day pilot deliverables</w:t>
      </w:r>
    </w:p>
    <w:p>
      <w:pPr>
        <w:pStyle w:val="ListBullet"/>
      </w:pPr>
      <w:r>
        <w:rPr>
          <w:rFonts w:ascii="Aptos" w:hAnsi="Aptos"/>
          <w:color w:val="222222"/>
          <w:sz w:val="21"/>
        </w:rPr>
        <w:t>named-account list with AE, relationship owner, motion, status, and contact policy;</w:t>
      </w:r>
    </w:p>
    <w:p>
      <w:pPr>
        <w:pStyle w:val="ListBullet"/>
      </w:pPr>
      <w:r>
        <w:rPr>
          <w:rFonts w:ascii="Aptos" w:hAnsi="Aptos"/>
          <w:color w:val="222222"/>
          <w:sz w:val="21"/>
        </w:rPr>
        <w:t>suppression and partner-protection rules;</w:t>
      </w:r>
    </w:p>
    <w:p>
      <w:pPr>
        <w:pStyle w:val="ListBullet"/>
      </w:pPr>
      <w:r>
        <w:rPr>
          <w:rFonts w:ascii="Aptos" w:hAnsi="Aptos"/>
          <w:color w:val="222222"/>
          <w:sz w:val="21"/>
        </w:rPr>
        <w:t>first approved SDR activation list and persona-based message set;</w:t>
      </w:r>
    </w:p>
    <w:p>
      <w:pPr>
        <w:pStyle w:val="ListBullet"/>
      </w:pPr>
      <w:r>
        <w:rPr>
          <w:rFonts w:ascii="Aptos" w:hAnsi="Aptos"/>
          <w:color w:val="222222"/>
          <w:sz w:val="21"/>
        </w:rPr>
        <w:t>Five Guys outreach retrospective and corrective controls;</w:t>
      </w:r>
    </w:p>
    <w:p>
      <w:pPr>
        <w:pStyle w:val="ListBullet"/>
      </w:pPr>
      <w:r>
        <w:rPr>
          <w:rFonts w:ascii="Aptos" w:hAnsi="Aptos"/>
          <w:color w:val="222222"/>
          <w:sz w:val="21"/>
        </w:rPr>
        <w:t>current-state CPQ/process map with approval and handoff gaps;</w:t>
      </w:r>
    </w:p>
    <w:p>
      <w:pPr>
        <w:pStyle w:val="ListBullet"/>
      </w:pPr>
      <w:r>
        <w:rPr>
          <w:rFonts w:ascii="Aptos" w:hAnsi="Aptos"/>
          <w:color w:val="222222"/>
          <w:sz w:val="21"/>
        </w:rPr>
        <w:t>franchisee hierarchy prototype for the largest multi-brand operators;</w:t>
      </w:r>
    </w:p>
    <w:p>
      <w:pPr>
        <w:pStyle w:val="ListBullet"/>
      </w:pPr>
      <w:r>
        <w:rPr>
          <w:rFonts w:ascii="Aptos" w:hAnsi="Aptos"/>
          <w:color w:val="222222"/>
          <w:sz w:val="21"/>
        </w:rPr>
        <w:t>weekly governance review measuring collisions prevented, meetings accepted, facts verified, opportunities advanced, and handoffs accepted.</w:t>
      </w:r>
    </w:p>
    <w:p>
      <w:pPr>
        <w:pStyle w:val="Heading1"/>
        <w:keepNext/>
      </w:pPr>
      <w:r>
        <w:t>Questions for the room</w:t>
      </w:r>
    </w:p>
    <w:p>
      <w:pPr>
        <w:pStyle w:val="ListBullet"/>
      </w:pPr>
      <w:r>
        <w:rPr>
          <w:rFonts w:ascii="Aptos" w:hAnsi="Aptos"/>
          <w:color w:val="222222"/>
          <w:sz w:val="21"/>
        </w:rPr>
        <w:t>Where is the authoritative account-owner record today, and who can change it?</w:t>
      </w:r>
    </w:p>
    <w:p>
      <w:pPr>
        <w:pStyle w:val="ListBullet"/>
      </w:pPr>
      <w:r>
        <w:rPr>
          <w:rFonts w:ascii="Aptos" w:hAnsi="Aptos"/>
          <w:color w:val="222222"/>
          <w:sz w:val="21"/>
        </w:rPr>
        <w:t>Can every seller and SDR see Worldpay, Genius, marketing, partner, and executive activity before contacting a customer?</w:t>
      </w:r>
    </w:p>
    <w:p>
      <w:pPr>
        <w:pStyle w:val="ListBullet"/>
      </w:pPr>
      <w:r>
        <w:rPr>
          <w:rFonts w:ascii="Aptos" w:hAnsi="Aptos"/>
          <w:color w:val="222222"/>
          <w:sz w:val="21"/>
        </w:rPr>
        <w:t>Who has authority to suppress outreach, and how quickly is that instruction propagated?</w:t>
      </w:r>
    </w:p>
    <w:p>
      <w:pPr>
        <w:pStyle w:val="ListBullet"/>
      </w:pPr>
      <w:r>
        <w:rPr>
          <w:rFonts w:ascii="Aptos" w:hAnsi="Aptos"/>
          <w:color w:val="222222"/>
          <w:sz w:val="21"/>
        </w:rPr>
        <w:t>What is the smallest named-account portfolio that would make the AE/SDR model testable in 30 days?</w:t>
      </w:r>
    </w:p>
    <w:p>
      <w:pPr>
        <w:pStyle w:val="ListBullet"/>
      </w:pPr>
      <w:r>
        <w:rPr>
          <w:rFonts w:ascii="Aptos" w:hAnsi="Aptos"/>
          <w:color w:val="222222"/>
          <w:sz w:val="21"/>
        </w:rPr>
        <w:t>Which CPQ failure matters most now: cycle time, configuration accuracy, approvals, margin control, document integrity, or handoff?</w:t>
      </w:r>
    </w:p>
    <w:p>
      <w:pPr>
        <w:pStyle w:val="ListBullet"/>
      </w:pPr>
      <w:r>
        <w:rPr>
          <w:rFonts w:ascii="Aptos" w:hAnsi="Aptos"/>
          <w:color w:val="222222"/>
          <w:sz w:val="21"/>
        </w:rPr>
        <w:t>At what point does implementation formally accept scope, assumptions, dates, and commercial commitments?</w:t>
      </w:r>
    </w:p>
    <w:p>
      <w:pPr>
        <w:pStyle w:val="ListBullet"/>
      </w:pPr>
      <w:r>
        <w:rPr>
          <w:rFonts w:ascii="Aptos" w:hAnsi="Aptos"/>
          <w:color w:val="222222"/>
          <w:sz w:val="21"/>
        </w:rPr>
        <w:t>Who owns a multi-brand franchisee relationship when different GP teams cover its individual brands or legal entities?</w:t>
      </w:r>
    </w:p>
    <w:p>
      <w:pPr>
        <w:pStyle w:val="Heading1"/>
        <w:keepNext/>
        <w:pageBreakBefore/>
      </w:pPr>
      <w:r>
        <w:t>Evidence and cautions</w:t>
      </w:r>
    </w:p>
    <w:p>
      <w:pPr>
        <w:pStyle w:val="ListBullet"/>
      </w:pPr>
      <w:r>
        <w:rPr>
          <w:rFonts w:ascii="Aptos" w:hAnsi="Aptos"/>
          <w:color w:val="222222"/>
          <w:sz w:val="21"/>
        </w:rPr>
        <w:t>The existing RB SDR plan already defines SDRs as an activation channel requiring RM approval and a named hypothesis.</w:t>
      </w:r>
    </w:p>
    <w:p>
      <w:pPr>
        <w:pStyle w:val="ListBullet"/>
      </w:pPr>
      <w:r>
        <w:rPr>
          <w:rFonts w:ascii="Aptos" w:hAnsi="Aptos"/>
          <w:color w:val="222222"/>
          <w:sz w:val="21"/>
        </w:rPr>
        <w:t>Five Guys is currently a high-priority Worldpay account, but proactive Genius outreach is on hold. MJ Worsham explicitly directed GP to work through Avery Churchwell and Melissa Douglas.</w:t>
      </w:r>
    </w:p>
    <w:p>
      <w:pPr>
        <w:pStyle w:val="ListBullet"/>
      </w:pPr>
      <w:r>
        <w:rPr>
          <w:rFonts w:ascii="Aptos" w:hAnsi="Aptos"/>
          <w:color w:val="222222"/>
          <w:sz w:val="21"/>
        </w:rPr>
        <w:t>Five Guys should not be presented as evidence that the SDR team alone failed. The failure is broader: account ownership and customer-contact governance were not consistently visible or enforced across channels.</w:t>
      </w:r>
    </w:p>
    <w:p>
      <w:pPr>
        <w:pStyle w:val="ListBullet"/>
      </w:pPr>
      <w:r>
        <w:rPr>
          <w:rFonts w:ascii="Aptos" w:hAnsi="Aptos"/>
          <w:color w:val="222222"/>
          <w:sz w:val="21"/>
        </w:rPr>
        <w:t>The transaction-metered POS concept is internal and unapproved; it should not be described as an available Five Guys offer.</w:t>
      </w:r>
    </w:p>
    <w:p>
      <w:pPr>
        <w:pStyle w:val="ListBullet"/>
      </w:pPr>
      <w:r>
        <w:rPr>
          <w:rFonts w:ascii="Aptos" w:hAnsi="Aptos"/>
          <w:color w:val="222222"/>
          <w:sz w:val="21"/>
        </w:rPr>
        <w:t>The CPQ observations are based on the documented manual hardware-quoting experience; current system capabilities and ownership should be validated in the meeting.</w:t>
      </w:r>
    </w:p>
    <w:p>
      <w:pPr>
        <w:pStyle w:val="Heading1"/>
        <w:keepNext/>
      </w:pPr>
      <w:r>
        <w:t>Source trail</w:t>
      </w:r>
    </w:p>
    <w:p>
      <w:pPr>
        <w:pStyle w:val="ListBullet"/>
      </w:pPr>
      <w:r>
        <w:rPr>
          <w:rFonts w:ascii="Aptos Mono" w:hAnsi="Aptos Mono"/>
          <w:color w:val="222222"/>
          <w:sz w:val="18"/>
        </w:rPr>
        <w:t>system/account_intelligence/2026-07-28-worldpay-cross-sell-strategy-background-draft.md</w:t>
      </w:r>
    </w:p>
    <w:p>
      <w:pPr>
        <w:pStyle w:val="ListBullet"/>
      </w:pPr>
      <w:r>
        <w:rPr>
          <w:rFonts w:ascii="Aptos Mono" w:hAnsi="Aptos Mono"/>
          <w:color w:val="222222"/>
          <w:sz w:val="18"/>
        </w:rPr>
        <w:t>system/account_intelligence/2026-07-28-worldpay-genius-cross-sell-internal-brief.md</w:t>
      </w:r>
    </w:p>
    <w:p>
      <w:pPr>
        <w:pStyle w:val="ListBullet"/>
      </w:pPr>
      <w:r>
        <w:rPr>
          <w:rFonts w:ascii="Aptos Mono" w:hAnsi="Aptos Mono"/>
          <w:color w:val="222222"/>
          <w:sz w:val="18"/>
        </w:rPr>
        <w:t>system/account_intelligence/2026-09-04-five-guys-canonical-research.md</w:t>
      </w:r>
    </w:p>
    <w:p>
      <w:pPr>
        <w:pStyle w:val="ListBullet"/>
      </w:pPr>
      <w:r>
        <w:rPr>
          <w:rFonts w:ascii="Aptos Mono" w:hAnsi="Aptos Mono"/>
          <w:color w:val="222222"/>
          <w:sz w:val="18"/>
        </w:rPr>
        <w:t>system/feedback/2026-07-31-global-payments-first-four-weeks-feedback.md</w:t>
      </w:r>
    </w:p>
    <w:p>
      <w:pPr>
        <w:pStyle w:val="ListBullet"/>
      </w:pPr>
      <w:r>
        <w:rPr>
          <w:rFonts w:ascii="Aptos" w:hAnsi="Aptos"/>
          <w:color w:val="222222"/>
          <w:sz w:val="21"/>
        </w:rPr>
        <w:t>RB live Worldpay Master Account Plan, retrieved September 30, 2026</w:t>
      </w:r>
    </w:p>
    <w:p>
      <w:pPr>
        <w:pStyle w:val="ListBullet"/>
      </w:pPr>
      <w:r>
        <w:rPr>
          <w:rFonts w:ascii="Aptos" w:hAnsi="Aptos"/>
          <w:color w:val="222222"/>
          <w:sz w:val="21"/>
        </w:rPr>
        <w:t>RB live Five Guys Blue Sheet, retrieved September 30, 2026</w:t>
      </w:r>
    </w:p>
    <w:p>
      <w:pPr>
        <w:pStyle w:val="ListBullet"/>
      </w:pPr>
      <w:r>
        <w:rPr>
          <w:rFonts w:ascii="Aptos" w:hAnsi="Aptos"/>
          <w:color w:val="222222"/>
          <w:sz w:val="21"/>
        </w:rPr>
        <w:t>Meeting invitation supplied by Todd Vahlsing, ingested September 30, 2026</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Learning from Your Previous Experiences  |  Meeting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360"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ind w:left="576" w:hanging="346"/>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from Your Previous Experiences Meeting Brief</dc:title>
  <dc:subject>Meeting preparation notes for October 2, 2026</dc:subject>
  <dc:creator>Todd Vahlsing</dc:creator>
  <cp:keywords>meeting brief, sales process, account governance, CPQ, franchisee sales</cp:keywords>
  <dc:description>generated by python-docx</dc:description>
  <cp:lastModifiedBy/>
  <cp:revision>1</cp:revision>
  <dcterms:created xsi:type="dcterms:W3CDTF">2013-12-23T23:15:00Z</dcterms:created>
  <dcterms:modified xsi:type="dcterms:W3CDTF">2013-12-23T23:15:00Z</dcterms:modified>
  <cp:category/>
</cp:coreProperties>
</file>