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50" w:before="200"/>
      </w:pPr>
      <w:r>
        <w:rPr>
          <w:rFonts w:ascii="Arial" w:cs="Arial" w:eastAsia="Arial" w:hAnsi="Arial"/>
          <w:color w:val="1B2B83"/>
          <w:sz w:val="40"/>
          <w:szCs w:val="40"/>
        </w:rPr>
        <w:t xml:space="preserve">Esper for Stratacache Controller Fleets</w:t>
      </w:r>
    </w:p>
    <w:p>
      <w:pPr>
        <w:pBdr>
          <w:bottom w:val="single" w:color="3886E8" w:sz="10" w:space="1"/>
        </w:pBdr>
        <w:spacing w:after="80"/>
      </w:pPr>
      <w:r>
        <w:t xml:space="preserve"/>
      </w:r>
    </w:p>
    <w:p>
      <w:pPr>
        <w:spacing w:after="220"/>
      </w:pPr>
      <w:r>
        <w:rPr>
          <w:rFonts w:ascii="Arial" w:cs="Arial" w:eastAsia="Arial" w:hAnsi="Arial"/>
          <w:color w:val="008FE5"/>
          <w:sz w:val="25"/>
          <w:szCs w:val="25"/>
        </w:rPr>
        <w:t xml:space="preserve">Field Takeover, Device Management, and CMS Onboarding</w:t>
      </w:r>
    </w:p>
    <w:p>
      <w:pPr>
        <w:keepNext/>
        <w:spacing w:after="120"/>
      </w:pPr>
      <w:r>
        <w:rPr>
          <w:rFonts w:ascii="Arial" w:cs="Arial" w:eastAsia="Arial" w:hAnsi="Arial"/>
          <w:color w:val="1B2B83"/>
          <w:sz w:val="25"/>
          <w:szCs w:val="25"/>
        </w:rPr>
        <w:t xml:space="preserve">Overview</w:t>
      </w:r>
    </w:p>
    <w:p>
      <w:pPr>
        <w:spacing w:after="150" w:line="300"/>
      </w:pPr>
      <w:r>
        <w:rPr>
          <w:rFonts w:ascii="Arial" w:cs="Arial" w:eastAsia="Arial" w:hAnsi="Arial"/>
          <w:color w:val="252525"/>
          <w:sz w:val="22"/>
          <w:szCs w:val="22"/>
        </w:rPr>
        <w:t xml:space="preserve">Enterprise digital signage fleets built on Stratacache hardware — NG2, NX4, LINQ, Scala Android players, and related Stratacache (SC) controllers — are deployed across thousands of locations. Replacing this hardware is not commercially viable. Esper provides a non-destructive, remote takeover path that brings every existing controller under centralized device management, then layers a modern CMS on top — all without touching a single device on-site and without interrupting content delivery.</w:t>
      </w:r>
    </w:p>
    <w:p>
      <w:pPr>
        <w:pBdr>
          <w:bottom w:val="single" w:color="808080" w:sz="8" w:space="1"/>
        </w:pBdr>
        <w:spacing w:after="200" w:before="100"/>
      </w:pPr>
      <w:r>
        <w:t xml:space="preserve"/>
      </w:r>
    </w:p>
    <w:p>
      <w:pPr>
        <w:pStyle w:val="Heading1"/>
        <w:keepNext/>
        <w:spacing w:after="120" w:before="260"/>
      </w:pPr>
      <w:r>
        <w:rPr>
          <w:rFonts w:ascii="Arial" w:cs="Arial" w:eastAsia="Arial" w:hAnsi="Arial"/>
          <w:color w:val="1B2B83"/>
          <w:sz w:val="28"/>
          <w:szCs w:val="28"/>
        </w:rPr>
        <w:t xml:space="preserve">Step 1 — Esper Enrollment and Fleet Onboarding</w:t>
      </w:r>
    </w:p>
    <w:p>
      <w:pPr>
        <w:spacing w:after="150" w:line="300"/>
      </w:pPr>
      <w:r>
        <w:rPr>
          <w:rFonts w:ascii="Arial" w:cs="Arial" w:eastAsia="Arial" w:hAnsi="Arial"/>
          <w:color w:val="252525"/>
          <w:sz w:val="22"/>
          <w:szCs w:val="22"/>
        </w:rPr>
        <w:t xml:space="preserve">Esper’s enrollment is a </w:t>
      </w:r>
      <w:r>
        <w:rPr>
          <w:rFonts w:ascii="Arial" w:cs="Arial" w:eastAsia="Arial" w:hAnsi="Arial"/>
          <w:b/>
          <w:bCs/>
          <w:color w:val="252525"/>
          <w:sz w:val="22"/>
          <w:szCs w:val="22"/>
        </w:rPr>
        <w:t xml:space="preserve">fully remote, non-destructive process</w:t>
      </w:r>
      <w:r>
        <w:rPr>
          <w:rFonts w:ascii="Arial" w:cs="Arial" w:eastAsia="Arial" w:hAnsi="Arial"/>
          <w:color w:val="252525"/>
          <w:sz w:val="22"/>
          <w:szCs w:val="22"/>
        </w:rPr>
        <w:t xml:space="preserve">. No factory reset, hardware swap or content disruption.</w:t>
      </w:r>
    </w:p>
    <w:p>
      <w:pPr>
        <w:spacing w:after="150" w:line="300"/>
      </w:pPr>
      <w:r>
        <w:rPr>
          <w:rFonts w:ascii="Arial" w:cs="Arial" w:eastAsia="Arial" w:hAnsi="Arial"/>
          <w:color w:val="252525"/>
          <w:sz w:val="22"/>
          <w:szCs w:val="22"/>
        </w:rPr>
        <w:t xml:space="preserve">For Stratacache media players running Linux, which are a majority of current deployments, a lightweight Esper provisioning script is pushed to each controller through the existing CMS or staging tooling. The script installs the Esper agent alongside the current Stratacache software stack. Existing CMS services, content delivery, and screen operations continue running throughout — nothing is removed from the device.</w:t>
      </w:r>
    </w:p>
    <w:p>
      <w:pPr>
        <w:spacing w:after="70"/>
      </w:pPr>
      <w:r>
        <w:rPr>
          <w:rFonts w:ascii="Arial" w:cs="Arial" w:eastAsia="Arial" w:hAnsi="Arial"/>
          <w:color w:val="252525"/>
          <w:sz w:val="22"/>
          <w:szCs w:val="22"/>
        </w:rPr>
        <w:t xml:space="preserve">The agent can be configured to automatically:</w:t>
      </w:r>
    </w:p>
    <w:p>
      <w:pPr>
        <w:pStyle w:val="ListParagraph"/>
        <w:numPr>
          <w:ilvl w:val="0"/>
          <w:numId w:val="2"/>
        </w:numPr>
        <w:spacing w:after="80" w:line="300"/>
      </w:pPr>
      <w:r>
        <w:rPr>
          <w:rFonts w:ascii="Arial" w:cs="Arial" w:eastAsia="Arial" w:hAnsi="Arial"/>
          <w:color w:val="252525"/>
          <w:sz w:val="22"/>
          <w:szCs w:val="22"/>
        </w:rPr>
        <w:t xml:space="preserve">Organize devices into groups by region, store, or device type</w:t>
      </w:r>
    </w:p>
    <w:p>
      <w:pPr>
        <w:pStyle w:val="ListParagraph"/>
        <w:numPr>
          <w:ilvl w:val="0"/>
          <w:numId w:val="2"/>
        </w:numPr>
        <w:spacing w:after="80" w:line="300"/>
      </w:pPr>
      <w:r>
        <w:rPr>
          <w:rFonts w:ascii="Arial" w:cs="Arial" w:eastAsia="Arial" w:hAnsi="Arial"/>
          <w:color w:val="252525"/>
          <w:sz w:val="22"/>
          <w:szCs w:val="22"/>
        </w:rPr>
        <w:t xml:space="preserve">Add Blueprints defining the desired state for each group — app configuration, network policy, OS settings, kiosk behavior, and security posture</w:t>
      </w:r>
    </w:p>
    <w:p>
      <w:pPr>
        <w:pStyle w:val="ListParagraph"/>
        <w:numPr>
          <w:ilvl w:val="0"/>
          <w:numId w:val="2"/>
        </w:numPr>
        <w:spacing w:after="80" w:line="300"/>
      </w:pPr>
      <w:r>
        <w:rPr>
          <w:rFonts w:ascii="Arial" w:cs="Arial" w:eastAsia="Arial" w:hAnsi="Arial"/>
          <w:color w:val="252525"/>
          <w:sz w:val="22"/>
          <w:szCs w:val="22"/>
        </w:rPr>
        <w:t xml:space="preserve">Enforce Policy for configuration drift detection and correction</w:t>
      </w:r>
    </w:p>
    <w:p>
      <w:pPr>
        <w:pStyle w:val="ListParagraph"/>
        <w:numPr>
          <w:ilvl w:val="0"/>
          <w:numId w:val="2"/>
        </w:numPr>
        <w:spacing w:after="80" w:line="300"/>
      </w:pPr>
      <w:r>
        <w:rPr>
          <w:rFonts w:ascii="Arial" w:cs="Arial" w:eastAsia="Arial" w:hAnsi="Arial"/>
          <w:color w:val="252525"/>
          <w:sz w:val="22"/>
          <w:szCs w:val="22"/>
        </w:rPr>
        <w:t xml:space="preserve">Full remote access is available immediately: remote terminal, remote viewer, and OTA update management</w:t>
      </w:r>
    </w:p>
    <w:p>
      <w:pPr>
        <w:spacing w:after="160" w:before="80"/>
      </w:pPr>
      <w:r>
        <w:rPr>
          <w:rFonts w:ascii="Arial" w:cs="Arial" w:eastAsia="Arial" w:hAnsi="Arial"/>
          <w:color w:val="252525"/>
          <w:sz w:val="22"/>
          <w:szCs w:val="22"/>
        </w:rPr>
        <w:t xml:space="preserve">From this point, the operator has complete visibility and control over every enrolled device from a single console.</w:t>
      </w:r>
    </w:p>
    <w:p>
      <w:pPr>
        <w:pStyle w:val="Heading1"/>
        <w:keepNext/>
        <w:spacing w:after="120" w:before="260"/>
      </w:pPr>
      <w:r>
        <w:rPr>
          <w:rFonts w:ascii="Arial" w:cs="Arial" w:eastAsia="Arial" w:hAnsi="Arial"/>
          <w:color w:val="1B2B83"/>
          <w:sz w:val="28"/>
          <w:szCs w:val="28"/>
        </w:rPr>
        <w:t xml:space="preserve">Step 2 — DMB CMS Setup and Content Onboarding</w:t>
      </w:r>
    </w:p>
    <w:p>
      <w:pPr>
        <w:spacing w:after="150" w:line="300"/>
      </w:pPr>
      <w:r>
        <w:rPr>
          <w:rFonts w:ascii="Arial" w:cs="Arial" w:eastAsia="Arial" w:hAnsi="Arial"/>
          <w:color w:val="252525"/>
          <w:sz w:val="22"/>
          <w:szCs w:val="22"/>
        </w:rPr>
        <w:t xml:space="preserve">With the device estate under Esper management, the Digital Menu Board CMS layer is deployed and configured as a managed application. Esper is CMS-agnostic — it manages the device running the content platform, not the content itself — which means any modern digital signage CMS can be deployed, updated, and maintained remotely via Esper’s Blueprint and app management layer.</w:t>
      </w:r>
    </w:p>
    <w:p>
      <w:pPr>
        <w:spacing w:after="0"/>
      </w:pPr>
      <w:r>
        <w:rPr>
          <w:rFonts w:ascii="Arial" w:cs="Arial" w:eastAsia="Arial" w:hAnsi="Arial"/>
          <w:b/>
          <w:bCs/>
          <w:color w:val="252525"/>
          <w:sz w:val="22"/>
          <w:szCs w:val="22"/>
        </w:rPr>
        <w:t xml:space="preserve">Content onboarding typically follows three phases:</w:t>
      </w:r>
    </w:p>
    <w:p>
      <w:r>
        <w:br w:type="page"/>
      </w:r>
    </w:p>
    <w:p>
      <w:pPr>
        <w:spacing w:after="145" w:line="300"/>
      </w:pPr>
      <w:r>
        <w:rPr>
          <w:rFonts w:ascii="Arial" w:cs="Arial" w:eastAsia="Arial" w:hAnsi="Arial"/>
          <w:b/>
          <w:bCs/>
          <w:color w:val="252525"/>
          <w:sz w:val="22"/>
          <w:szCs w:val="22"/>
        </w:rPr>
        <w:t xml:space="preserve">App Deployment </w:t>
      </w:r>
      <w:r>
        <w:rPr>
          <w:rFonts w:ascii="Arial" w:cs="Arial" w:eastAsia="Arial" w:hAnsi="Arial"/>
          <w:color w:val="252525"/>
          <w:sz w:val="22"/>
          <w:szCs w:val="22"/>
        </w:rPr>
        <w:t xml:space="preserve">The chosen CMS application is pushed to enrolled device groups via Esper’s app management pipeline. Staged rollouts allow validation on a subset of stores before fleet-wide deployment. App version, install state, and runtime health are visible in the Esper console across all devices.</w:t>
      </w:r>
    </w:p>
    <w:p>
      <w:pPr>
        <w:spacing w:after="145" w:line="300"/>
      </w:pPr>
      <w:r>
        <w:rPr>
          <w:rFonts w:ascii="Arial" w:cs="Arial" w:eastAsia="Arial" w:hAnsi="Arial"/>
          <w:b/>
          <w:bCs/>
          <w:color w:val="252525"/>
          <w:sz w:val="22"/>
          <w:szCs w:val="22"/>
        </w:rPr>
        <w:t xml:space="preserve">Store Configuration </w:t>
      </w:r>
      <w:r>
        <w:rPr>
          <w:rFonts w:ascii="Arial" w:cs="Arial" w:eastAsia="Arial" w:hAnsi="Arial"/>
          <w:color w:val="252525"/>
          <w:sz w:val="22"/>
          <w:szCs w:val="22"/>
        </w:rPr>
        <w:t xml:space="preserve">Store-specific configuration — display zones, content schedules, regional metadata, and CMS authentication — is distributed to devices via Blueprint variables or CMS-side API integration. Custom Action scripts from Esper can help with zone IDs, and device naming conventions.</w:t>
      </w:r>
    </w:p>
    <w:p>
      <w:pPr>
        <w:spacing w:after="145" w:line="300"/>
      </w:pPr>
      <w:r>
        <w:rPr>
          <w:rFonts w:ascii="Arial" w:cs="Arial" w:eastAsia="Arial" w:hAnsi="Arial"/>
          <w:b/>
          <w:bCs/>
          <w:color w:val="252525"/>
          <w:sz w:val="22"/>
          <w:szCs w:val="22"/>
        </w:rPr>
        <w:t xml:space="preserve">Ongoing Content Operations </w:t>
      </w:r>
      <w:r>
        <w:rPr>
          <w:rFonts w:ascii="Arial" w:cs="Arial" w:eastAsia="Arial" w:hAnsi="Arial"/>
          <w:color w:val="252525"/>
          <w:sz w:val="22"/>
          <w:szCs w:val="22"/>
        </w:rPr>
        <w:t xml:space="preserve">Once the CMS is live, day-to-day content updates — campaign changes, LTO launches, menu updates — flow through the CMS layer independently of Esper. Esper handles the infrastructure underneath: OS health, connectivity, app stability, and remote remediation. If a screen goes dark or an app crashes, the operations team can diagnose and resolve remotely without a site visit.</w:t>
      </w:r>
    </w:p>
    <w:p>
      <w:pPr>
        <w:pBdr>
          <w:bottom w:val="single" w:color="808080" w:sz="8" w:space="1"/>
        </w:pBdr>
        <w:spacing w:after="200" w:before="100"/>
      </w:pPr>
      <w:r>
        <w:t xml:space="preserve"/>
      </w:r>
    </w:p>
    <w:p>
      <w:pPr>
        <w:pStyle w:val="Heading1"/>
        <w:keepNext/>
        <w:spacing w:after="120" w:before="260"/>
      </w:pPr>
      <w:r>
        <w:rPr>
          <w:rFonts w:ascii="Arial" w:cs="Arial" w:eastAsia="Arial" w:hAnsi="Arial"/>
          <w:color w:val="1B2B83"/>
          <w:sz w:val="28"/>
          <w:szCs w:val="28"/>
        </w:rPr>
        <w:t xml:space="preserve">The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360"/>
      </w:tblGrid>
      <w:tr>
        <w:trPr>
          <w:tblHeader/>
        </w:trPr>
        <w:tc>
          <w:tcPr>
            <w:tcW w:type="dxa" w:w="390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Layer</w:t>
            </w:r>
          </w:p>
        </w:tc>
        <w:tc>
          <w:tcPr>
            <w:tcW w:type="dxa" w:w="210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Owned By</w:t>
            </w:r>
          </w:p>
        </w:tc>
        <w:tc>
          <w:tcPr>
            <w:tcW w:type="dxa" w:w="336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What It Does</w:t>
            </w:r>
          </w:p>
        </w:tc>
      </w:tr>
      <w:tr>
        <w:tc>
          <w:tcPr>
            <w:tcW w:type="dxa" w:w="39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Hardware (NG2, NX4, LINQ, Scala Android, SC controllers)</w:t>
            </w:r>
          </w:p>
        </w:tc>
        <w:tc>
          <w:tcPr>
            <w:tcW w:type="dxa" w:w="21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Customer</w:t>
            </w:r>
          </w:p>
        </w:tc>
        <w:tc>
          <w:tcPr>
            <w:tcW w:type="dxa" w:w="33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Unchanged — same devices in the field</w:t>
            </w:r>
          </w:p>
        </w:tc>
      </w:tr>
      <w:tr>
        <w:tc>
          <w:tcPr>
            <w:tcW w:type="dxa" w:w="39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Device infrastructure (OS, policy, firmware, remote access)</w:t>
            </w:r>
          </w:p>
        </w:tc>
        <w:tc>
          <w:tcPr>
            <w:tcW w:type="dxa" w:w="21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Esper</w:t>
            </w:r>
          </w:p>
        </w:tc>
        <w:tc>
          <w:tcPr>
            <w:tcW w:type="dxa" w:w="33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Enrollment, Blueprints, telemetry, OTA, remote control</w:t>
            </w:r>
          </w:p>
        </w:tc>
      </w:tr>
      <w:tr>
        <w:tc>
          <w:tcPr>
            <w:tcW w:type="dxa" w:w="39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Content platform (CMS, scheduling, playlists, campaigns)</w:t>
            </w:r>
          </w:p>
        </w:tc>
        <w:tc>
          <w:tcPr>
            <w:tcW w:type="dxa" w:w="21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CMS vendor</w:t>
            </w:r>
          </w:p>
        </w:tc>
        <w:tc>
          <w:tcPr>
            <w:tcW w:type="dxa" w:w="33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Content delivery, campaign management, store config</w:t>
            </w:r>
          </w:p>
        </w:tc>
      </w:tr>
    </w:tbl>
    <w:p>
      <w:pPr>
        <w:spacing w:after="140" w:before="80"/>
      </w:pPr>
      <w:r>
        <w:rPr>
          <w:rFonts w:ascii="Arial" w:cs="Arial" w:eastAsia="Arial" w:hAnsi="Arial"/>
          <w:color w:val="252525"/>
          <w:sz w:val="22"/>
          <w:szCs w:val="22"/>
        </w:rPr>
        <w:t xml:space="preserve">Esper can recommend CMS vendors or work with a CMS of choice. Esper does not engage in content scheduling, playlist management, or CMS workflows. The separation of the layers operationally gives the company the advantage to evaluate and operate different signage providers.</w:t>
      </w:r>
    </w:p>
    <w:p>
      <w:pPr>
        <w:pStyle w:val="Heading1"/>
        <w:keepNext/>
        <w:spacing w:after="120" w:before="260"/>
      </w:pPr>
      <w:r>
        <w:rPr>
          <w:rFonts w:ascii="Arial" w:cs="Arial" w:eastAsia="Arial" w:hAnsi="Arial"/>
          <w:color w:val="1B2B83"/>
          <w:sz w:val="28"/>
          <w:szCs w:val="28"/>
        </w:rPr>
        <w:t xml:space="preserve">Supported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940"/>
        <w:gridCol w:w="1700"/>
        <w:gridCol w:w="2660"/>
      </w:tblGrid>
      <w:tr>
        <w:trPr>
          <w:tblHeader/>
        </w:trPr>
        <w:tc>
          <w:tcPr>
            <w:tcW w:type="dxa" w:w="306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Device</w:t>
            </w:r>
          </w:p>
        </w:tc>
        <w:tc>
          <w:tcPr>
            <w:tcW w:type="dxa" w:w="194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OS</w:t>
            </w:r>
          </w:p>
        </w:tc>
        <w:tc>
          <w:tcPr>
            <w:tcW w:type="dxa" w:w="170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Architecture</w:t>
            </w:r>
          </w:p>
        </w:tc>
        <w:tc>
          <w:tcPr>
            <w:tcW w:type="dxa" w:w="266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Status</w:t>
            </w:r>
          </w:p>
        </w:tc>
      </w:tr>
      <w:tr>
        <w:tc>
          <w:tcPr>
            <w:tcW w:type="dxa" w:w="30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Stratacache NG2 (Spectra NG2)</w:t>
            </w:r>
          </w:p>
        </w:tc>
        <w:tc>
          <w:tcPr>
            <w:tcW w:type="dxa" w:w="194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Ubuntu 16.04</w:t>
            </w:r>
          </w:p>
        </w:tc>
        <w:tc>
          <w:tcPr>
            <w:tcW w:type="dxa" w:w="17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ARMv7 32-bit</w:t>
            </w:r>
          </w:p>
        </w:tc>
        <w:tc>
          <w:tcPr>
            <w:tcW w:type="dxa" w:w="26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Production — live at scale</w:t>
            </w:r>
          </w:p>
        </w:tc>
      </w:tr>
      <w:tr>
        <w:tc>
          <w:tcPr>
            <w:tcW w:type="dxa" w:w="30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Stratacache NX4 (Jetson Nano)</w:t>
            </w:r>
          </w:p>
        </w:tc>
        <w:tc>
          <w:tcPr>
            <w:tcW w:type="dxa" w:w="194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Ubuntu 20.04</w:t>
            </w:r>
          </w:p>
        </w:tc>
        <w:tc>
          <w:tcPr>
            <w:tcW w:type="dxa" w:w="17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aarch64 64-bit</w:t>
            </w:r>
          </w:p>
        </w:tc>
        <w:tc>
          <w:tcPr>
            <w:tcW w:type="dxa" w:w="26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Production — live at scale</w:t>
            </w:r>
          </w:p>
        </w:tc>
      </w:tr>
      <w:tr>
        <w:tc>
          <w:tcPr>
            <w:tcW w:type="dxa" w:w="30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Stratacache LINQ (Android tablet) or Scala Android player</w:t>
            </w:r>
          </w:p>
        </w:tc>
        <w:tc>
          <w:tcPr>
            <w:tcW w:type="dxa" w:w="194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Android</w:t>
            </w:r>
          </w:p>
        </w:tc>
        <w:tc>
          <w:tcPr>
            <w:tcW w:type="dxa" w:w="17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ARM</w:t>
            </w:r>
          </w:p>
        </w:tc>
        <w:tc>
          <w:tcPr>
            <w:tcW w:type="dxa" w:w="26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b w:val="false"/>
                <w:bCs w:val="false"/>
                <w:color w:val="252525"/>
                <w:sz w:val="20"/>
                <w:szCs w:val="20"/>
              </w:rPr>
              <w:t xml:space="preserve">Supported via standard Esper Android agent</w:t>
            </w:r>
          </w:p>
        </w:tc>
      </w:tr>
    </w:tbl>
    <w:p>
      <w:pPr>
        <w:pStyle w:val="Heading1"/>
        <w:keepNext/>
        <w:spacing w:after="120" w:before="260"/>
      </w:pPr>
      <w:r>
        <w:rPr>
          <w:rFonts w:ascii="Arial" w:cs="Arial" w:eastAsia="Arial" w:hAnsi="Arial"/>
          <w:color w:val="1B2B83"/>
          <w:sz w:val="28"/>
          <w:szCs w:val="28"/>
        </w:rPr>
        <w:t xml:space="preserve">What Esper Delivers Across the Estate</w:t>
      </w:r>
    </w:p>
    <w:p>
      <w:pPr>
        <w:spacing w:after="145" w:line="300"/>
      </w:pPr>
      <w:r>
        <w:rPr>
          <w:rFonts w:ascii="Arial" w:cs="Arial" w:eastAsia="Arial" w:hAnsi="Arial"/>
          <w:b/>
          <w:bCs/>
          <w:color w:val="252525"/>
          <w:sz w:val="22"/>
          <w:szCs w:val="22"/>
        </w:rPr>
        <w:t xml:space="preserve">Remote Management </w:t>
      </w:r>
      <w:r>
        <w:rPr>
          <w:rFonts w:ascii="Arial" w:cs="Arial" w:eastAsia="Arial" w:hAnsi="Arial"/>
          <w:color w:val="252525"/>
          <w:sz w:val="22"/>
          <w:szCs w:val="22"/>
        </w:rPr>
        <w:t xml:space="preserve">Remote terminal and remote viewer on any enrolled device — diagnose and resolve incidents from a central console without dispatching a technician.</w:t>
      </w:r>
    </w:p>
    <w:p>
      <w:pPr>
        <w:spacing w:after="145" w:line="300"/>
      </w:pPr>
      <w:r>
        <w:rPr>
          <w:rFonts w:ascii="Arial" w:cs="Arial" w:eastAsia="Arial" w:hAnsi="Arial"/>
          <w:b/>
          <w:bCs/>
          <w:color w:val="252525"/>
          <w:sz w:val="22"/>
          <w:szCs w:val="22"/>
        </w:rPr>
        <w:t xml:space="preserve">Blueprints and Policy Enforcement </w:t>
      </w:r>
      <w:r>
        <w:rPr>
          <w:rFonts w:ascii="Arial" w:cs="Arial" w:eastAsia="Arial" w:hAnsi="Arial"/>
          <w:color w:val="252525"/>
          <w:sz w:val="22"/>
          <w:szCs w:val="22"/>
        </w:rPr>
        <w:t xml:space="preserve">Define device state once, enforce it everywhere. OS configuration, app policy, network settings, and kiosk mode are applied consistently across every device in a group.</w:t>
      </w:r>
    </w:p>
    <w:p>
      <w:pPr>
        <w:spacing w:after="145" w:line="300"/>
      </w:pPr>
      <w:r>
        <w:rPr>
          <w:rFonts w:ascii="Arial" w:cs="Arial" w:eastAsia="Arial" w:hAnsi="Arial"/>
          <w:b/>
          <w:bCs/>
          <w:color w:val="252525"/>
          <w:sz w:val="22"/>
          <w:szCs w:val="22"/>
        </w:rPr>
        <w:t xml:space="preserve">OTA Update Management </w:t>
      </w:r>
      <w:r>
        <w:rPr>
          <w:rFonts w:ascii="Arial" w:cs="Arial" w:eastAsia="Arial" w:hAnsi="Arial"/>
          <w:color w:val="252525"/>
          <w:sz w:val="22"/>
          <w:szCs w:val="22"/>
        </w:rPr>
        <w:t xml:space="preserve">Staged firmware and OS update delivery via Esper Airwave — test on a subset, validate, then push fleet-wide with rollback controls. No manual updates, no truck rolls.</w:t>
      </w:r>
    </w:p>
    <w:p>
      <w:pPr>
        <w:spacing w:after="145" w:line="300"/>
      </w:pPr>
      <w:r>
        <w:rPr>
          <w:rFonts w:ascii="Arial" w:cs="Arial" w:eastAsia="Arial" w:hAnsi="Arial"/>
          <w:b/>
          <w:bCs/>
          <w:color w:val="252525"/>
          <w:sz w:val="22"/>
          <w:szCs w:val="22"/>
        </w:rPr>
        <w:t xml:space="preserve">Fleet Telemetry and Proactive Alerting </w:t>
      </w:r>
      <w:r>
        <w:rPr>
          <w:rFonts w:ascii="Arial" w:cs="Arial" w:eastAsia="Arial" w:hAnsi="Arial"/>
          <w:color w:val="252525"/>
          <w:sz w:val="22"/>
          <w:szCs w:val="22"/>
        </w:rPr>
        <w:t xml:space="preserve">Real-time visibility into device health, connectivity, app versions, and OS state. Proactive alerting surfaces issues before they generate support tickets or require site visits.</w:t>
      </w:r>
    </w:p>
    <w:p>
      <w:pPr>
        <w:spacing w:after="145" w:line="300"/>
      </w:pPr>
      <w:r>
        <w:rPr>
          <w:rFonts w:ascii="Arial" w:cs="Arial" w:eastAsia="Arial" w:hAnsi="Arial"/>
          <w:b/>
          <w:bCs/>
          <w:color w:val="252525"/>
          <w:sz w:val="22"/>
          <w:szCs w:val="22"/>
        </w:rPr>
        <w:t xml:space="preserve">Zero-Touch Provisioning for New Stores </w:t>
      </w:r>
      <w:r>
        <w:rPr>
          <w:rFonts w:ascii="Arial" w:cs="Arial" w:eastAsia="Arial" w:hAnsi="Arial"/>
          <w:color w:val="252525"/>
          <w:sz w:val="22"/>
          <w:szCs w:val="22"/>
        </w:rPr>
        <w:t xml:space="preserve">New locations provision automatically at first boot via serial-number pre-assignment — no on-site configuration required for net-new deployments.</w:t>
      </w:r>
    </w:p>
    <w:p>
      <w:pPr>
        <w:pStyle w:val="Heading1"/>
        <w:keepNext/>
        <w:spacing w:after="120" w:before="260"/>
      </w:pPr>
      <w:r>
        <w:rPr>
          <w:rFonts w:ascii="Arial" w:cs="Arial" w:eastAsia="Arial" w:hAnsi="Arial"/>
          <w:color w:val="1B2B83"/>
          <w:sz w:val="28"/>
          <w:szCs w:val="28"/>
        </w:rPr>
        <w:t xml:space="preserve">Proven at Enterprise Scale</w:t>
      </w:r>
    </w:p>
    <w:p>
      <w:pPr>
        <w:spacing w:after="150" w:line="300"/>
      </w:pPr>
      <w:r>
        <w:rPr>
          <w:rFonts w:ascii="Arial" w:cs="Arial" w:eastAsia="Arial" w:hAnsi="Arial"/>
          <w:color w:val="252525"/>
          <w:sz w:val="22"/>
          <w:szCs w:val="22"/>
        </w:rPr>
        <w:t xml:space="preserve">Esper has completed this migration on </w:t>
      </w:r>
      <w:r>
        <w:rPr>
          <w:rFonts w:ascii="Arial" w:cs="Arial" w:eastAsia="Arial" w:hAnsi="Arial"/>
          <w:b/>
          <w:bCs/>
          <w:color w:val="252525"/>
          <w:sz w:val="22"/>
          <w:szCs w:val="22"/>
        </w:rPr>
        <w:t xml:space="preserve">thousands of Stratacache Linux controllers</w:t>
      </w:r>
      <w:r>
        <w:rPr>
          <w:rFonts w:ascii="Arial" w:cs="Arial" w:eastAsia="Arial" w:hAnsi="Arial"/>
          <w:color w:val="252525"/>
          <w:sz w:val="22"/>
          <w:szCs w:val="22"/>
        </w:rPr>
        <w:t xml:space="preserve"> (NG2 and NX4) for multiple top-10 QSR brands. The provisioning tooling, agent compatibility, and deployment automation are production-hardened and available for new engagements immediately.</w:t>
      </w:r>
    </w:p>
    <w:p>
      <w:pPr>
        <w:pStyle w:val="Heading1"/>
        <w:keepNext/>
        <w:spacing w:after="120" w:before="260"/>
      </w:pPr>
      <w:r>
        <w:rPr>
          <w:rFonts w:ascii="Arial" w:cs="Arial" w:eastAsia="Arial" w:hAnsi="Arial"/>
          <w:color w:val="1B2B83"/>
          <w:sz w:val="28"/>
          <w:szCs w:val="28"/>
        </w:rPr>
        <w:t xml:space="preserve">Commercial Structure</w:t>
      </w:r>
    </w:p>
    <w:p>
      <w:pPr>
        <w:spacing w:after="150" w:line="300"/>
      </w:pPr>
      <w:r>
        <w:rPr>
          <w:rFonts w:ascii="Arial" w:cs="Arial" w:eastAsia="Arial" w:hAnsi="Arial"/>
          <w:color w:val="252525"/>
          <w:sz w:val="22"/>
          <w:szCs w:val="22"/>
        </w:rPr>
        <w:t xml:space="preserve">Esper is priced on a </w:t>
      </w:r>
      <w:r>
        <w:rPr>
          <w:rFonts w:ascii="Arial" w:cs="Arial" w:eastAsia="Arial" w:hAnsi="Arial"/>
          <w:b/>
          <w:bCs/>
          <w:color w:val="252525"/>
          <w:sz w:val="22"/>
          <w:szCs w:val="22"/>
        </w:rPr>
        <w:t xml:space="preserve">per-enrolled-device basis</w:t>
      </w:r>
      <w:r>
        <w:rPr>
          <w:rFonts w:ascii="Arial" w:cs="Arial" w:eastAsia="Arial" w:hAnsi="Arial"/>
          <w:color w:val="252525"/>
          <w:sz w:val="22"/>
          <w:szCs w:val="22"/>
        </w:rPr>
        <w:t xml:space="preserve"> using standard MDM tiers. Device enrollment and associated management services are included. There are no additional charges for the takeover migration process itself.</w:t>
      </w:r>
    </w:p>
    <w:p>
      <w:pPr>
        <w:pStyle w:val="Heading1"/>
        <w:keepNext/>
        <w:spacing w:after="120" w:before="260"/>
      </w:pPr>
      <w:r>
        <w:rPr>
          <w:rFonts w:ascii="Arial" w:cs="Arial" w:eastAsia="Arial" w:hAnsi="Arial"/>
          <w:color w:val="1B2B83"/>
          <w:sz w:val="28"/>
          <w:szCs w:val="28"/>
        </w:rPr>
        <w:t xml:space="preserve">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Resource</w:t>
            </w:r>
          </w:p>
        </w:tc>
        <w:tc>
          <w:tcPr>
            <w:tcW w:type="dxa" w:w="4560"/>
            <w:tcBorders>
              <w:top w:val="single" w:color="222222" w:sz="8"/>
              <w:left w:val="single" w:color="222222" w:sz="8"/>
              <w:bottom w:val="single" w:color="222222" w:sz="8"/>
              <w:right w:val="single" w:color="222222" w:sz="8"/>
            </w:tcBorders>
            <w:shd w:fill="F2F2F2" w:val="clear"/>
            <w:tcMar>
              <w:top w:type="dxa" w:w="70"/>
              <w:left w:type="dxa" w:w="100"/>
              <w:bottom w:type="dxa" w:w="70"/>
              <w:right w:type="dxa" w:w="100"/>
            </w:tcMar>
          </w:tcPr>
          <w:p>
            <w:pPr>
              <w:spacing w:after="0" w:line="270"/>
            </w:pPr>
            <w:r>
              <w:rPr>
                <w:rFonts w:ascii="Arial" w:cs="Arial" w:eastAsia="Arial" w:hAnsi="Arial"/>
                <w:b/>
                <w:bCs/>
                <w:color w:val="252525"/>
                <w:sz w:val="20"/>
                <w:szCs w:val="20"/>
              </w:rPr>
              <w:t xml:space="preserve">Link</w:t>
            </w:r>
          </w:p>
        </w:tc>
      </w:tr>
      <w:tr>
        <w:tc>
          <w:tcPr>
            <w:tcW w:type="dxa" w:w="48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color w:val="252525"/>
                <w:sz w:val="20"/>
                <w:szCs w:val="20"/>
              </w:rPr>
              <w:t xml:space="preserve">Migration overview and FAQ</w:t>
            </w:r>
          </w:p>
        </w:tc>
        <w:tc>
          <w:tcPr>
            <w:tcW w:type="dxa" w:w="45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pPr>
            <w:hyperlink w:history="1" r:id="rId3ah-g8gffdkg6gjed1ral">
              <w:r>
                <w:rPr>
                  <w:rStyle w:val="Hyperlink"/>
                  <w:rFonts w:ascii="Arial" w:cs="Arial" w:eastAsia="Arial" w:hAnsi="Arial"/>
                  <w:sz w:val="20"/>
                  <w:szCs w:val="20"/>
                </w:rPr>
                <w:t xml:space="preserve">esper.io/device/digital-signage-migration</w:t>
              </w:r>
            </w:hyperlink>
          </w:p>
        </w:tc>
      </w:tr>
      <w:tr>
        <w:tc>
          <w:tcPr>
            <w:tcW w:type="dxa" w:w="480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line="270"/>
            </w:pPr>
            <w:r>
              <w:rPr>
                <w:rFonts w:ascii="Arial" w:cs="Arial" w:eastAsia="Arial" w:hAnsi="Arial"/>
                <w:color w:val="252525"/>
                <w:sz w:val="20"/>
                <w:szCs w:val="20"/>
              </w:rPr>
              <w:t xml:space="preserve">Help documentation</w:t>
            </w:r>
          </w:p>
        </w:tc>
        <w:tc>
          <w:tcPr>
            <w:tcW w:type="dxa" w:w="4560"/>
            <w:tcBorders>
              <w:top w:val="single" w:color="222222" w:sz="8"/>
              <w:left w:val="single" w:color="222222" w:sz="8"/>
              <w:bottom w:val="single" w:color="222222" w:sz="8"/>
              <w:right w:val="single" w:color="222222" w:sz="8"/>
            </w:tcBorders>
            <w:tcMar>
              <w:top w:type="dxa" w:w="70"/>
              <w:left w:type="dxa" w:w="100"/>
              <w:bottom w:type="dxa" w:w="70"/>
              <w:right w:type="dxa" w:w="100"/>
            </w:tcMar>
          </w:tcPr>
          <w:p>
            <w:pPr>
              <w:spacing w:after="0"/>
            </w:pPr>
            <w:hyperlink w:history="1" r:id="rIdncywrv2pweowwcfyaqcoy">
              <w:r>
                <w:rPr>
                  <w:rStyle w:val="Hyperlink"/>
                  <w:rFonts w:ascii="Arial" w:cs="Arial" w:eastAsia="Arial" w:hAnsi="Arial"/>
                  <w:sz w:val="20"/>
                  <w:szCs w:val="20"/>
                </w:rPr>
                <w:t xml:space="preserve">help.esper.io</w:t>
              </w:r>
            </w:hyperlink>
          </w:p>
        </w:tc>
      </w:tr>
    </w:tbl>
    <w:p>
      <w:pPr>
        <w:spacing w:after="0" w:before="260"/>
      </w:pPr>
      <w:r>
        <w:rPr>
          <w:rFonts w:ascii="Arial" w:cs="Arial" w:eastAsia="Arial" w:hAnsi="Arial"/>
          <w:i/>
          <w:iCs/>
          <w:color w:val="252525"/>
          <w:sz w:val="22"/>
          <w:szCs w:val="22"/>
        </w:rPr>
        <w:t xml:space="preserve">For hardware compatibility confirmation, deployment scoping, and timeline estimates, contact your Esper account team.</w:t>
      </w:r>
    </w:p>
    <w:sectPr>
      <w:headerReference w:type="default" r:id="rId7"/>
      <w:footerReference w:type="default" r:id="rId8"/>
      <w:pgSz w:w="12240" w:h="15840" w:orient="portrait"/>
      <w:pgMar w:top="720" w:right="1440" w:bottom="720" w:left="144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right"/>
    </w:pPr>
    <w:r>
      <w:rPr>
        <w:rFonts w:ascii="Arial" w:cs="Arial" w:eastAsia="Arial" w:hAnsi="Arial"/>
        <w:color w:val="252525"/>
        <w:sz w:val="18"/>
        <w:szCs w:val="18"/>
      </w:rPr>
      <w:t xml:space="preserve">Esper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7155B3" w:sz="34" w:space="1"/>
      </w:pBdr>
      <w:spacing w:after="0"/>
      <w:jc w:val="right"/>
    </w:pPr>
    <w:r>
      <w:rPr>
        <w:rFonts w:ascii="Arial" w:cs="Arial" w:eastAsia="Arial" w:hAnsi="Arial"/>
        <w:color w:val="7B6FA8"/>
        <w:sz w:val="20"/>
        <w:szCs w:val="20"/>
      </w:rPr>
      <w:t xml:space="preserve">◇ esper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5252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color w:val="1B2B8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ah-g8gffdkg6gjed1ral" Type="http://schemas.openxmlformats.org/officeDocument/2006/relationships/hyperlink" Target="https://esper.io/device/digital-signage-migration" TargetMode="External"/><Relationship Id="rIdncywrv2pweowwcfyaqcoy" Type="http://schemas.openxmlformats.org/officeDocument/2006/relationships/hyperlink" Target="https://help.esper.i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2026-09-22T16:27:23.342Z</dcterms:created>
  <dcterms:modified xsi:type="dcterms:W3CDTF">2026-09-22T16:27:23.347Z</dcterms:modified>
</cp:coreProperties>
</file>

<file path=docProps/custom.xml><?xml version="1.0" encoding="utf-8"?>
<Properties xmlns="http://schemas.openxmlformats.org/officeDocument/2006/custom-properties" xmlns:vt="http://schemas.openxmlformats.org/officeDocument/2006/docPropsVTypes"/>
</file>