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000000"/>
          <w:sz w:val="46"/>
        </w:rPr>
        <w:t>DECISION MEMO</w:t>
      </w:r>
    </w:p>
    <w:p>
      <w:pPr>
        <w:spacing w:after="280"/>
      </w:pPr>
      <w:r>
        <w:rPr>
          <w:color w:val="5A626C"/>
          <w:sz w:val="28"/>
        </w:rPr>
        <w:t>Productizing Relationship Builder Without Losing Its Personal Intelligence</w:t>
      </w:r>
    </w:p>
    <w:p>
      <w:pPr>
        <w:spacing w:after="40"/>
      </w:pPr>
      <w:r>
        <w:rPr>
          <w:b/>
          <w:sz w:val="21"/>
        </w:rPr>
        <w:t xml:space="preserve">To: </w:t>
      </w:r>
      <w:r>
        <w:rPr>
          <w:sz w:val="21"/>
        </w:rPr>
        <w:t>Todd Vahlsing and the RB build team</w:t>
      </w:r>
    </w:p>
    <w:p>
      <w:pPr>
        <w:spacing w:after="40"/>
      </w:pPr>
      <w:r>
        <w:rPr>
          <w:b/>
          <w:sz w:val="21"/>
        </w:rPr>
        <w:t xml:space="preserve">From: </w:t>
      </w:r>
      <w:r>
        <w:rPr>
          <w:sz w:val="21"/>
        </w:rPr>
        <w:t>Codex</w:t>
      </w:r>
    </w:p>
    <w:p>
      <w:pPr>
        <w:spacing w:after="40"/>
      </w:pPr>
      <w:r>
        <w:rPr>
          <w:b/>
          <w:sz w:val="21"/>
        </w:rPr>
        <w:t xml:space="preserve">Date: </w:t>
      </w:r>
      <w:r>
        <w:rPr>
          <w:sz w:val="21"/>
        </w:rPr>
        <w:t>June 9, 2026</w:t>
      </w:r>
    </w:p>
    <w:p>
      <w:pPr>
        <w:spacing w:after="40"/>
      </w:pPr>
      <w:r>
        <w:rPr>
          <w:b/>
          <w:sz w:val="21"/>
        </w:rPr>
        <w:t xml:space="preserve">Re: </w:t>
      </w:r>
      <w:r>
        <w:rPr>
          <w:sz w:val="21"/>
        </w:rPr>
        <w:t>Architecture risk, Todd-specific assumption audit, and first productization workstream</w:t>
      </w:r>
    </w:p>
    <w:p>
      <w:pPr>
        <w:spacing w:after="40"/>
      </w:pPr>
      <w:r>
        <w:rPr>
          <w:b/>
          <w:sz w:val="21"/>
        </w:rPr>
        <w:t xml:space="preserve">Decision: </w:t>
      </w:r>
      <w:r>
        <w:rPr>
          <w:sz w:val="21"/>
        </w:rPr>
        <w:t>Begin with a controlled catalog and tenant-separation program before adding major product surface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Recommendation: </w:t>
            </w:r>
            <w:r>
              <w:t>Treat the current system as a successful single-user reference implementation. Preserve its intelligence logic and Todd's private corpus, while moving identity, configuration, storage, scheduling, authentication, and connectors behind explicit user and tenant boundaries.</w:t>
            </w:r>
          </w:p>
        </w:tc>
      </w:tr>
    </w:tbl>
    <w:p>
      <w:pPr>
        <w:spacing w:after="0"/>
      </w:pPr>
    </w:p>
    <w:p>
      <w:pPr>
        <w:pStyle w:val="Heading1"/>
      </w:pPr>
      <w:r>
        <w:t>Why This Matters</w:t>
      </w:r>
    </w:p>
    <w:p>
      <w:r>
        <w:t>The concern is valid: RB currently delivers meaningful value, but its operating environment still depends on Todd's Mac, accounts, profile, schedules, paths, credentials, and industry context. That creates a real risk that a second user would receive a renamed version of Todd's system rather than a genuinely personal RB instance.</w:t>
      </w:r>
    </w:p>
    <w:p>
      <w:r>
        <w:t>This is a productization problem, not evidence that the intelligence engine was built incorrectly. The system already contains the beginnings of the right architecture, including profile directories, an active-profile loader, and tests against person-specific schema fields. The next work should complete and enforce those boundaries.</w:t>
      </w:r>
    </w:p>
    <w:p>
      <w:pPr>
        <w:pStyle w:val="Heading1"/>
      </w:pPr>
      <w:r>
        <w:t>The Critical Distinction</w:t>
      </w:r>
    </w:p>
    <w:p>
      <w:pPr>
        <w:pStyle w:val="ListBullet"/>
      </w:pPr>
      <w:r>
        <w:t>Shared product logic should be user-neutral and reusable.</w:t>
      </w:r>
    </w:p>
    <w:p>
      <w:pPr>
        <w:pStyle w:val="ListBullet"/>
      </w:pPr>
      <w:r>
        <w:t>Tenant configuration should hold identity, timezone, voice, boundaries, connected accounts, schedules, and opportunity context.</w:t>
      </w:r>
    </w:p>
    <w:p>
      <w:pPr>
        <w:pStyle w:val="ListBullet"/>
      </w:pPr>
      <w:r>
        <w:t>Todd's private corpus should be preserved intact, but isolated as one tenant's data rather than reused as product defaults.</w:t>
      </w:r>
    </w:p>
    <w:p>
      <w:pPr>
        <w:pStyle w:val="ListBullet"/>
      </w:pPr>
      <w:r>
        <w:t>Historical sprint documents and Todd-specific test traces should remain as provenance, but must not function as current universal contracts.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Safety rule: </w:t>
            </w:r>
            <w:r>
              <w:t>Do not globally replace or delete the word Todd. The repository also contains legitimate tenant history, test fixtures, and unrelated contacts named Todd. Every occurrence must be classified before action.</w:t>
            </w:r>
          </w:p>
        </w:tc>
      </w:tr>
    </w:tbl>
    <w:p>
      <w:pPr>
        <w:spacing w:after="0"/>
      </w:pPr>
    </w:p>
    <w:p>
      <w:pPr>
        <w:pStyle w:val="Heading1"/>
      </w:pPr>
      <w:r>
        <w:t>Initial Evidence</w:t>
      </w:r>
    </w:p>
    <w:p>
      <w:r>
        <w:t>A targeted scan of shared Python runtime and API files found 119 candidate references across 30 files. This count covers Todd-specific dispositions, schema fields, identity values, profile paths, machine paths, and timezone assumptions. It is a candidate inventory, not a final defect count.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Observed pattern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Required direction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Profile resolution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Hard-coded todd_vahlsing paths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Authenticated tenant/profile context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Canonical schema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why_this_matters_to_todd; new_to_todd_likely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Neutral fields with compatibility readers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User decisions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ask_todd; needs_todd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Neutral machine values; personalized rendering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Self identity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Todd name and email embedded in engines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Profile and connector self aliases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Host runtime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Todd home paths, LaunchAgents, localhost topology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Configurable roots and deployment adapters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One shared static API key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User/workspace authentication and scoped tokens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State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Shared JSON, cache, and database files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Tenant-scoped storage abstraction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Tests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Todd/Chicago/restaurant-tech assumptions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Cross-profile isolation suite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t>What Must Be Cataloged</w:t>
      </w:r>
    </w:p>
    <w:p>
      <w:pPr>
        <w:pStyle w:val="ListBullet"/>
      </w:pPr>
      <w:r>
        <w:t>Names, email aliases, profile IDs, career details, BridgePoint language, industry assumptions, and drafting voice.</w:t>
      </w:r>
    </w:p>
    <w:p>
      <w:pPr>
        <w:pStyle w:val="ListBullet"/>
      </w:pPr>
      <w:r>
        <w:t>Todd-specific schema and vocabulary embedded in APIs, prompts, canonical responses, and persistence.</w:t>
      </w:r>
    </w:p>
    <w:p>
      <w:pPr>
        <w:pStyle w:val="ListBullet"/>
      </w:pPr>
      <w:r>
        <w:t>Absolute paths, local ports, application-support directories, Downloads folders, and macOS-only scheduling.</w:t>
      </w:r>
    </w:p>
    <w:p>
      <w:pPr>
        <w:pStyle w:val="ListBullet"/>
      </w:pPr>
      <w:r>
        <w:t>Credentials, API-key handling, connector grants, and any secret copied into generated configuration.</w:t>
      </w:r>
    </w:p>
    <w:p>
      <w:pPr>
        <w:pStyle w:val="ListBullet"/>
      </w:pPr>
      <w:r>
        <w:t>Shared state that lacks tenant, workspace, user, or profile ownership.</w:t>
      </w:r>
    </w:p>
    <w:p>
      <w:pPr>
        <w:pStyle w:val="ListBullet"/>
      </w:pPr>
      <w:r>
        <w:t>Historical documents and generated tenant artifacts that must be preserved but removed from universal product instructions.</w:t>
      </w:r>
    </w:p>
    <w:p>
      <w:pPr>
        <w:pStyle w:val="Heading1"/>
      </w:pPr>
      <w:r>
        <w:t>Recommended Architecture</w:t>
      </w:r>
    </w:p>
    <w:p>
      <w:pPr>
        <w:pStyle w:val="ListBullet"/>
      </w:pPr>
      <w:r>
        <w:t>RB Cloud: authentication, tenant storage, relationship graph, intelligence jobs, audit records, and the Bridgepoint API.</w:t>
      </w:r>
    </w:p>
    <w:p>
      <w:pPr>
        <w:pStyle w:val="ListBullet"/>
      </w:pPr>
      <w:r>
        <w:t>RB clients: web application and ChatGPT integration, both acting as authenticated clients of RB.</w:t>
      </w:r>
    </w:p>
    <w:p>
      <w:pPr>
        <w:pStyle w:val="ListBullet"/>
      </w:pPr>
      <w:r>
        <w:t>Optional local companion: only for Apple or other sources that genuinely require local access.</w:t>
      </w:r>
    </w:p>
    <w:p>
      <w:pPr>
        <w:pStyle w:val="ListBullet"/>
      </w:pPr>
      <w:r>
        <w:t>Connector layer: OAuth-based Google, Microsoft, and future providers plus explicit import workflows.</w:t>
      </w:r>
    </w:p>
    <w:p>
      <w:pPr>
        <w:pStyle w:val="ListBullet"/>
      </w:pPr>
      <w:r>
        <w:t>Codex: engineering and administration tooling, not a runtime dependency for ordinary customers.</w:t>
      </w:r>
    </w:p>
    <w:p>
      <w:pPr>
        <w:pStyle w:val="Heading1"/>
      </w:pPr>
      <w:r>
        <w:t>Work Sequence</w:t>
      </w:r>
    </w:p>
    <w:p>
      <w:pPr>
        <w:spacing w:after="100"/>
      </w:pPr>
      <w:r>
        <w:rPr>
          <w:b/>
        </w:rPr>
        <w:t xml:space="preserve">1. Freeze the context contract. </w:t>
      </w:r>
      <w:r>
        <w:t>Define tenant_id, workspace_id, user_id, profile_id, request context, job context, configuration roots, and secret ownership.</w:t>
      </w:r>
    </w:p>
    <w:p>
      <w:pPr>
        <w:spacing w:after="100"/>
      </w:pPr>
      <w:r>
        <w:rPr>
          <w:b/>
        </w:rPr>
        <w:t xml:space="preserve">2. Build a repeatable catalog. </w:t>
      </w:r>
      <w:r>
        <w:t>Scan shared runtime, API schemas, prompts, installation files, tests, tenant data, and historical artifacts as separate scopes. Classify each candidate before changing it.</w:t>
      </w:r>
    </w:p>
    <w:p>
      <w:pPr>
        <w:spacing w:after="100"/>
      </w:pPr>
      <w:r>
        <w:rPr>
          <w:b/>
        </w:rPr>
        <w:t xml:space="preserve">3. Neutralize shared contracts. </w:t>
      </w:r>
      <w:r>
        <w:t>Migrate Todd-named schema fields and dispositions using compatibility readers, neutral writers, receipts, and regression tests.</w:t>
      </w:r>
    </w:p>
    <w:p>
      <w:pPr>
        <w:spacing w:after="100"/>
      </w:pPr>
      <w:r>
        <w:rPr>
          <w:b/>
        </w:rPr>
        <w:t xml:space="preserve">4. Remove identity and host coupling. </w:t>
      </w:r>
      <w:r>
        <w:t>Inject profile, self aliases, timezone, paths, schedules, and connector configuration.</w:t>
      </w:r>
    </w:p>
    <w:p>
      <w:pPr>
        <w:spacing w:after="100"/>
      </w:pPr>
      <w:r>
        <w:rPr>
          <w:b/>
        </w:rPr>
        <w:t xml:space="preserve">5. Prove tenant isolation. </w:t>
      </w:r>
      <w:r>
        <w:t>Run the same workflows for two synthetic users in different industries and timezones. Fail on any cross-user language, data, path, or recommendation leakage.</w:t>
      </w:r>
    </w:p>
    <w:p>
      <w:pPr>
        <w:spacing w:after="100"/>
      </w:pPr>
      <w:r>
        <w:rPr>
          <w:b/>
        </w:rPr>
        <w:t xml:space="preserve">6. Design product delivery. </w:t>
      </w:r>
      <w:r>
        <w:t>Build cloud scheduling, OAuth connectors, onboarding, first-value delivery, upgrades, observability, and an optional local agent.</w:t>
      </w:r>
    </w:p>
    <w:p>
      <w:pPr>
        <w:pStyle w:val="Heading1"/>
      </w:pPr>
      <w:r>
        <w:t>Immediate Assignment for Claude</w:t>
      </w:r>
    </w:p>
    <w:p>
      <w:pPr>
        <w:pStyle w:val="ListBullet"/>
      </w:pPr>
      <w:r>
        <w:t>Create a line-level Todd-specific candidate catalog with classification, proposed action, risk, and status.</w:t>
      </w:r>
    </w:p>
    <w:p>
      <w:pPr>
        <w:pStyle w:val="ListBullet"/>
      </w:pPr>
      <w:r>
        <w:t>Create an allowlist for Todd tenant data, historical records, intentional fixtures, and unrelated contacts named Todd.</w:t>
      </w:r>
    </w:p>
    <w:p>
      <w:pPr>
        <w:pStyle w:val="ListBullet"/>
      </w:pPr>
      <w:r>
        <w:t>Draft the tenant-context and profile-resolution architecture.</w:t>
      </w:r>
    </w:p>
    <w:p>
      <w:pPr>
        <w:pStyle w:val="ListBullet"/>
      </w:pPr>
      <w:r>
        <w:t>Propose the neutral schema migration map and compatibility window.</w:t>
      </w:r>
    </w:p>
    <w:p>
      <w:pPr>
        <w:pStyle w:val="ListBullet"/>
      </w:pPr>
      <w:r>
        <w:t>Design a two-user isolation test plan.</w:t>
      </w:r>
    </w:p>
    <w:p>
      <w:pPr>
        <w:pStyle w:val="ListBullet"/>
      </w:pPr>
      <w:r>
        <w:t>Stop for architecture review before moving persisted data or performing broad renames.</w:t>
      </w:r>
    </w:p>
    <w:p>
      <w:pPr>
        <w:pStyle w:val="Heading1"/>
      </w:pPr>
      <w:r>
        <w:t>Decision</w:t>
      </w:r>
    </w:p>
    <w:p>
      <w:r>
        <w:t>Make the Todd-specific assumption audit the first productization workstream. Continue feature iteration only where it does not deepen single-user coupling. The objective is not to make RB less personal; it is to make personalization a property of each user's configuration and data rather than a hidden property of the shared codebase.</w:t>
      </w:r>
    </w:p>
    <w:p/>
    <w:p>
      <w:pPr>
        <w:jc w:val="center"/>
      </w:pPr>
      <w:r>
        <w:rPr>
          <w:b/>
          <w:i/>
          <w:color w:val="1F4D78"/>
        </w:rPr>
        <w:t>RB should feel deeply personal because it is grounded for each user, not because the product is Todd's system with the names changed.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8"/>
      </w:rPr>
      <w:t xml:space="preserve">Confidential working memo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26C"/>
        <w:sz w:val="18"/>
      </w:rPr>
      <w:t>RELATIONSHIP BUILDER | PRODUCTIZATION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