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 xml:space="preserve">Relationship Bridge (RB)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Technical Architecture Specification</w:t>
      </w:r>
    </w:p>
    <w:p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 xml:space="preserve">Next-Generation Intelligence Features</w:t>
      </w:r>
    </w:p>
    <w:p>
      <w:pPr>
        <w:spacing w:after="240"/>
        <w:jc w:val="center"/>
      </w:pPr>
      <w:r>
        <w:rPr>
          <w:color w:val="777777"/>
          <w:sz w:val="20"/>
          <w:szCs w:val="20"/>
        </w:rPr>
        <w:t xml:space="preserve">Version 1.0  •  May 2026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document specifies the technical architecture for the next-generation Relationship Bridge platform, implementing the four feature areas defined in the PRD: Industry Intelligence &amp; Daily Briefing, Relationship Correlation &amp; Action, Company Intelligence, and Network Gap &amp; Strategic Positioning.</w:t>
      </w:r>
    </w:p>
    <w:p>
      <w:pPr>
        <w:spacing w:after="120"/>
      </w:pPr>
      <w:r>
        <w:t xml:space="preserve">The architecture is a tiered pipeline that converts heterogeneous world-state into typed, confidence-tagged signals; correlates those signals against a per-user relationship graph; and produces ranked, restrained action recommendations. Confidence is a first-class field that propagates end-to-end. LLMs are tiered by cost and purpose: small models for classification, larger models for strategic interpretation, with citation guardrails everywhere.</w:t>
      </w:r>
    </w:p>
    <w:p>
      <w:pPr>
        <w:pStyle w:val="Heading3"/>
      </w:pPr>
      <w:r>
        <w:t xml:space="preserve">1.1 Architectural principles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Confidence travels with the data — every signal, edge, and recommendation carries explicit provenance.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Tiered AI — cheap models do high-volume classification; expensive models do interpretation under guardrails.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Restraint is computable — quiet days are a valid output of the pipeline, not a UI fallback.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Graph-centric correlation — signals without a graph implication are deprioritized, not amplified.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Event-driven where it matters, batch where it doesn't — real-time for recommendations, batch for embeddings, profiles, and gap analysis.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Single-tenant data isolation — relationship graphs are per-user and never used for cross-tenant training without explicit consent.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Citation-or-discard — strategic interpretations must cite the source span they derive from; otherwise they are dropped.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Graceful degradation — every layer has a documented degraded mode.</w:t>
      </w:r>
    </w:p>
    <w:p>
      <w:r>
        <w:br w:type="page"/>
      </w:r>
    </w:p>
    <w:p>
      <w:pPr>
        <w:pStyle w:val="Heading1"/>
      </w:pPr>
      <w:r>
        <w:t xml:space="preserve">2. System Overview</w:t>
      </w:r>
    </w:p>
    <w:p>
      <w:pPr>
        <w:spacing w:after="120"/>
      </w:pPr>
      <w:r>
        <w:t xml:space="preserve">The architecture is organized as six logical lanes plus cross-cutting concerns. Data flows top-to-bottom; a feedback loop closes from Surfaces back into Scoring.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210050"/>
            <wp:effectExtent t="0" r="0" b="0" l="0"/>
            <wp:docPr id="1" name="rb_architecture" descr="Six-lane system architecture for Relationship Bridge" title="RB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2.1 Logical lanes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Ingestion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Connectors for mainstream, trade, social, conference, transcript, podcast, rumor, and user sources.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Normalization &amp; 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Cleaning, language normalization, entity extraction, canonical resolution, source-class assignment, embeddings.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Signal Pipeline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Event-type classification, confidence tagging, strategic interpretation, second-order implication generation, citation guardrails.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Storage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Operational store, signal store, graph store, vector store, object store.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 Correlation, Scoring &amp; Recommendation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Signal-to-graph correlation, composite scoring, DRR computation, action engine with restraint.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 Surfaces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briefing, action queue, company profile, network map, gap report, signal detail, settings, external API, webhooks.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2.2 Cross-cutting concerns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AI/LLM strategy and cost tiering.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Feedback loop from user signals (accept/dismiss/snooze) into scoring weights.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Security, privacy, tenant isolation.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Observability — metrics, traces, quality monitors.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Source-licensing and compliance metadata.</w:t>
      </w:r>
    </w:p>
    <w:p>
      <w:r>
        <w:br w:type="page"/>
      </w:r>
    </w:p>
    <w:p>
      <w:pPr>
        <w:pStyle w:val="Heading1"/>
      </w:pPr>
      <w:r>
        <w:t xml:space="preserve">3. Layer 1 — Ingestion</w:t>
      </w:r>
    </w:p>
    <w:p>
      <w:pPr>
        <w:spacing w:after="200"/>
      </w:pPr>
      <w:r>
        <w:rPr>
          <w:i/>
          <w:iCs/>
          <w:color w:val="555555"/>
        </w:rPr>
        <w:t xml:space="preserve">Pulls heterogeneous sources into a uniform raw-artifact store. Each connector is small, isolated, and idempotent.</w:t>
      </w:r>
    </w:p>
    <w:p>
      <w:pPr>
        <w:pStyle w:val="Heading2"/>
      </w:pPr>
      <w:r>
        <w:t xml:space="preserve">3.1 Connector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880"/>
        <w:gridCol w:w="22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Connector class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 / day (est.)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Mainstream news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RSS / licensed feed / API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5–15 min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~10K articles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 / industry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RSS / scrape under license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15–30 min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~2K articles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Newsletters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IMAP mailbox / Substack API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Hourly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~200 issues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Earnings / transcripts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Vendor API (e.g., Seeking Alpha / AlphaSense)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Event-driven + daily sweep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~50 transcripts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LinkedIn / social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Authorized API + scraping per ToS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Hourly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~5K posts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Conferences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Event-page scrape + manual ingestion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event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Bursty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Podcasts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RSS + Whisper transcription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~100 episodes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Rumors / weak signals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Curated source list + user submissions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annotations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In-app capture + email forwarding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user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3.2 Source registry</w:t>
      </w:r>
    </w:p>
    <w:p>
      <w:pPr>
        <w:spacing w:after="120"/>
      </w:pPr>
      <w:r>
        <w:t xml:space="preserve">A first-class internal service. Every connector resolves a source-id from the registry before publishing. Registry entries carry: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Source class (mainstream, trade, newsletter, transcript, social, conference, podcast, rumor, user).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Reliability prior (initial scoring weight; tunable).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Licensing posture (licensed / fair-use / scrape / user-credentialed).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Geographic and language metadata.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Vertical tags (e.g., qsr, hospitality, payments).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Operational health (last successful pull, error rate).</w:t>
      </w:r>
    </w:p>
    <w:p>
      <w:pPr>
        <w:shd w:fill="EAF3FB" w:val="clear"/>
        <w:spacing w:after="160"/>
      </w:pPr>
      <w:r>
        <w:rPr>
          <w:b/>
          <w:bCs/>
          <w:color w:val="1F3864"/>
        </w:rPr>
        <w:t xml:space="preserve">Why a registry: </w:t>
      </w:r>
      <w:r>
        <w:t xml:space="preserve">Scoring depends on source class. Hard-coding source weights in connectors would make tuning impossible and obscure licensing posture.</w:t>
      </w:r>
    </w:p>
    <w:p>
      <w:pPr>
        <w:pStyle w:val="Heading2"/>
      </w:pPr>
      <w:r>
        <w:t xml:space="preserve">3.3 Connector contract</w:t>
      </w:r>
    </w:p>
    <w:p>
      <w:pPr>
        <w:spacing w:after="120"/>
      </w:pPr>
      <w:r>
        <w:t xml:space="preserve">Every connector implements the same interface and publishes raw artifacts to the ingestion queue: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 /ingest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source_id: string,            // FK to source registry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external_id: string,          // stable id from source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url: string,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fetched_at: ISO8601,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raw_payload: bytes ref,       // S3-style object store ref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content_type: 'text/html'|'application/json'|'audio/*'|...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hints: { title?, published_at?, author?, language?, vertical[]? }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20"/>
      </w:pPr>
      <w:r>
        <w:t xml:space="preserve">The artifact is acknowledged after persistence to the object store and emission to the normalization queue. Connectors do not interpret content.</w:t>
      </w:r>
    </w:p>
    <w:p>
      <w:pPr>
        <w:pStyle w:val="Heading2"/>
      </w:pPr>
      <w:r>
        <w:t xml:space="preserve">3.4 Politeness, rate limiting, licensing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Per-source rate budgets enforced centrally.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Robots.txt and per-vendor terms checked at connector init and re-checked weekly.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User-credentialed sources (e.g., paywall logins) execute in isolated, per-user worker pools.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Licensed-content artifacts are tagged for redistribution restrictions; surfaces respect these tags.</w:t>
      </w:r>
    </w:p>
    <w:p>
      <w:pPr>
        <w:pStyle w:val="Heading2"/>
      </w:pPr>
      <w:r>
        <w:t xml:space="preserve">3.5 Operational SLOs (this layer)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Connector availability: 99.5% per source class (degraded source does not block pipeline).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Median ingestion latency from publish to queue: &lt; 5 minutes for mainstream/trade RSS; &lt; 60 minutes for transcripts.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Backpressure: connectors block local fetches when downstream queue depth exceeds threshold; never drop artifacts.</w:t>
      </w:r>
    </w:p>
    <w:p>
      <w:r>
        <w:br w:type="page"/>
      </w:r>
    </w:p>
    <w:p>
      <w:pPr>
        <w:pStyle w:val="Heading1"/>
      </w:pPr>
      <w:r>
        <w:t xml:space="preserve">4. Layer 2 — Normalization &amp; Entity Resolution</w:t>
      </w:r>
    </w:p>
    <w:p>
      <w:pPr>
        <w:spacing w:after="200"/>
      </w:pPr>
      <w:r>
        <w:rPr>
          <w:i/>
          <w:iCs/>
          <w:color w:val="555555"/>
        </w:rPr>
        <w:t xml:space="preserve">Converts raw artifacts into clean, deduplicated, entity-resolved documents with embeddings — ready for the signal pipeline.</w:t>
      </w:r>
    </w:p>
    <w:p>
      <w:pPr>
        <w:pStyle w:val="Heading2"/>
      </w:pPr>
      <w:r>
        <w:t xml:space="preserve">4.1 Pipeline stages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Content extraction — strip boilerplate, extract structured fields (title, body, byline, date).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Language detection + translation (translation provenance preserved).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Near-duplicate detection — SimHash + cosine over embeddings.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Entity extraction — companies, people, technologies, ecosystems, geographies.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Entity resolution — link extracted entities to canonical IDs in the graph store.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Source-class assignment — copied from registry, can be overridden by policy (e.g., op-eds within a trade publication).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Embeddings — compute on title+body for retrieval and dedup; store in vector index.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4.2 Entity resolution</w:t>
      </w:r>
    </w:p>
    <w:p>
      <w:pPr>
        <w:spacing w:after="120"/>
      </w:pPr>
      <w:r>
        <w:t xml:space="preserve">ER is the highest-risk normalization step; bad linkage corrupts correlation downstream.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Candidate generation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Lexical match on name, alias table, and embeddings nearest-neighbor (top-K=20).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 model combining lexical similarity, embedding distance, contextual co-occurrence (e.g., 'CEO Jane Doe at Toast'), and source recency.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Above high threshold → auto-link; mid threshold → link with low-confidence flag; below → create candidate entity for review.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Aliases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First-class table; new aliases added through structured editorial actions and never inferred silently.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Drift handling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 decisions are stored as versioned events; downstream consumers can replay against new ER versions.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4.3 Output contract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Document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doc_id: uuid,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artifact_ref: string,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source_id: string,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source_class: enum,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language: string,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title: string,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body: string,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published_at: ISO8601,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entities: [{ kind, canonical_id, name, confidence }],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embedding_id: uuid,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dedup_cluster_id: uuid,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licensing: { redistribution, attribution_required }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2"/>
      </w:pPr>
      <w:r>
        <w:t xml:space="preserve">4.4 SLOs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Median doc latency (ingestion → normalized): &lt; 90 seconds.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ER auto-link precision: ≥ 0.97 on labeled set; recall ≥ 0.9.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Embedding throughput: sized to peak ingestion + 50% headroom.</w:t>
      </w:r>
    </w:p>
    <w:p>
      <w:r>
        <w:br w:type="page"/>
      </w:r>
    </w:p>
    <w:p>
      <w:pPr>
        <w:pStyle w:val="Heading1"/>
      </w:pPr>
      <w:r>
        <w:t xml:space="preserve">5. Layer 3 — Signal Pipeline</w:t>
      </w:r>
    </w:p>
    <w:p>
      <w:pPr>
        <w:spacing w:after="200"/>
      </w:pPr>
      <w:r>
        <w:rPr>
          <w:i/>
          <w:iCs/>
          <w:color w:val="555555"/>
        </w:rPr>
        <w:t xml:space="preserve">Converts normalized documents into typed, tagged signals with strategic interpretation and second-order implications. Tiered LLM use under citation guardrails.</w:t>
      </w:r>
    </w:p>
    <w:p>
      <w:pPr>
        <w:pStyle w:val="Heading2"/>
      </w:pPr>
      <w:r>
        <w:t xml:space="preserve">5.1 Stage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 tier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Event-type classification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 (e.g., Haiku)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of: m&amp;a, funding, layoffs, leadership_change, customer_win, customer_loss, expansion, scaling, operational_strain, leadership_investment, sentiment_shift, ai_posture, rumor, other.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Confidence tagging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Rule-based + small model assist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of the 7 confidence tags.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Strategic interpretation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 (e.g., Sonnet)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1–3 sentence interpretation explicitly citing source spans.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Second-order implications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 (Sonnet)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Bulleted likely downstream effects, each carrying its own confidence.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Affected ecosystems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 + lookup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Tags from ecosystem taxonomy.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Citation guardrail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Rule-based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 interpretations not anchored to a quoted span.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5.2 LLM tier strategy</w:t>
      </w:r>
    </w:p>
    <w:p>
      <w:pPr>
        <w:spacing w:after="120"/>
      </w:pPr>
      <w:r>
        <w:t xml:space="preserve">The pipeline runs at ingest-volume scale. Cost discipline is non-negotiable.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Tier 1 (high-volume, low-stakes): classification, tagging, alias linking. Small, cheap models. Batched.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Tier 2 (interpretation): strategic interpretation and second-order implications. Mid-tier model with strict prompt template and citation requirement.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Tier 3 (rare, high-stakes): user-facing rationale generation for the daily briefing top items. Larger model only for items above the relevance threshold. Result cached.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All tiers: prompts versioned and evaluated against a held-out labeled set before rollout.</w:t>
      </w:r>
    </w:p>
    <w:p>
      <w:pPr>
        <w:shd w:fill="EAF3FB" w:val="clear"/>
        <w:spacing w:after="160"/>
      </w:pPr>
      <w:r>
        <w:rPr>
          <w:b/>
          <w:bCs/>
          <w:color w:val="1F3864"/>
        </w:rPr>
        <w:t xml:space="preserve">Cost guardrail: </w:t>
      </w:r>
      <w:r>
        <w:t xml:space="preserve">Tier 3 token budget per user per day is capped. If exceeded, the system falls back to Tier 2 outputs and flags items as “standard rationale.” Surfacing is not affected.</w:t>
      </w:r>
    </w:p>
    <w:p>
      <w:pPr>
        <w:pStyle w:val="Heading2"/>
      </w:pPr>
      <w:r>
        <w:t xml:space="preserve">5.3 Citation guardrail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Every strategic interpretation must include source_span_offsets pointing into the originating document body.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Interpretations failing this check are dropped — never sent to user-facing surfaces.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Validation is automated and runs as a synchronous post-step on every LLM call in this layer.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5.4 Signal output contract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Signal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signal_id: uuid,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source_doc_id: uuid,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emitted_at: ISO8601,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confidence_tag: enum,            // CONFIRMED|MULTI_SOURCE|INDUSTRY_SIGNAL|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// ECOSYSTEM_CHATTER|RUMOR|LOW_CONFIDENCE|UNVERIFIED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event_type: enum,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summary: string,                 // ≤ 320 chars, factual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strategic_interpretation: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text: string,                  // ≤ 480 chars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cited_spans: [{ doc_id, start, end }]   // REQUIRED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},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second_order: [{ text, confidence }],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entities: [{ kind, canonical_id, role }],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affected_ecosystems: [string],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corroborations: [signal_id],     // MULTI_SOURCE links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conflicts: [signal_id]           // explicit contradictions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2"/>
      </w:pPr>
      <w:r>
        <w:t xml:space="preserve">5.5 Multi-source corroboration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Near-duplicate cluster bridges into a single Signal with a corroborations[] list when ≥ 2 independent sources cover the same event.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Confidence is upgraded to MULTI_SOURCE.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Conflicting reports never merge — they cross-link via conflicts[] and surface side-by-side.</w:t>
      </w:r>
    </w:p>
    <w:p>
      <w:r>
        <w:br w:type="page"/>
      </w:r>
    </w:p>
    <w:p>
      <w:pPr>
        <w:pStyle w:val="Heading1"/>
      </w:pPr>
      <w:r>
        <w:t xml:space="preserve">6. Layer 4 — Storage</w:t>
      </w:r>
    </w:p>
    <w:p>
      <w:pPr>
        <w:spacing w:after="200"/>
      </w:pPr>
      <w:r>
        <w:rPr>
          <w:i/>
          <w:iCs/>
          <w:color w:val="555555"/>
        </w:rPr>
        <w:t xml:space="preserve">Five storage roles, each chosen for its query and durability profile. Logical contracts matter more than vendor choices; vendor placeholders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tech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query patterns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Operational store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Users, orgs, settings, recommendations, audit logs.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 transactional, JSONB for flexible fields.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 store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Time-indexed signals with rich JSON.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 (time-partitioned) or Postgres + Timescale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 time window, by entity, by tag.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 store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Relationship graph, edges, DRR.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Neo4j or AGE on Postgres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Traversals, neighbor queries, weighted shortest paths.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and signal embeddings.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pgvector (default), Pinecone (scale)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k-NN, hybrid lexical+vector.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 store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artifacts (HTML, audio, transcripts).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S3-compatible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Read-once at ingestion; cold otherwise.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6.1 Choices we are biased toward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Postgres as the operational and signal store. Familiar, durable, and time-partitioning is well-trodden.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pgvector at launch. Move to dedicated vector DB only if recall or latency targets fail.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Graph DB only if path queries become bottlenecked. Many graph queries fit a normalized SQL schema with proper indexes.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S3-compatible object store with content-addressed keys; immutability simplifies dedup and provenance.</w:t>
      </w:r>
    </w:p>
    <w:p>
      <w:pPr>
        <w:shd w:fill="EAF3FB" w:val="clear"/>
        <w:spacing w:after="160"/>
      </w:pPr>
      <w:r>
        <w:rPr>
          <w:b/>
          <w:bCs/>
          <w:color w:val="1F3864"/>
        </w:rPr>
        <w:t xml:space="preserve">Bias: </w:t>
      </w:r>
      <w:r>
        <w:t xml:space="preserve">Boring infra. The novelty is in the data and the model layer, not the storage.</w:t>
      </w:r>
    </w:p>
    <w:p>
      <w:pPr>
        <w:pStyle w:val="Heading2"/>
      </w:pPr>
      <w:r>
        <w:t xml:space="preserve">6.2 Partitioning and retention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Signal store partitioned by month; hot 90 days online, older partitions on cold storage with on-demand rehydration.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Embeddings refreshed when source content changes; versioned to allow re-scoring against new models.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Audit logs (action recommendations, user feedback) retained indefinitely (subject to deletion requests).</w:t>
      </w:r>
    </w:p>
    <w:p>
      <w:r>
        <w:br w:type="page"/>
      </w:r>
    </w:p>
    <w:p>
      <w:pPr>
        <w:pStyle w:val="Heading1"/>
      </w:pPr>
      <w:r>
        <w:t xml:space="preserve">7. Layer 5 — Relationship Graph</w:t>
      </w:r>
    </w:p>
    <w:p>
      <w:pPr>
        <w:spacing w:after="200"/>
      </w:pPr>
      <w:r>
        <w:rPr>
          <w:i/>
          <w:iCs/>
          <w:color w:val="555555"/>
        </w:rPr>
        <w:t xml:space="preserve">Per-user graph of people, companies, and the edges between them — augmented with environmental signals to produce Dynamic Relationship Relevance (DRR).</w:t>
      </w:r>
    </w:p>
    <w:p>
      <w:pPr>
        <w:pStyle w:val="Heading2"/>
      </w:pPr>
      <w:r>
        <w:t xml:space="preserve">7.1 Node and edge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 node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canonical_id, names[], emails[], roles[], current_company_id, history[], confidence, last_touch_at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 node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canonical_id, names[], domain, segment_tags, ecosystem_tags, momentum_score, vulnerability_score, last_signal_at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Knows edge (person ↔ person)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weight, source[] (email_thread|meeting|intro|user_note), recency, decay_rate, drr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Works-at edge (person → company)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role, start_at, end_at?, confidence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Adjacency edge (company ↔ company)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kind (vendor|customer|partner|competitor), confidence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Ecosystem edge (company → ecosystem)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weight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7.2 Dynamic Relationship Relevance (DRR)</w:t>
      </w:r>
    </w:p>
    <w:p>
      <w:pPr>
        <w:spacing w:after="120"/>
      </w:pPr>
      <w:r>
        <w:t xml:space="preserve">A per-edge score expressing strategic importance right now. Formal definition: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DRR(edge) = base_strength(edge)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* recency_decay(edge.last_touch_at)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+ Σ signal_uplift(s, edge) over recent signals s touching edge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- cooldown_penalty(edge.recent_outreach)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± user_focus_modifier(edge, user.focus_areas)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base_strength: derived from edge type, source diversity, historical interaction frequency.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recency_decay: exponential decay calibrated per edge type (knows decays slower than works-at).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signal_uplift: confidence-weighted contribution from signals where the edge sits within k hops of an affected entity.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cooldown_penalty: protects against over-eager outreach (see §11).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user_focus_modifier: lifts edges aligned with the user's stated focus areas.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7.3 Update model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Streaming updates when a signal touches a node within k=2 hops; recompute affected DRR values within seconds.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Nightly full recomputation as a sanity pass; reconciles drift from missed events.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Versioned DRR snapshots stored daily for trend visualization.</w:t>
      </w:r>
    </w:p>
    <w:p>
      <w:r>
        <w:br w:type="page"/>
      </w:r>
    </w:p>
    <w:p>
      <w:pPr>
        <w:pStyle w:val="Heading1"/>
      </w:pPr>
      <w:r>
        <w:t xml:space="preserve">8. Layer 6 — Correlation Engine</w:t>
      </w:r>
    </w:p>
    <w:p>
      <w:pPr>
        <w:spacing w:after="200"/>
      </w:pPr>
      <w:r>
        <w:rPr>
          <w:i/>
          <w:iCs/>
          <w:color w:val="555555"/>
        </w:rPr>
        <w:t xml:space="preserve">Maps each signal onto the user's graph and produces a correlation set: which people, companies, and ecosystems are touched, and how strongly.</w:t>
      </w:r>
    </w:p>
    <w:p>
      <w:pPr>
        <w:pStyle w:val="Heading2"/>
      </w:pPr>
      <w:r>
        <w:t xml:space="preserve">8.1 Algorithm</w:t>
      </w:r>
    </w:p>
    <w:p>
      <w:pPr>
        <w:spacing w:after="120"/>
      </w:pPr>
      <w:r>
        <w:t xml:space="preserve">For each signal s and each user u: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Resolve s.entities to nodes in u's graph (companies, people, ecosystems).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Expand neighborhood to k hops (k=2 by default; k=3 for high-confidence signals).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Compute correlation_score(s, edge) = signal.confidence_weight * edge.base_strength * hop_decay(distance).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Emit Correlation { signal_id, user_id, edges[], primary_targets[], adjacencies[] }.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Pass to scoring layer.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8.2 Adjacency reasoning</w:t>
      </w:r>
    </w:p>
    <w:p>
      <w:pPr>
        <w:spacing w:after="120"/>
      </w:pPr>
      <w:r>
        <w:t xml:space="preserve">Many high-value correlations come from adjacency rather than direct ties. Example: a customer-win signal at vendor V matters to user U who is connected to a competitor of V.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Adjacency types are stored explicitly (vendor, customer, partner, competitor, ecosystem peer).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Per signal class, adjacency types have different uplift coefficients (e.g., competitor adjacency dominates for customer-win signals).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Adjacency reasoning is auditable — every correlation lists the adjacency type and coefficient used.</w:t>
      </w:r>
    </w:p>
    <w:p>
      <w:r>
        <w:br w:type="page"/>
      </w:r>
    </w:p>
    <w:p>
      <w:pPr>
        <w:pStyle w:val="Heading1"/>
      </w:pPr>
      <w:r>
        <w:t xml:space="preserve">9. Layer 7 — Scoring &amp; Ranking</w:t>
      </w:r>
    </w:p>
    <w:p>
      <w:pPr>
        <w:spacing w:after="200"/>
      </w:pPr>
      <w:r>
        <w:rPr>
          <w:i/>
          <w:iCs/>
          <w:color w:val="555555"/>
        </w:rPr>
        <w:t xml:space="preserve">Composite scoring drives both daily briefing inclusion and action recommendation ordering.</w:t>
      </w:r>
    </w:p>
    <w:p>
      <w:pPr>
        <w:pStyle w:val="Heading2"/>
      </w:pPr>
      <w:r>
        <w:t xml:space="preserve">9.1 Composite score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score(item, user) =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w_R * relevance(item, user.graph, user.focus)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+ w_U * urgency(item, time)                       // time-decay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+ w_C * confidence_weight(item.confidence_tag)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+ w_N * novelty(item, user.recent_history)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- w_RST * restraint_penalty(item)                 // 'only generic action available'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- w_COOL * cooldown_penalty(item.target)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+ w_FB * user_feedback_prior(item.category, user)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Weights start as defaults, then adapt per user via the feedback loop.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Hard caps: briefing items per day, items per company per cycle, items from a single source class.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Restraint threshold: items below the threshold do not appear at all; briefing returns an explicit quiet-day result if no items clear.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9.2 Quality monitors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Acceptance rate per category — surfaces drift toward noise.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“Why am I seeing this?” open rate — proxy for trust.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Restraint correctness — % of no-action recommendations user agrees with.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Acceptance lag — time from view to accept/dismiss; rising lag suggests rationale is unclear.</w:t>
      </w:r>
    </w:p>
    <w:p>
      <w:r>
        <w:br w:type="page"/>
      </w:r>
    </w:p>
    <w:p>
      <w:pPr>
        <w:pStyle w:val="Heading1"/>
      </w:pPr>
      <w:r>
        <w:t xml:space="preserve">10. Layer 8 — Recommendation Engine</w:t>
      </w:r>
    </w:p>
    <w:p>
      <w:pPr>
        <w:spacing w:after="200"/>
      </w:pPr>
      <w:r>
        <w:rPr>
          <w:i/>
          <w:iCs/>
          <w:color w:val="555555"/>
        </w:rPr>
        <w:t xml:space="preserve">Composes structured action recommendations from scored correlations. Restraint is a first-class output, not a fallback.</w:t>
      </w:r>
    </w:p>
    <w:p>
      <w:pPr>
        <w:pStyle w:val="Heading2"/>
      </w:pPr>
      <w:r>
        <w:t xml:space="preserve">10.1 Composition pipeline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Select correlations whose composite score exceeds the recommendation threshold.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For each, determine candidate action verb from the 8-verb set using a rule table (signal type × edge type × confidence).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Apply restraint rules (§10.3) — may downgrade to no_action_recommended.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Generate rationale (≤ 2 sentences) anchored to the trigger signal's interpretation.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Set urgency (now / this_week / this_month / monitoring) based on signal recency and decay profile.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Inherit confidence from the trigger signal (may be downgraded for weak graph evidence).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Produce strategic_relevance — 1 sentence linking the action to the user's broader strategy.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Optional: produce suggested_message_seed (outreach actions only; never autosent).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10.2 Action verb rule table (excerpt)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18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 type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Edge state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Confidence ≥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action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customer_win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warm Toast contact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congratulate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customer_win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warm contact at displaced vendor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customer_win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cold contact at acquiring customer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MULTI_SOURCE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reconnect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leadership_change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warm contact = the new leader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congratulate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leadership_change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warm contact at company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layoffs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warm contact at company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MULTI_SOURCE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 (no congratulations, ever)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scaling / expansion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warm operator at company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INDUSTRY_SIGNAL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investigate (internal)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m&amp;a (rumored)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RUMOR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 (no outreach)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sentiment_shift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ECOSYSTEM_CHATTER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no_action_recommended (unless graph evidence is strong)</w:t>
            </w:r>
          </w:p>
        </w:tc>
      </w:tr>
    </w:tbl>
    <w:p>
      <w:pPr>
        <w:shd w:fill="EAF3FB" w:val="clear"/>
        <w:spacing w:after="160"/>
      </w:pPr>
      <w:r>
        <w:rPr>
          <w:b/>
          <w:bCs/>
          <w:color w:val="1F3864"/>
        </w:rPr>
        <w:t xml:space="preserve">Note: </w:t>
      </w:r>
      <w:r>
        <w:t xml:space="preserve">This table is the seed policy. Per-user feedback can override; categorical dismissal cascades.</w:t>
      </w:r>
    </w:p>
    <w:p>
      <w:pPr>
        <w:pStyle w:val="Heading2"/>
      </w:pPr>
      <w:r>
        <w:t xml:space="preserve">10.3 Restraint logic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Cooldown: per-person outreach silence default 14 days; configurable per user.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Confidence floor: outreach actions require MULTI_SOURCE or higher; INDUSTRY_SIGNAL alone defaults to monitor/investigate.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Saturation: per-company recommendation cap per cycle.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Generic-action filter: if the only available action is congratulating someone on something thousands of others will also congratulate them on, default to no_action.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Signal-conflict filter: if a contradicting signal exists with comparable confidence, downgrade to monitor.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10.4 Output contract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Recommendation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rec_id: uuid,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user_id: uuid,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action: enum,                            // 8 verbs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target: { person_id?, company_id? },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trigger_signal_id: uuid,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rationale: string,                       // ≤ 200 chars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urgency: enum,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confidence: enum,                        // inherited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strategic_relevance: string,             // ≤ 200 chars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suggested_message_seed?: string,         // outreach actions only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composed_at: ISO8601,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expires_at: ISO8601                      // computed from urgency + decay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11. Layer 9 — Surfaces &amp; API</w:t>
      </w:r>
    </w:p>
    <w:p>
      <w:pPr>
        <w:spacing w:after="200"/>
      </w:pPr>
      <w:r>
        <w:rPr>
          <w:i/>
          <w:iCs/>
          <w:color w:val="555555"/>
        </w:rPr>
        <w:t xml:space="preserve">Web and mobile clients consume a small, well-typed API. External access (webhooks, integrations) reuses the same contracts.</w:t>
      </w:r>
    </w:p>
    <w:p>
      <w:pPr>
        <w:pStyle w:val="Heading2"/>
      </w:pPr>
      <w:r>
        <w:t xml:space="preserve">11.1 Core API endpoints (illustrative)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/briefing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Today's briefing for the calling user, with explicit quiet-day support.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/actions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action queue, paginated, filterable by urgency/action_type.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/actions/:id/feedback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feedback (accept|dismiss|snooze|not_relevant|more_like_this|less_like_this).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/companies/:id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 profile with momentum/vulnerability and signal timeline.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/network/map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Ecosystem-segmented network view + DRR overlays.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/network/gaps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Ranked gap report.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/signals/:id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signal detail, sources, confidence trail, cited spans.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/webhooks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 an external webhook; deliveries respect licensing tags.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11.2 Real-time vs polled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Briefing: computed by 6 AM local; cacheable.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Action queue: server-sent events for new recommendations; client falls back to polling.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Company profile: cache with explicit invalidation when relevant signal arrives.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Network map / gaps: nightly recompute; on-demand recompute available.</w:t>
      </w:r>
    </w:p>
    <w:p>
      <w:r>
        <w:br w:type="page"/>
      </w:r>
    </w:p>
    <w:p>
      <w:pPr>
        <w:pStyle w:val="Heading1"/>
      </w:pPr>
      <w:r>
        <w:t xml:space="preserve">12. AI / LLM Strategy (Cross-Cutting)</w:t>
      </w:r>
    </w:p>
    <w:p>
      <w:pPr>
        <w:pStyle w:val="Heading2"/>
      </w:pPr>
      <w:r>
        <w:t xml:space="preserve">12.1 Tiering recap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2200"/>
        <w:gridCol w:w="14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posture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Tier 1 (small)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Classification, tagging, alias linking, dedup tie-breaking.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high — every doc, often multiple calls.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Batched, cached aggressively.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Tier 2 (mid)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Strategic interpretation, second-order implications.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Per-signal — moderate.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Templated prompts, strict output schema.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Tier 3 (large)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Top-of-briefing rationale, complex cross-signal synthesis.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Per-user per-day cap.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only above relevance threshold; cached.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12.2 Prompt and evaluation discipline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All prompts versioned in code; new prompt versions must beat the prior version on a labeled evaluation set before rollout.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Evaluation sets cover: classification accuracy, interpretation faithfulness (citation match), refusal correctness (e.g., refusing to interpret a RUMOR as fact).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Drift monitors run weekly against fresh real-world samples; regressions block releases.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12.3 Hallucination guardrails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Citation requirement — interpretations must cite source spans (see §5.3).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Out-of-source claim detector — automated check that interpretation text doesn't introduce entities or facts absent from the cited spans.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Confidence floor — Tier 2 outputs below a faithfulness score are dropped, not surfaced.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User-visible source trail — every interpretation expands to its sources on demand.</w:t>
      </w:r>
    </w:p>
    <w:p>
      <w:r>
        <w:br w:type="page"/>
      </w:r>
    </w:p>
    <w:p>
      <w:pPr>
        <w:pStyle w:val="Heading1"/>
      </w:pPr>
      <w:r>
        <w:t xml:space="preserve">13. Embeddings &amp; Retrieval</w:t>
      </w:r>
    </w:p>
    <w:p>
      <w:pPr>
        <w:spacing w:after="120"/>
      </w:pPr>
      <w:r>
        <w:t xml:space="preserve">Embeddings support entity resolution, deduplication, semantic recall, and per-user focus alignment.</w:t>
      </w:r>
    </w:p>
    <w:p>
      <w:pPr>
        <w:pStyle w:val="Heading2"/>
      </w:pPr>
      <w:r>
        <w:t xml:space="preserve">13.1 What gets embedded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Documents (title + body, chunked at ~1K tokens with overlap).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Signals (summary + interpretation).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Entities (concatenated key fields + recent signal context).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User focus statements (free-text user-stated focus areas).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13.2 Retrieval patterns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Hybrid lexical + vector search for entity candidate generation.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User-focus alignment — composite of vector similarity and explicit focus tag match.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Re-ranking via a small cross-encoder for top-K candidates in high-stakes paths (action recommendation, gap analysis).</w:t>
      </w:r>
    </w:p>
    <w:p>
      <w:r>
        <w:br w:type="page"/>
      </w:r>
    </w:p>
    <w:p>
      <w:pPr>
        <w:pStyle w:val="Heading1"/>
      </w:pPr>
      <w:r>
        <w:t xml:space="preserve">14. Feedback Loop Architecture</w:t>
      </w:r>
    </w:p>
    <w:p>
      <w:pPr>
        <w:pStyle w:val="Heading2"/>
      </w:pPr>
      <w:r>
        <w:t xml:space="preserve">14.1 Capture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Every surface emits structured feedback events with item id, action, dwell time, and context.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Feedback is durable, replayable, and per-user attributable.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14.2 Application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Per-user weight adjustment: small EMA updates on scoring weights and per-category priors.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Cooldown adjustments: 'less like this' on a target lengthens that target's cooldown.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Categorical suppression: repeated dismissal of a category lowers its global weight for that user.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Updates are explainable — the user can see which feedback drove which weight change.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14.3 Global learning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Aggregate, anonymized feedback informs default weights for new users only after explicit consent.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Personal graphs and per-user feedback never leave tenant boundary without an explicit, revocable consent flag.</w:t>
      </w:r>
    </w:p>
    <w:p>
      <w:r>
        <w:br w:type="page"/>
      </w:r>
    </w:p>
    <w:p>
      <w:pPr>
        <w:pStyle w:val="Heading1"/>
      </w:pPr>
      <w:r>
        <w:t xml:space="preserve">15. Security, Privacy &amp; Multi-Tenancy</w:t>
      </w:r>
    </w:p>
    <w:p>
      <w:pPr>
        <w:pStyle w:val="Heading2"/>
      </w:pPr>
      <w:r>
        <w:t xml:space="preserve">15.1 Tenant isolation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Hard isolation of relationship graphs at storage and query layers.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Shared layers (signal store, source registry, document store) are public-domain or licensed for the user's use.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Per-user encryption keys for sensitive fields (notes, message seeds).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15.2 Source attribution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Source attribution is preserved end-to-end and visible to the user on every signal and recommendation.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Redistribution-restricted content is gated by license tags; webhooks and exports respect those tags.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15.3 PII handling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Names, emails, and inferred relationships are PII by default.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Right-to-erasure flows cascade through signal correlations, recommendations, and feedback events.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Audit log for all access to person-level data.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15.4 Rumor handling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RUMOR-tagged content is never emitted into outreach drafts unless the user explicitly opts in per-item.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Rumor sources are tracked; repeatedly inaccurate sources are downgraded automatically.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Conflicts between rumors and confirmed signals are surfaced explicitly; the system never resolves them silently.</w:t>
      </w:r>
    </w:p>
    <w:p>
      <w:r>
        <w:br w:type="page"/>
      </w:r>
    </w:p>
    <w:p>
      <w:pPr>
        <w:pStyle w:val="Heading1"/>
      </w:pPr>
      <w:r>
        <w:t xml:space="preserve">16. Observability</w:t>
      </w:r>
    </w:p>
    <w:p>
      <w:pPr>
        <w:pStyle w:val="Heading2"/>
      </w:pPr>
      <w:r>
        <w:t xml:space="preserve">16.1 Operational metrics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Connector availability, ingestion latency, queue depth.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Normalization throughput, ER auto-link rate, dedup cluster size distribution.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Signal pipeline latency by stage, LLM cost per signal by tier.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Recommendation generation latency, restraint output ratio, briefing emission timestamps.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16.2 Quality metrics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Acceptance rate per category (briefing &amp; recommendation).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Restraint correctness (user-confirmed no-action rate).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Citation match score (interpretation faithfulness).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Hallucination canary results (synthetic adversarial inputs run daily).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User-reported precision (thumbs up/down with reason codes).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16.3 Traces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Every recommendation is traceable to the signals → correlations → score → composition steps that produced it.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“Why am I seeing this?” UI surfaces this trace.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Traces retained for at least 30 days for debugging and feedback attribution.</w:t>
      </w:r>
    </w:p>
    <w:p>
      <w:r>
        <w:br w:type="page"/>
      </w:r>
    </w:p>
    <w:p>
      <w:pPr>
        <w:pStyle w:val="Heading1"/>
      </w:pPr>
      <w:r>
        <w:t xml:space="preserve">17. SLOs &amp; Performance 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Briefing emission 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 06:00 user local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Cached and ready when the user opens the app.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End-to-end signal latency (event → user-visible)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p50 ≤ 10 min, p95 ≤ 30 min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mainstream/trade.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Recommendation freshness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p95 within 15 min of triggering signal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signal emission.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p99 latency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 400 ms for read endpoints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Cached paths.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Tier 3 cost per user per day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target ceiling (TBD per pricing)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 cap with fallback to Tier 2.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Ingestion availability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99.5%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source class; single source outage tolerated.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backup completeness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operational, signal, and graph stores.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18. Failure Modes &amp; Graceful Degradation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User-visible impact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connector class fails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continues with remaining sources; affected source class flagged in observability.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Slight coverage gap; flagged in source trail on the day's briefing.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Tier 2 outage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Hold signals with INTERPRETATION_PENDING; emit briefing with limited interpretation but full classification.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Briefing labels items as 'awaiting interpretation.'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Tier 3 budget exhausted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 back to Tier 2 rationale; flag items as 'standard rationale.'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sees a small badge; functionality intact.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 DB unavailable (if used)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 back to SQL-modeled graph queries; correlations computed with reduced k-hop depth.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Slightly fewer adjacency correlations; no recommendation outage.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Vector store latency spike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 back to lexical-only retrieval; quality drops, system stays up.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 auto-link confidence drops, more candidate-review flags.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registry corruption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halts ingestion of affected source class; existing signals unaffected.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Coverage gap; visible in source trail.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feedback storm (e.g., bug)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Rate-limit weight updates; rollback path versioned.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visible impact.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19. Cost Model (Order-of-Magnitude)</w:t>
      </w:r>
    </w:p>
    <w:p>
      <w:pPr>
        <w:spacing w:after="120"/>
      </w:pPr>
      <w:r>
        <w:t xml:space="preserve">Indicative ranges only — real numbers depend on source mix, user count, and model pricing at deployment.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line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Tier 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Volume × per-doc calls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Batching, caching, small-model selection.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Tier 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Signals per day × interpretation cost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 minimization, schema-locked outputs.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Tier 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items per user per day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 cap, cache, fallback.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Embeddings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and signal volume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Reuse via content-hash cache.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 retention + raw artifact retention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Cold-tier rotation, content addressing.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licensing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Per-publisher contracts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Vertical-first licensing; user-credentialed for paywalls.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Egress / API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+ integration usage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deliveries, dedup.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20. Deployment &amp; Infrastructure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Single-region launch; multi-region readiness designed in (stateless services, partitioned data).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Kubernetes for stateless services; managed Postgres for state.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CI/CD: every change runs prompt evaluations + integration tests against a fixture signal set before merge.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Feature flags for: source weighting, prompt versions, scoring weights, action-rule table revisions.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Disaster recovery: daily backups, point-in-time recovery for operational store, replayable signal pipeline from object store.</w:t>
      </w:r>
    </w:p>
    <w:p>
      <w:r>
        <w:br w:type="page"/>
      </w:r>
    </w:p>
    <w:p>
      <w:pPr>
        <w:pStyle w:val="Heading1"/>
      </w:pPr>
      <w:r>
        <w:t xml:space="preserve">21. Open Architecture Questions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Graph DB now or graph DB later? Defer until query patterns justify it; default to SQL-modeled graph at launch.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Vector store at launch — pgvector vs. dedicated. Default pgvector; revisit at &gt;10M signal embeddings.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Per-user vs. shared signal store. Default shared (with tenant isolation enforced at query time) for cost; reconsider if compliance demands hard isolation.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How aggressive is the LLM Tier 3 cap at launch? Conservative cap with explicit fallback flag; expand once quality monitors stabilize.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Real-time correlation depth (k-hops). Default k=2; allow k=3 for high-confidence signals; measure impact before expanding default.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Where does conference content live? Manually ingested at launch; automate with vendor parsers once event coverage is meaningful.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Translation provider and provenance — single provider with audit trail, or pluggable? Pluggable interface, single provider at launch.</w:t>
      </w:r>
    </w:p>
    <w:p>
      <w:r>
        <w:br w:type="page"/>
      </w:r>
    </w:p>
    <w:p>
      <w:pPr>
        <w:pStyle w:val="Heading1"/>
      </w:pPr>
      <w:r>
        <w:t xml:space="preserve">22. Appendix — Reference Schemas</w:t>
      </w:r>
    </w:p>
    <w:p>
      <w:pPr>
        <w:pStyle w:val="Heading3"/>
      </w:pPr>
      <w:r>
        <w:t xml:space="preserve">22.1 Document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Document { doc_id, artifact_ref, source_id, source_class, language,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title, body, published_at, entities[], embedding_id, dedup_cluster_id,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licensing { redistribution, attribution_required } }</w:t>
      </w:r>
    </w:p>
    <w:p>
      <w:pPr>
        <w:pStyle w:val="Heading3"/>
      </w:pPr>
      <w:r>
        <w:t xml:space="preserve">22.2 Signal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Signal { signal_id, source_doc_id, emitted_at, confidence_tag, event_type,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summary, strategic_interpretation { text, cited_spans[] },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second_order[], entities[], affected_ecosystems[], corroborations[], conflicts[] }</w:t>
      </w:r>
    </w:p>
    <w:p>
      <w:pPr>
        <w:pStyle w:val="Heading3"/>
      </w:pPr>
      <w:r>
        <w:t xml:space="preserve">22.3 Correlation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Correlation { correlation_id, signal_id, user_id, edges[], primary_targets[],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adjacencies[{ from, to, kind, coefficient }], score }</w:t>
      </w:r>
    </w:p>
    <w:p>
      <w:pPr>
        <w:pStyle w:val="Heading3"/>
      </w:pPr>
      <w:r>
        <w:t xml:space="preserve">22.4 Recommendation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Recommendation { rec_id, user_id, action, target, trigger_signal_id,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rationale, urgency, confidence, strategic_relevance, suggested_message_seed?,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composed_at, expires_at }</w:t>
      </w:r>
    </w:p>
    <w:p>
      <w:pPr>
        <w:pStyle w:val="Heading3"/>
      </w:pPr>
      <w:r>
        <w:t xml:space="preserve">22.5 Feedback event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Feedback { feedback_id, user_id, item_kind (briefing|recommendation),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item_id, kind (accept|dismiss|snooze|not_relevant|more_like|less_like),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reason_code?, occurred_at, dwell_ms }</w:t>
      </w:r>
    </w:p>
    <w:p>
      <w:pPr>
        <w:pStyle w:val="Heading3"/>
      </w:pPr>
      <w:r>
        <w:t xml:space="preserve">22.6 Confidence weights (defaults, tunable)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weight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MULTI_SOURCE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INDUSTRY_SIGNAL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ECOSYSTEM_CHATTER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LOW_CONFIDENCE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RUMOR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UNVERIFIED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 (excluded from surfaces)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RB Technical Architecture  • 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9747b8b94e204b735fc6793fc943adca6b7813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2026-05-14T17:27:57.350Z</dcterms:created>
  <dcterms:modified xsi:type="dcterms:W3CDTF">2026-05-14T17:27:57.351Z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