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Relationship Bridge (RB)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V1 Launch Plan</w:t>
      </w: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Scope, phased milestones, team, source acquisition, beta, go/no-go gates</w:t>
      </w:r>
    </w:p>
    <w:p>
      <w:pPr>
        <w:spacing w:after="240"/>
        <w:jc w:val="center"/>
      </w:pPr>
      <w:r>
        <w:rPr>
          <w:color w:val="777777"/>
          <w:sz w:val="20"/>
          <w:szCs w:val="20"/>
        </w:rPr>
        <w:t xml:space="preserve">Version 1.0  •  May 2026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t xml:space="preserve">Abstract</w:t>
      </w:r>
    </w:p>
    <w:p>
      <w:pPr>
        <w:spacing w:after="120"/>
      </w:pPr>
      <w:r>
        <w:t xml:space="preserve">This plan takes Relationship Bridge from its current state to V1 General Availability in 30 weeks. V1 ships a vertical-focused product (US restaurant / hospitality) covering the four feature areas at intentionally narrow depth: a working Daily Briefing, a four-verb subset of the Action Recommendation Policy, a lite Company Profile, and DRR v1 powering them. Network Gap detection ships as a preview, not a primary surface.</w:t>
      </w:r>
    </w:p>
    <w:p>
      <w:pPr>
        <w:spacing w:after="120"/>
      </w:pPr>
      <w:r>
        <w:t xml:space="preserve">Five milestones — kickoff (M0), pipeline alpha (M1), DRR + briefing alpha (M2), closed beta (M3), beta exit (M4), GA (M5) — gate the plan. Each gate has a written go/no-go criterion. The biggest non-engineering risk is source acquisition, which starts at week zero and runs in parallel to all engineering.</w:t>
      </w:r>
    </w:p>
    <w:p>
      <w:r>
        <w:br w:type="page"/>
      </w:r>
    </w:p>
    <w:p>
      <w:pPr>
        <w:pStyle w:val="Heading1"/>
      </w:pPr>
      <w:r>
        <w:t xml:space="preserve">1. V1 Scope</w:t>
      </w:r>
    </w:p>
    <w:p>
      <w:pPr>
        <w:pStyle w:val="Heading2"/>
      </w:pPr>
      <w:r>
        <w:t xml:space="preserve">1.1 In scope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Vertical: US restaurant / hospitality industry (QSR, fast-casual, multi-unit, franchise).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Ingestion: mainstream business news + 6–8 trade publications + LinkedIn ecosystem signal + 1–2 podcast sources.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Signal pipeline: classification, the 7 confidence tags, strategic interpretation with citation guardrails, and second-order implications.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Relationship graph: per-user with the schema in §7 of the architecture spec; DRR v1 with default parameters.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Action engine: 4 of 8 verbs at launch — congratulate, reconnect, monitor, no_action_recommended. Plus the restraint layer.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Briefing surface (web).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Company Profile — lite version (momentum, vulnerability, relationships panel, signal timeline; no peer set or AI posture).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Evaluation framework: offline metrics live; closed-beta A/B framework operational.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Settings: focus areas, cooldown windows, declined-targets list, basic feedback.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Mobile: read-only access to briefing (responsive web; native app deferred).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1.2 Out of scope for V1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Vertical expansion beyond restaurant/hospitality.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Verbs: request_meeting, investigate, share_article, strengthen (V2).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Network Gap detection as a primary surface (preview-only in beta; full in V2).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Multi-region operations.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Webhooks / external API.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Native mobile apps.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Conference / podcast deep ingestion automation (manual ingestion at launch).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Posture classification (V2).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Peer set + comparative scoring (V2).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1.3 Quality bar for V1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Median briefing latency to user view: ≤ 9 AM local on weekdays.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Hallucination rate (failed citation guardrail): &lt; 0.5% of strategic interpretations served.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Top-of-briefing precision@5 (beta cohort, user-confirmed): ≥ 0.50.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Restraint correctness ≥ 0.80 in closed beta.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Per-user LLM cost within budget (defined at M2 gate).</w:t>
      </w:r>
    </w:p>
    <w:p>
      <w:r>
        <w:br w:type="page"/>
      </w:r>
    </w:p>
    <w:p>
      <w:pPr>
        <w:pStyle w:val="Heading1"/>
      </w:pPr>
      <w:r>
        <w:t xml:space="preserve">2. Vertical Strategy</w:t>
      </w:r>
    </w:p>
    <w:p>
      <w:pPr>
        <w:spacing w:after="200"/>
      </w:pPr>
      <w:r>
        <w:rPr>
          <w:i/>
          <w:iCs/>
          <w:color w:val="555555"/>
        </w:rPr>
        <w:t xml:space="preserve">Restaurants / hospitality is the launch vertical. The direction document's examples concentrate here, the trade-press landscape is well-defined, and the persona (multi-unit operator, vendor exec, partnership leader) is sharply identifiable.</w:t>
      </w:r>
    </w:p>
    <w:p>
      <w:pPr>
        <w:pStyle w:val="Heading2"/>
      </w:pPr>
      <w:r>
        <w:t xml:space="preserve">2.1 Why vertical-first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Sharp persona means sharp source list, sharp scoring, and sharp recommendations.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Source licensing economics are tractable for a focused vertical.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Evaluation set can be built by hand at vertical scope; not at horizontal scope.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Quality bar is higher because users can tell when the system is wrong.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Wedge-to-expand is well-trodden: a credible product in one vertical opens adjacent verticals more cheaply than a horizontal launch.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2.2 Target sub-segments at launch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Multi-unit QSR operators (HQ leadership and tech buyers).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Enterprise POS, payments, and labor-tech vendors.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Franchise leadership at the brand and franchisee level.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Hospitality technology operators and investors.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Strategic advisors and operators-turned-investors in the space.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2.3 Adjacent verticals for V2</w:t>
      </w:r>
    </w:p>
    <w:p>
      <w:pPr>
        <w:spacing w:after="120"/>
      </w:pPr>
      <w:r>
        <w:t xml:space="preserve">In order of seriality based on persona-similarity and ecosystem overlap: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Convenience retail / fuel.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Specialty retail (grocery, beauty, home).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Healthcare staffing / multi-site healthcare ops.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 estate / multi-site services.</w:t>
      </w:r>
    </w:p>
    <w:p>
      <w:r>
        <w:br w:type="page"/>
      </w:r>
    </w:p>
    <w:p>
      <w:pPr>
        <w:pStyle w:val="Heading1"/>
      </w:pPr>
      <w:r>
        <w:t xml:space="preserve">3. Timeline &amp; Milestones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V1_timeline" descr="V1 timeline" title="V1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3.1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 — Kickoff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in place. Source registry seeded. Working dataset of fixture signals.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M1 — Pipeline alpha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 + normalization + signal classification running on 3+ trade sources. Citation guardrail enforced.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M2 — DRR + briefing alpha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DRR v1 computed for a synthetic user graph. Daily Briefing renders 3–7 items with restraint behavior.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M3 — Closed beta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10–20 users; full feature set as defined in §1.1. Eval framework live; weekly tuning.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M4 — Beta exit / GA gate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Quality bar met across go/no-go gates (§6). Source contracts in place.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M5 — V1 GA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availability; controlled ramp from 20 → 100 users.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Team Plan</w:t>
      </w:r>
    </w:p>
    <w:p>
      <w:pPr>
        <w:spacing w:after="200"/>
      </w:pPr>
      <w:r>
        <w:rPr>
          <w:i/>
          <w:iCs/>
          <w:color w:val="555555"/>
        </w:rPr>
        <w:t xml:space="preserve">Lean V1 team. Engineering-heavy with a designated data-ops/legal lead because source acquisition is on the critical path.</w:t>
      </w:r>
    </w:p>
    <w:p>
      <w:pPr>
        <w:pStyle w:val="Heading2"/>
      </w:pPr>
      <w:r>
        <w:t xml:space="preserve">4.1 Roles &amp;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Engineering lead / architect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pipeline, layer contracts, on-call rotation.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engineer (pipeline)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Ingestion, normalization, signal pipeline, storage.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engineer (graph + scoring)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Relationship graph, DRR, correlation, scoring.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 engineer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tier strategy, prompts, evals, citation guardrail.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Briefing, Action Queue, Company Profile, Settings.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Designer (part-time)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Briefing UX, restraint UI, profile layouts.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Roadmap, beta program, eval-set curation.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/ source operations lead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registry, publisher relationships, licensing.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success / beta manager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Beta onboarding, weekly feedback synthesis.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 counsel (contract)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agreements, ToS, privacy review.</w:t>
            </w:r>
          </w:p>
        </w:tc>
      </w:tr>
    </w:tbl>
    <w:p>
      <w:pPr>
        <w:shd w:fill="EAF3FB" w:val="clear"/>
        <w:spacing w:after="160"/>
      </w:pPr>
      <w:r>
        <w:rPr>
          <w:b/>
          <w:bCs/>
          <w:color w:val="1F3864"/>
        </w:rPr>
        <w:t xml:space="preserve">Total V1 team: </w:t>
      </w:r>
      <w:r>
        <w:t xml:space="preserve">~7 FTE engineering + 1 PM + 1 data-ops + part-time design / CS / legal.</w:t>
      </w:r>
    </w:p>
    <w:p>
      <w:pPr>
        <w:pStyle w:val="Heading2"/>
      </w:pPr>
      <w:r>
        <w:t xml:space="preserve">4.2 Decision rights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 scope changes — PM with input from engineering lead.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Quality gates — PM + engineering lead jointly; either can block GA.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Source contracts — data-ops lead with legal sign-off.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Algorithm changes — ML engineer with eval-set evidence; engineering lead final approval.</w:t>
      </w:r>
    </w:p>
    <w:p>
      <w:r>
        <w:br w:type="page"/>
      </w:r>
    </w:p>
    <w:p>
      <w:pPr>
        <w:pStyle w:val="Heading1"/>
      </w:pPr>
      <w:r>
        <w:t xml:space="preserve">5. Source Acquisition Strategy</w:t>
      </w:r>
    </w:p>
    <w:p>
      <w:pPr>
        <w:spacing w:after="200"/>
      </w:pPr>
      <w:r>
        <w:rPr>
          <w:i/>
          <w:iCs/>
          <w:color w:val="555555"/>
        </w:rPr>
        <w:t xml:space="preserve">Source acquisition is the #1 non-engineering risk and runs in parallel from week zero. Licensed trade content is hard to get and slow to negotiate; the plan must accommodate that.</w:t>
      </w:r>
    </w:p>
    <w:p>
      <w:pPr>
        <w:pStyle w:val="Heading2"/>
      </w:pPr>
      <w:r>
        <w:t xml:space="preserve">5.1 Source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2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Acquisition path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Lead time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RSS / open trade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QSR Magazine, Restaurant Business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RSS + terms review.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Licensed trade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NRN, Hospitality Technology, premium franchise pubs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license; publisher contract.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8–14 weeks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Newsletter (operator)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 operator-written Substacks, paid newsletters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Subscriber-class license + author engagement.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4–8 weeks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Earnings / transcripts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Vendor API (AlphaSense / Seeking Alpha)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Vendor contract.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 / social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Authorized API + accepted ToS scraping.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Vendor or in-house pipeline.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Podcasts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RSS + transcription pipeline.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Conference content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ingestion at launch; vendor pipeline V2.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Editorial team.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5.2 Critical-path source list (must-have by M2)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QSR Magazine — open / RSS.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NRN (Nation's Restaurant News) — licensed.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Restaurant Business — open.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Hospitality Technology — licensed.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 least one franchise-focused trade publication — open or licensed.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AlphaSense or equivalent transcript vendor — contracted.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LinkedIn ecosystem pipeline — operational.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5.3 Risk mitigations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 negotiations week zero — do not wait for engineering readiness.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two viable paths per licensed source (e.g., direct contract or scraping under fair-use review).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Establish editorial fallback: if a critical source is delayed, manual ingestion bridges to closed-beta start.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Publisher partner program: offer revenue share or co-marketing where useful.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Avoid hard dependencies on any single source — pipeline tolerates outages.</w:t>
      </w:r>
    </w:p>
    <w:p>
      <w:r>
        <w:br w:type="page"/>
      </w:r>
    </w:p>
    <w:p>
      <w:pPr>
        <w:pStyle w:val="Heading1"/>
      </w:pPr>
      <w:r>
        <w:t xml:space="preserve">6. Go/No-Go Gates</w:t>
      </w:r>
    </w:p>
    <w:p>
      <w:pPr>
        <w:spacing w:after="120"/>
      </w:pPr>
      <w:r>
        <w:t xml:space="preserve">Each milestone has a written criterion that must be true to advance. Any criterion failing blocks the milestone.</w:t>
      </w:r>
    </w:p>
    <w:p>
      <w:pPr>
        <w:pStyle w:val="Heading2"/>
      </w:pPr>
      <w:r>
        <w:t xml:space="preserve">6.1 M1 gate (pipeline alpha) — week 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Ingestion working for ≥ 3 trade sources end-to-end.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Signal classifier accuracy ≥ 0.90 on labeled fixture 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Citation guardrail catches ≥ 0.99 of unanchored interpretations on adversarial 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Per-signal Tier-1 LLM cost within projected envelope.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Source registry populated; licensing decisions documented for all live sources.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6.2 M2 gate (DRR + briefing alpha) — week 12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DRR computed for synthetic user graph; offline precision@10 on hand-labeled set ≥ 0.45.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Briefing renders 3–7 items reliably; quiet-day output works.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four V1 verbs (+ restraint) producing recommendations with audit trails.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End-to-end signal latency p95 ≤ 30 minutes.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Eval framework operational (regression suite, drift monitors, dashboard).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6.3 M3 gate (closed beta start) — week 18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10–20 beta users contracted and onboarded.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in-scope features (§1.1) shipped behind feature flags.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Critical-path source list complete (or editorial bridge in place).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Privacy review complete; tenant isolation verified by internal audit.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On-call rotation established; SLO dashboards live.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6.4 M4 gate (beta exit / GA approval) — week 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Top-of-briefing precision@5 ≥ 0.50 across the beta cohort (rolling 30 days).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Restraint correctness ≥ 0.80.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Hallucination rate (citation-guardrail failures reaching users) &lt; 0.5%.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Beta NPS or qualitative sentiment positive; user-reported false-positive rate ≤ 15%.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P0 incidents in the final 4 weeks of beta.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source contracts signed or with documented mitigation paths.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Cost per active user within target envelope.</w:t>
      </w:r>
    </w:p>
    <w:p>
      <w:pPr>
        <w:shd w:fill="EAF3FB" w:val="clear"/>
        <w:spacing w:after="160"/>
      </w:pPr>
      <w:r>
        <w:rPr>
          <w:b/>
          <w:bCs/>
          <w:color w:val="1F3864"/>
        </w:rPr>
        <w:t xml:space="preserve">If a gate fails: </w:t>
      </w:r>
      <w:r>
        <w:t xml:space="preserve">Hold the milestone; identify the root cause; either tune-and-retry or descope. Schedule slip is preferred to shipping a missed gate.</w:t>
      </w:r>
    </w:p>
    <w:p>
      <w:r>
        <w:br w:type="page"/>
      </w:r>
    </w:p>
    <w:p>
      <w:pPr>
        <w:pStyle w:val="Heading1"/>
      </w:pPr>
      <w:r>
        <w:t xml:space="preserve">7. Beta Program</w:t>
      </w:r>
    </w:p>
    <w:p>
      <w:pPr>
        <w:pStyle w:val="Heading2"/>
      </w:pPr>
      <w:r>
        <w:t xml:space="preserve">7.1 Profile of beta users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10–20 users at M3, scaling to 25–30 by M4.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Composition: 50% multi-unit operators or operator-adjacent execs; 30% vendors; 20% advisors/investors.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have a relationship graph of 200+ contacts they can import.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have stated focus areas inside the launch vertical.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Mix of large-graph (1000+) and mid-graph (200–500) users to stress the system.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7.2 Operating model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Weekly user check-ins with PM/CS during beta.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Bi-weekly tuning windows: weight changes reviewed against eval framework.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Per-user feedback channel; structured weekly synthesis.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Office-hours support during beta (no on-call SLA externally communicated).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user assigned a 'beta partner' inside the team for direct feedback.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7.3 Beta exit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Meet all M4 gate criteria.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≥ 70% of beta users actively using the product weekly in the final 4 weeks.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≥ 50% of beta users would recommend to a peer (structured exit survey).</w:t>
      </w:r>
    </w:p>
    <w:p>
      <w:r>
        <w:br w:type="page"/>
      </w:r>
    </w:p>
    <w:p>
      <w:pPr>
        <w:pStyle w:val="Heading1"/>
      </w:pPr>
      <w: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1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licensing slips past M2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week 0; maintain two paths per source; editorial fallback for the 1–2 most critical.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costs exceed envelope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Tier-3 cap with Tier-2 fallback (architecture §12); aggressive caching; conservative defaults; reset cap at M2 with real numbers.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Hallucination rate above target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Citation guardrail (§5.3 arch); adversarial canary set; refuse-to-interpret behavior.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DRR rankings feel arbitrary to users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 framework live by M2; weight changes only via offline-pass gate; explainability in UI from M3.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Beta users churn from low precision in early weeks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Conservative restraint defaults; quiet-day output; weekly tuning; user-facing 'why am I seeing this?'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privacy / data-handling incident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isolation verified at M3; legal review of all sources before they go live; structured incident response.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key source publisher refuses or removes access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hard single-source dependencies in pipeline; degrade gracefully; editorial bridge during recovery.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Engineering attrition mid-build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Cross-staffed layers; documented contracts; rotating on-call from M2.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scope creep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owns scope; out-of-scope V1 list is final; V2 backlog is the relief valve.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Post-V1 Roadmap Preview</w:t>
      </w:r>
    </w:p>
    <w:p>
      <w:pPr>
        <w:spacing w:after="200"/>
      </w:pPr>
      <w:r>
        <w:rPr>
          <w:i/>
          <w:iCs/>
          <w:color w:val="555555"/>
        </w:rPr>
        <w:t xml:space="preserve">V1 is the wedge. V2 and V3 expand both feature surface and vertical reach.</w:t>
      </w:r>
    </w:p>
    <w:p>
      <w:pPr>
        <w:pStyle w:val="Heading2"/>
      </w:pPr>
      <w:r>
        <w:t xml:space="preserve">9.1 V2 — Months 8–14 post-GA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Remaining 4 verbs: request_meeting, investigate, share_article, strengthen.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Network Gap detection promoted to a primary surface.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Company Profile full version (peer set, AI posture, comparative scoring).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Power-shift detection live.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Conference + podcast automated ingestion.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adjacent vertical: convenience retail / fuel.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9.2 V3 — Months 14–24 post-GA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Multi-vertical rollout (specialty retail, healthcare staffing, multi-site services).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Webhooks + external API.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Native mobile app.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Cross-tenant anonymized learning (consent-gated) for global default weights.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Advanced second-order interpretation and gap-vector synthesis.</w:t>
      </w:r>
    </w:p>
    <w:p>
      <w:r>
        <w:br w:type="page"/>
      </w:r>
    </w:p>
    <w:p>
      <w:pPr>
        <w:pStyle w:val="Heading1"/>
      </w:pPr>
      <w:r>
        <w:t xml:space="preserve">10. V1 Success Metrics</w:t>
      </w:r>
    </w:p>
    <w:p>
      <w:pPr>
        <w:spacing w:after="120"/>
      </w:pPr>
      <w:r>
        <w:t xml:space="preserve">Read these alongside the architecture's §13 anti-metrics — none of those metrics is a V1 target.</w:t>
      </w:r>
    </w:p>
    <w:p>
      <w:pPr>
        <w:pStyle w:val="Heading2"/>
      </w:pPr>
      <w:r>
        <w:t xml:space="preserve">10.1 Leading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Briefing weekly active users (open + act).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Top-of-briefing precision@5.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Restraint correctness (no-action agreement rate).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Per-recommendation accept / dismiss / snooze distribution.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Citation guardrail pass rate.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10.2 Lagging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User-reported opportunities attributable to RB triggers.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Relationship reactivation rate (cold → warm).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Beta-cohort 90-day retention.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NPS or equivalent qualitative sentiment trend.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10.3 Non-goals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Total signals ingested.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Briefing items shown per user.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Outreach messages sent.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Session length / DAU as a primary metric.</w:t>
      </w:r>
    </w:p>
    <w:p>
      <w:r>
        <w:br w:type="page"/>
      </w:r>
    </w:p>
    <w:p>
      <w:pPr>
        <w:pStyle w:val="Heading1"/>
      </w:pPr>
      <w:r>
        <w:t xml:space="preserve">11. Budget &amp; Cost Envelope</w:t>
      </w:r>
    </w:p>
    <w:p>
      <w:pPr>
        <w:spacing w:after="120"/>
      </w:pPr>
      <w:r>
        <w:rPr>
          <w:i/>
        </w:rPr>
        <w:t xml:space="preserve">Funding the 30-week plan. Headcount and infrastructure carry the cost; LLM spend is the only line item with operational variance.</w:t>
      </w:r>
    </w:p>
    <w:p>
      <w:pPr>
        <w:pStyle w:val="Heading2"/>
      </w:pPr>
      <w:r>
        <w:t xml:space="preserve">11.1 Headcount cost (30 weeks)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7 FTE engineering + 1 PM + 1 data-ops, fully loaded, at industry-typical rates for a Series-A team. Designer, CS, and legal are part-time / contract.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Headcount is the dominant cost line and is fixed once the team is hired.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re-baseline review is required at M2 (week 12) if the engineering team has not closed two of the four backend roles.</w:t>
      </w:r>
    </w:p>
    <w:p>
      <w:pPr>
        <w:pStyle w:val="Heading2"/>
      </w:pPr>
      <w:r>
        <w:t xml:space="preserve">11.2 Infrastructure &amp; LLM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Storage, compute, queueing, observability: budgeted at a Tier-1 cloud provider. Single-region at GA.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LLM spend: tiered per architecture §12 (Tier-3 cap with Tier-2 fallback). Per-user envelope is set at the M2 gate using real numbers from the synthetic-graph run. Until then, treat as the largest single risk to unit economics.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Aggressive caching of normalized signal interpretations; cache hits should bear &gt;60% of beta-day load by M3.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Source licensing cost: tracked as a separate line item (§5); budget for two licensed trade publications and one transcript vendor.</w:t>
      </w:r>
    </w:p>
    <w:p>
      <w:pPr>
        <w:pStyle w:val="Heading2"/>
      </w:pPr>
      <w:r>
        <w:t xml:space="preserve">11.3 Unit-economics target at GA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Per-active-user variable cost (LLM + storage + per-source amortization) must come in at less than 25% of per-user revenue at the stated GA price band (§13).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If unit cost overruns the envelope at M4, GA is held until either tiering tightens or the price band moves. Holding the gate is preferred to launching with broken margins.</w:t>
      </w:r>
    </w:p>
    <w:p>
      <w:pPr>
        <w:pStyle w:val="Heading1"/>
      </w:pPr>
      <w:r>
        <w:t xml:space="preserve">12. Privacy, Security &amp; Data Governance</w:t>
      </w:r>
    </w:p>
    <w:p>
      <w:pPr>
        <w:spacing w:after="120"/>
      </w:pPr>
      <w:r>
        <w:rPr>
          <w:i/>
        </w:rPr>
        <w:t xml:space="preserve">A relationship-graph product handles personal contact data, employment history, and signal-derived inferences about people. Privacy posture is a launch-blocking concern, not a polish item.</w:t>
      </w:r>
    </w:p>
    <w:p>
      <w:pPr>
        <w:pStyle w:val="Heading2"/>
      </w:pPr>
      <w:r>
        <w:t xml:space="preserve">12.1 Tenant isolation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Per-user relationship graphs are strictly isolated; no cross-tenant signal flow at V1. Anonymized cross-tenant learning is deferred to V3 and is consent-gated.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Internal audit at M3 must verify that no query path returns rows owned by another tenant.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Backups and snapshots inherit the same isolation rules. No shared-key store across tenants.</w:t>
      </w:r>
    </w:p>
    <w:p>
      <w:pPr>
        <w:pStyle w:val="Heading2"/>
      </w:pPr>
      <w:r>
        <w:t xml:space="preserve">12.2 Contact-data handling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Imported contact lists (LinkedIn export, Google Takeout, CSV) are stored encrypted at rest. Field-level encryption for email and phone is required.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Contact deletion: a user can purge a single contact or their whole graph within 24 hours of request; deletion includes derived briefs and DRR history.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third-party enrichment without explicit user opt-in. Default posture is do-not-enrich.</w:t>
      </w:r>
    </w:p>
    <w:p>
      <w:pPr>
        <w:pStyle w:val="Heading2"/>
      </w:pPr>
      <w:r>
        <w:t xml:space="preserve">12.3 Source data &amp; licensing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source has a recorded licensing decision and a kill-switch flag. A publisher can be removed from production in a single deploy.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Outputs include source attribution end-to-end; the citation guardrail makes attribution-less interpretation impossible by construction.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LinkedIn-derived data follows LinkedIn ToS; scraped pipelines, if used, are gated by legal review and have a documented fallback.</w:t>
      </w:r>
    </w:p>
    <w:p>
      <w:pPr>
        <w:pStyle w:val="Heading2"/>
      </w:pPr>
      <w:r>
        <w:t xml:space="preserve">12.4 Incident response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On-call rotation live from M2. P0 (data exposure or cross-tenant leakage) requires a written postmortem within 5 business days.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Customer disclosure within 72 hours of confirmed exposure of their data; faster if their data appears in another tenant’s context.</w:t>
      </w:r>
    </w:p>
    <w:p>
      <w:pPr>
        <w:pStyle w:val="Heading1"/>
      </w:pPr>
      <w:r>
        <w:t xml:space="preserve">13. Pricing &amp; Commercial Model</w:t>
      </w:r>
    </w:p>
    <w:p>
      <w:pPr>
        <w:spacing w:after="120"/>
      </w:pPr>
      <w:r>
        <w:rPr>
          <w:i/>
        </w:rPr>
        <w:t xml:space="preserve">V1 prices the wedge, not the platform. Decided in coordination with the unit-economics envelope in §11.3.</w:t>
      </w:r>
    </w:p>
    <w:p>
      <w:pPr>
        <w:pStyle w:val="Heading2"/>
      </w:pPr>
      <w:r>
        <w:t xml:space="preserve">13.1 Beta commercial terms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Closed beta is free. Beta users sign a one-page agreement covering feedback obligations, data-use boundaries, and a courtesy clause on confidentiality of unreleased features.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Beta users are offered preferred GA pricing for 12 months (target: 50% discount off list).</w:t>
      </w:r>
    </w:p>
    <w:p>
      <w:pPr>
        <w:pStyle w:val="Heading2"/>
      </w:pPr>
      <w:r>
        <w:t xml:space="preserve">13.2 GA pricing posture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Per-seat monthly subscription. Single tier at GA. Annual prepay preferred; month-to-month available at a premium.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Target price band: positioned above generic CRM add-ons (Hubspot, Affinity); below executive intelligence services (Tegus, Wonder). Final band is set by the M4 commercial review with two anchor reference accounts.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Graph-size cap on the base tier; over-cap pricing is metered. Caps are public.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usage-based LLM billing exposed to the customer. Cost discipline is the operator’s problem, not the user’s.</w:t>
      </w:r>
    </w:p>
    <w:p>
      <w:pPr>
        <w:pStyle w:val="Heading2"/>
      </w:pPr>
      <w:r>
        <w:t xml:space="preserve">13.3 Sales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Founder-led / PM-led at GA. No sales hire in V1.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14-day evaluation with full functionality; no credit card to start.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Channel partners deferred to V2. Direct-only at V1 to keep the feedback loop tight.</w:t>
      </w:r>
    </w:p>
    <w:p>
      <w:pPr>
        <w:pStyle w:val="Heading1"/>
      </w:pPr>
      <w:r>
        <w:t xml:space="preserve">14. Founder Dogfooding</w:t>
      </w:r>
    </w:p>
    <w:p>
      <w:pPr>
        <w:spacing w:after="120"/>
      </w:pPr>
      <w:r>
        <w:rPr>
          <w:i/>
        </w:rPr>
        <w:t xml:space="preserve">The founder’s own RB instance is the canonical eval ground. Treat it as production from week zero.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file-based RB instance (this repository) is V0. Its baseline graph, loop ledger, cards, and briefs are real-world ground truth for DRR, restraint, and recommendation behavior.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deterministic scripts in system/scripts/ (daily_brief, validate_baseline, gap_detection, loop_parser, network_gap, drr_score) are the reference implementation behaviors V1 must replicate or improve. Treat the script outputs as the V0 eval baseline.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founder operates the V0 system daily and reports observed misranks, missed loops, false-positive recommendations, and restraint failures into the V1 eval 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V1 behavior change must be sanity-checked against the founder’s graph before any beta user sees it.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At M3, the founder’s graph is migrated onto the V1 platform and run side-by-side with V0 for at least four weeks. A divergence above an agreed threshold blocks beta exit.</w:t>
      </w:r>
    </w:p>
    <w:p>
      <w:pPr>
        <w:pStyle w:val="Heading1"/>
      </w:pPr>
      <w:r>
        <w:t xml:space="preserve">Appendix A — Week-by-Week Working Backlog (top-line)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0–2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Foundation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in place; source registry seeded; eval set v0; legal kickoff with publishers.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2–6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 + normalization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RSS connectors; entity resolution; first three trade sources end-to-end.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 pipeline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Classification, tagging, interpretation, second-order, citation guardrail.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6–14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 + DRR v1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Schema, ER into graph, DRR computation, streaming updates.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10–18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Correlation + action engine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 engine, 4 verbs, restraint layer, audit log.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12–22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Briefing + profile UI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Briefing, lite Company Profile, settings, feedback inputs.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 + monitoring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Fixture set, offline metrics, drift monitors, dashboards.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18–26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Closed beta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Onboarding, weekly tuning, qualitative synthesis.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24–30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Hardening + GA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SLOs, on-call, runbooks, GA ramp 20 → 100.</w:t>
            </w:r>
          </w:p>
        </w:tc>
      </w:tr>
    </w:tbl>
    <w:p>
      <w:pPr>
        <w:pStyle w:val="Heading1"/>
      </w:pPr>
      <w:r>
        <w:t xml:space="preserve">Appendix B — Beta-Cohort Recruiting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 size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200–2,000 contacts importable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Multi-unit operator, vendor exec, advisor, investor in the vertical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Engagement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Willing to give 30 min/week to feedback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Tolerance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Tolerant of a beta-quality product with explicit restraint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Geography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US-based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Diversity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Mix of operators, vendors, and investors; mix of graph sizes; mix of focus breadth</w:t>
            </w:r>
          </w:p>
        </w:tc>
      </w:tr>
    </w:tbl>
    <w:p>
      <w:pPr>
        <w:pStyle w:val="Heading1"/>
      </w:pPr>
      <w:r>
        <w:t xml:space="preserve">Appendix C — Source Registry Starter List</w:t>
      </w:r>
    </w:p>
    <w:p>
      <w:pPr>
        <w:spacing w:after="120"/>
      </w:pPr>
      <w:r>
        <w:rPr>
          <w:i/>
        </w:rPr>
        <w:t xml:space="preserve">Concrete list of sources to begin acquisition against in week zero. Status updates live in the source registry, not here. Treat this appendix as the seed, not the inventory.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/ RSS: QSR Magazine, Restaurant Business, Modern Restaurant Management, Restaurant Dive, FastCasual.com, Franchise Times (open feeds where available).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Licensed trade (target by M2): Nation’s Restaurant News (NRN), Hospitality Technology, Restaurant Finance Monitor, Franchise Update.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Operator newsletters (paid subscriber-class licenses): a curated set of 4–6 operator-written Substacks identified by data-ops at week 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Earnings / transcripts: AlphaSense or Seeking Alpha vendor contract. Targets: publicly traded operators and POS / payments vendors active in the vertical.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LinkedIn: authorized API where available; in-house ToS-compliant scrape path as a redundant route.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Podcasts: RSS + Whisper-class transcription. Target hosts: 5–7 podcasts indexed by data-ops in week 0.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Conferences: manual editorial ingestion at V1 (NRA Show, FSTEC, Restaurants Rise, Hospitality Industry Technology Exposition).</w:t>
      </w:r>
    </w:p>
    <w:p>
      <w:pPr>
        <w:pStyle w:val="Heading1"/>
      </w:pPr>
      <w:r>
        <w:t xml:space="preserve">Appendix D — Evaluation Set Construction</w:t>
      </w:r>
    </w:p>
    <w:p>
      <w:pPr>
        <w:spacing w:after="120"/>
      </w:pPr>
      <w:r>
        <w:rPr>
          <w:i/>
        </w:rPr>
        <w:t xml:space="preserve">A vertical-scope eval set is the single tool that lets a small team make principled trade-offs. Without it, weight changes turn into vibes.</w:t>
      </w:r>
    </w:p>
    <w:p>
      <w:pPr>
        <w:pStyle w:val="Heading2"/>
      </w:pPr>
      <w:r>
        <w:t xml:space="preserve">D.1 Composition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300–500 hand-labeled signal items from the launch vertical, sampled across all source tiers in §5.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item carries: ground-truth classification, expected confidence tag, gold strategic interpretation (or “refuse”), and the cited evidence span.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 adversarial subset (~60 items): unanchored claims, near-duplicates from different sources, ambiguous corporate-action events.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graph subset (40–60 synthetic users with imported real-shape graphs) for DRR precision⁀k offline measurement.</w:t>
      </w:r>
    </w:p>
    <w:p>
      <w:pPr>
        <w:pStyle w:val="Heading2"/>
      </w:pPr>
      <w:r>
        <w:t xml:space="preserve">D.2 Construction process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Week 0–2: PM + ML engineer label v0 (target ~100 items). Inter-rater check on a 20-item sample.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Week 2–6: add the trade-source items as ingestion goes live; build the adversarial subset deliberately by mining false positives.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Week 6–12: graph subset built from a mixture of the founder’s graph (§14) and 3–5 synthetic graphs hand-constructed from public org data in the vertical.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From M3 forward: beta-user feedback events feed back into the eval set with an explicit re-label step (no silent ground-truth drift).</w:t>
      </w:r>
    </w:p>
    <w:p>
      <w:pPr>
        <w:pStyle w:val="Heading2"/>
      </w:pPr>
      <w:r>
        <w:t xml:space="preserve">D.3 Use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weight change ships without an offline-pass result from the regression suite.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eval set is versioned; the version that gated each shipped model change is recorded in the change log.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Drift monitors compare live distributions to the eval set; if drift exceeds the threshold for two consecutive weeks, the set is refreshed before further weight changes.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RB V1 Launch Plan  •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528d1e7bc3f62a22f68f7fd42af3db21d2e006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2026-05-15T15:21:29.735Z</dcterms:created>
  <dcterms:modified xsi:type="dcterms:W3CDTF">2026-05-15T15:21:29.738Z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