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spacing w:after="160"/>
      </w:pPr>
      <w:r>
        <w:rPr>
          <w:sz w:val="48"/>
        </w:rPr>
        <w:t>Freddy's Frozen Custard &amp; Steakburgers Background Brief</w:t>
      </w:r>
    </w:p>
    <w:p>
      <w:pPr>
        <w:spacing w:after="40"/>
      </w:pPr>
      <w:r>
        <w:rPr>
          <w:sz w:val="21"/>
        </w:rPr>
        <w:t>Prepared by: Todd Vahlsing</w:t>
      </w:r>
    </w:p>
    <w:p>
      <w:pPr>
        <w:spacing w:after="40"/>
      </w:pPr>
      <w:r>
        <w:rPr>
          <w:sz w:val="21"/>
        </w:rPr>
        <w:t>Purpose: Account background and discovery preparation</w:t>
      </w:r>
    </w:p>
    <w:p>
      <w:pPr>
        <w:spacing w:after="40"/>
      </w:pPr>
      <w:r>
        <w:rPr>
          <w:sz w:val="21"/>
        </w:rPr>
        <w:t>Current posture: Pre-engagement research and qualification — channel coordination required before outreach</w:t>
      </w:r>
    </w:p>
    <w:p>
      <w:pPr>
        <w:pStyle w:val="Heading1"/>
        <w:spacing w:before="200" w:after="80"/>
      </w:pPr>
      <w:r>
        <w:rPr>
          <w:sz w:val="34"/>
        </w:rPr>
        <w:t>Executive Summary</w:t>
      </w:r>
    </w:p>
    <w:p>
      <w:pPr/>
      <w:r>
        <w:t>Freddy’s is a fast-growing franchised fast-casual brand with more than 550 restaurants in the United States and Canada and more than $1 billion in recent systemwide sales. Investment funds affiliated with Rhône acquired the business from Thompson Street Capital Partners in September 2025; Chris Dull and the existing leadership team remained in place to continue market expansion and operating improvements.</w:t>
      </w:r>
    </w:p>
    <w:p>
      <w:pPr/>
      <w:r>
        <w:t>Freddy’s is strategically relevant, but the path is constrained. PAR states that it powers nearly the entire Freddy’s restaurant technology stack through PAR POS, Punchh, and PAR Pay, following a rapid enterprise rollout. Olo also supports digital ordering, catering, and payments-related capabilities. Worldpay is recorded internally as an incumbent relationship, and the PAR engagement is associated with RDS. A broad POS displacement approach would therefore be poorly timed and likely channel-conflicted.</w:t>
      </w:r>
    </w:p>
    <w:p>
      <w:pPr/>
      <w:r>
        <w:t>The practical opportunity is coordinated adjacency: protect the Worldpay position, understand the RDS commercial model, and look for verified gaps in payments economics, digital menu boards, hardware, back office, deployment, or franchise support. Any motion should begin with internal channel alignment and a customer-specific problem—not a platform replacement thesis.</w:t>
      </w:r>
    </w:p>
    <w:p>
      <w:pPr>
        <w:pStyle w:val="Heading1"/>
        <w:spacing w:before="200" w:after="80"/>
      </w:pPr>
      <w:r>
        <w:rPr>
          <w:sz w:val="34"/>
        </w:rPr>
        <w:t>Brand Profile</w:t>
      </w:r>
    </w:p>
    <w:p>
      <w:pPr>
        <w:spacing w:after="0"/>
        <w:ind w:left="403" w:hanging="230"/>
      </w:pPr>
      <w:r>
        <w:rPr>
          <w:sz w:val="20"/>
        </w:rPr>
        <w:t>• Founded: 2002 in Wichita, Kansas</w:t>
      </w:r>
    </w:p>
    <w:p>
      <w:pPr>
        <w:spacing w:after="0"/>
        <w:ind w:left="403" w:hanging="230"/>
      </w:pPr>
      <w:r>
        <w:rPr>
          <w:sz w:val="20"/>
        </w:rPr>
        <w:t>• Headquarters: Wichita, Kansas</w:t>
      </w:r>
    </w:p>
    <w:p>
      <w:pPr>
        <w:spacing w:after="0"/>
        <w:ind w:left="403" w:hanging="230"/>
      </w:pPr>
      <w:r>
        <w:rPr>
          <w:sz w:val="20"/>
        </w:rPr>
        <w:t>• Segment: Fast casual / steakburgers and frozen custard</w:t>
      </w:r>
    </w:p>
    <w:p>
      <w:pPr>
        <w:spacing w:after="0"/>
        <w:ind w:left="403" w:hanging="230"/>
      </w:pPr>
      <w:r>
        <w:rPr>
          <w:sz w:val="20"/>
        </w:rPr>
        <w:t>• Footprint: More than 550 restaurants in the United States and Canada</w:t>
      </w:r>
    </w:p>
    <w:p>
      <w:pPr>
        <w:spacing w:after="0"/>
        <w:ind w:left="403" w:hanging="230"/>
      </w:pPr>
      <w:r>
        <w:rPr>
          <w:sz w:val="20"/>
        </w:rPr>
        <w:t>• Recent scale: More than $1 billion in systemwide sales reported at the 2025 ownership change</w:t>
      </w:r>
    </w:p>
    <w:p>
      <w:pPr>
        <w:spacing w:after="0"/>
        <w:ind w:left="403" w:hanging="230"/>
      </w:pPr>
      <w:r>
        <w:rPr>
          <w:sz w:val="20"/>
        </w:rPr>
        <w:t>• Ownership: Investment funds affiliated with Rhône, acquired September 2025</w:t>
      </w:r>
    </w:p>
    <w:p>
      <w:pPr>
        <w:spacing w:after="0"/>
        <w:ind w:left="403" w:hanging="230"/>
      </w:pPr>
      <w:r>
        <w:rPr>
          <w:sz w:val="20"/>
        </w:rPr>
        <w:t>• Operating model: Predominantly franchised, with corporate and nontraditional locations</w:t>
      </w:r>
    </w:p>
    <w:p>
      <w:pPr>
        <w:spacing w:after="0"/>
        <w:ind w:left="403" w:hanging="230"/>
      </w:pPr>
      <w:r>
        <w:rPr>
          <w:sz w:val="20"/>
        </w:rPr>
        <w:t>• Strategic priorities: New-market expansion, franchisee and guest experience, back-of-house efficiency, digital platforms, and nontraditional development</w:t>
      </w:r>
    </w:p>
    <w:p>
      <w:pPr>
        <w:pStyle w:val="Heading1"/>
        <w:spacing w:before="200" w:after="80"/>
      </w:pPr>
      <w:r>
        <w:rPr>
          <w:sz w:val="34"/>
        </w:rPr>
        <w:t>Current Business Situation</w:t>
      </w:r>
    </w:p>
    <w:p>
      <w:pPr/>
      <w:r>
        <w:t>Freddy’s entered a new ownership chapter in 2025 after several years of growth investment and foundational operating improvements. Rhône’s acquisition announcement emphasized continued market expansion, while preserving the existing leadership team. The brand’s official site now reports more than 500 locations, and recent openings show continued development across conventional and nontraditional formats.</w:t>
      </w:r>
    </w:p>
    <w:p>
      <w:pPr/>
      <w:r>
        <w:t>Technology modernization has already been substantial. PAR reports that Freddy’s replaced 285 restaurants in 90 days and completed its PAR POS rollout within nine months. PAR also identifies Punchh and PAR Pay in the deployed portfolio and positions itself as the primary restaurant-technology partner. Olo separately documents digital ordering, first-party catering, guest engagement, and payment simplification.</w:t>
      </w:r>
    </w:p>
    <w:p>
      <w:pPr/>
      <w:r>
        <w:t>Internal account intelligence places Freddy’s behind Five Guys but ahead of many nurture accounts. The account is attractive because of scale, growth, and a Worldpay relationship, but the incumbent PAR/RDS structure changes the engagement model. Internal alignment on customer ownership, reseller economics, contract terms, and permissible adjacencies is the first gate.</w:t>
      </w:r>
    </w:p>
    <w:p>
      <w:pPr>
        <w:pStyle w:val="Heading1"/>
        <w:spacing w:before="200" w:after="80"/>
      </w:pPr>
      <w:r>
        <w:rPr>
          <w:sz w:val="34"/>
        </w:rPr>
        <w:t>Leadership</w:t>
      </w:r>
    </w:p>
    <w:p>
      <w:pPr>
        <w:pStyle w:val="Heading2"/>
        <w:spacing w:before="80" w:after="20"/>
      </w:pPr>
      <w:r>
        <w:rPr>
          <w:sz w:val="23"/>
        </w:rPr>
        <w:t>Confirmed</w:t>
      </w:r>
    </w:p>
    <w:p>
      <w:pPr>
        <w:spacing w:after="0"/>
        <w:ind w:left="403" w:hanging="230"/>
      </w:pPr>
      <w:r>
        <w:rPr>
          <w:sz w:val="20"/>
        </w:rPr>
        <w:t>• Chris Dull — President and Chief Executive Officer. Remained in place after the 2025 Rhône acquisition.</w:t>
      </w:r>
    </w:p>
    <w:p>
      <w:pPr>
        <w:spacing w:after="0"/>
        <w:ind w:left="403" w:hanging="230"/>
      </w:pPr>
      <w:r>
        <w:rPr>
          <w:sz w:val="20"/>
        </w:rPr>
        <w:t>• Sean Thompson — Vice President of Information Technology. Public spokesperson for the PAR and Olo relationships and a likely technical buying influence.</w:t>
      </w:r>
    </w:p>
    <w:p>
      <w:pPr>
        <w:pStyle w:val="Heading2"/>
        <w:spacing w:before="80" w:after="20"/>
      </w:pPr>
      <w:r>
        <w:rPr>
          <w:sz w:val="23"/>
        </w:rPr>
        <w:t>Reported and Requires Validation</w:t>
      </w:r>
    </w:p>
    <w:p>
      <w:pPr>
        <w:spacing w:after="0"/>
        <w:ind w:left="403" w:hanging="230"/>
      </w:pPr>
      <w:r>
        <w:rPr>
          <w:sz w:val="20"/>
        </w:rPr>
        <w:t>• Confirm the current leaders for operations, digital, finance, franchise development, procurement, and payments.</w:t>
      </w:r>
    </w:p>
    <w:p>
      <w:pPr>
        <w:spacing w:after="0"/>
        <w:ind w:left="403" w:hanging="230"/>
      </w:pPr>
      <w:r>
        <w:rPr>
          <w:sz w:val="20"/>
        </w:rPr>
        <w:t>• Confirm the executive sponsor and day-to-day owner of the RDS and Worldpay relationships.</w:t>
      </w:r>
    </w:p>
    <w:p>
      <w:pPr>
        <w:pStyle w:val="Heading2"/>
        <w:spacing w:before="80" w:after="20"/>
      </w:pPr>
      <w:r>
        <w:rPr>
          <w:sz w:val="23"/>
        </w:rPr>
        <w:t>Internal Relationship and Access</w:t>
      </w:r>
    </w:p>
    <w:p>
      <w:pPr>
        <w:spacing w:after="0"/>
        <w:ind w:left="403" w:hanging="230"/>
      </w:pPr>
      <w:r>
        <w:rPr>
          <w:sz w:val="20"/>
        </w:rPr>
        <w:t>• Avery Churchwell is identified internally as the Worldpay relationship manager.</w:t>
      </w:r>
    </w:p>
    <w:p>
      <w:pPr>
        <w:spacing w:after="0"/>
        <w:ind w:left="403" w:hanging="230"/>
      </w:pPr>
      <w:r>
        <w:rPr>
          <w:sz w:val="20"/>
        </w:rPr>
        <w:t>• RDS is the established channel for the PAR relationship. Determine whether future motions should be referral-led, jointly sold, or dealer-led.</w:t>
      </w:r>
    </w:p>
    <w:p>
      <w:pPr>
        <w:spacing w:after="0"/>
        <w:ind w:left="403" w:hanging="230"/>
      </w:pPr>
      <w:r>
        <w:rPr>
          <w:sz w:val="20"/>
        </w:rPr>
        <w:t>• Freddy’s and Slim Chickens have overlapping franchise ownership in parts of the system; map the shared operators without assuming identical buying processes.</w:t>
      </w:r>
    </w:p>
    <w:p>
      <w:pPr>
        <w:pStyle w:val="Heading1"/>
        <w:spacing w:before="200" w:after="80"/>
      </w:pPr>
      <w:r>
        <w:rPr>
          <w:sz w:val="34"/>
        </w:rPr>
        <w:t>Technology Environment</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17365D"/>
            <w:tcMar>
              <w:top w:w="90" w:type="dxa"/>
              <w:start w:w="100" w:type="dxa"/>
              <w:bottom w:w="90" w:type="dxa"/>
              <w:end w:w="100" w:type="dxa"/>
            </w:tcMar>
          </w:tcPr>
          <w:p>
            <w:r>
              <w:rPr>
                <w:b/>
                <w:color w:val="FFFFFF"/>
              </w:rPr>
              <w:t>Layer</w:t>
            </w:r>
          </w:p>
        </w:tc>
        <w:tc>
          <w:tcPr>
            <w:tcW w:type="dxa" w:w="2016"/>
            <w:vAlign w:val="center"/>
            <w:shd w:fill="17365D"/>
            <w:tcMar>
              <w:top w:w="90" w:type="dxa"/>
              <w:start w:w="100" w:type="dxa"/>
              <w:bottom w:w="90" w:type="dxa"/>
              <w:end w:w="100" w:type="dxa"/>
            </w:tcMar>
          </w:tcPr>
          <w:p>
            <w:r>
              <w:rPr>
                <w:b/>
                <w:color w:val="FFFFFF"/>
              </w:rPr>
              <w:t>Vendor or Platform</w:t>
            </w:r>
          </w:p>
        </w:tc>
        <w:tc>
          <w:tcPr>
            <w:tcW w:type="dxa" w:w="2016"/>
            <w:vAlign w:val="center"/>
            <w:shd w:fill="17365D"/>
            <w:tcMar>
              <w:top w:w="90" w:type="dxa"/>
              <w:start w:w="100" w:type="dxa"/>
              <w:bottom w:w="90" w:type="dxa"/>
              <w:end w:w="100" w:type="dxa"/>
            </w:tcMar>
          </w:tcPr>
          <w:p>
            <w:r>
              <w:rPr>
                <w:b/>
                <w:color w:val="FFFFFF"/>
              </w:rPr>
              <w:t>Status</w:t>
            </w:r>
          </w:p>
        </w:tc>
        <w:tc>
          <w:tcPr>
            <w:tcW w:type="dxa" w:w="2016"/>
            <w:vAlign w:val="center"/>
            <w:shd w:fill="17365D"/>
            <w:tcMar>
              <w:top w:w="90" w:type="dxa"/>
              <w:start w:w="100" w:type="dxa"/>
              <w:bottom w:w="90" w:type="dxa"/>
              <w:end w:w="100" w:type="dxa"/>
            </w:tcMar>
          </w:tcPr>
          <w:p>
            <w:r>
              <w:rPr>
                <w:b/>
                <w:color w:val="FFFFFF"/>
              </w:rPr>
              <w:t>Confidence</w:t>
            </w:r>
          </w:p>
        </w:tc>
        <w:tc>
          <w:tcPr>
            <w:tcW w:type="dxa" w:w="2016"/>
            <w:vAlign w:val="center"/>
            <w:shd w:fill="17365D"/>
            <w:tcMar>
              <w:top w:w="90" w:type="dxa"/>
              <w:start w:w="100" w:type="dxa"/>
              <w:bottom w:w="90" w:type="dxa"/>
              <w:end w:w="100" w:type="dxa"/>
            </w:tcMar>
          </w:tcPr>
          <w:p>
            <w:r>
              <w:rPr>
                <w:b/>
                <w:color w:val="FFFFFF"/>
              </w:rPr>
              <w:t>As of</w:t>
            </w:r>
          </w:p>
        </w:tc>
      </w:tr>
      <w:tr>
        <w:trPr>
          <w:cantSplit/>
        </w:trPr>
        <w:tc>
          <w:tcPr>
            <w:tcW w:type="dxa" w:w="2016"/>
            <w:vAlign w:val="center"/>
            <w:tcMar>
              <w:top w:w="90" w:type="dxa"/>
              <w:start w:w="100" w:type="dxa"/>
              <w:bottom w:w="90" w:type="dxa"/>
              <w:end w:w="100" w:type="dxa"/>
            </w:tcMar>
          </w:tcPr>
          <w:p>
            <w:r>
              <w:t>POS</w:t>
            </w:r>
          </w:p>
        </w:tc>
        <w:tc>
          <w:tcPr>
            <w:tcW w:type="dxa" w:w="2016"/>
            <w:vAlign w:val="center"/>
            <w:tcMar>
              <w:top w:w="90" w:type="dxa"/>
              <w:start w:w="100" w:type="dxa"/>
              <w:bottom w:w="90" w:type="dxa"/>
              <w:end w:w="100" w:type="dxa"/>
            </w:tcMar>
          </w:tcPr>
          <w:p>
            <w:r>
              <w:t>PAR POS</w:t>
            </w:r>
          </w:p>
        </w:tc>
        <w:tc>
          <w:tcPr>
            <w:tcW w:type="dxa" w:w="2016"/>
            <w:vAlign w:val="center"/>
            <w:tcMar>
              <w:top w:w="90" w:type="dxa"/>
              <w:start w:w="100" w:type="dxa"/>
              <w:bottom w:w="90" w:type="dxa"/>
              <w:end w:w="100" w:type="dxa"/>
            </w:tcMar>
          </w:tcPr>
          <w:p>
            <w:r>
              <w:t>Enterprise deployment completed; 285 restaurants converted in 90 days</w:t>
            </w:r>
          </w:p>
        </w:tc>
        <w:tc>
          <w:tcPr>
            <w:tcW w:type="dxa" w:w="2016"/>
            <w:vAlign w:val="center"/>
            <w:tcMar>
              <w:top w:w="90" w:type="dxa"/>
              <w:start w:w="100" w:type="dxa"/>
              <w:bottom w:w="90" w:type="dxa"/>
              <w:end w:w="100" w:type="dxa"/>
            </w:tcMar>
          </w:tcPr>
          <w:p>
            <w:r>
              <w:t>High</w:t>
            </w:r>
          </w:p>
        </w:tc>
        <w:tc>
          <w:tcPr>
            <w:tcW w:type="dxa" w:w="2016"/>
            <w:vAlign w:val="center"/>
            <w:tcMar>
              <w:top w:w="90" w:type="dxa"/>
              <w:start w:w="100" w:type="dxa"/>
              <w:bottom w:w="90" w:type="dxa"/>
              <w:end w:w="100" w:type="dxa"/>
            </w:tcMar>
          </w:tcPr>
          <w:p>
            <w:r>
              <w:t>2026-09-11</w:t>
            </w:r>
          </w:p>
        </w:tc>
      </w:tr>
      <w:tr>
        <w:trPr>
          <w:cantSplit/>
        </w:trPr>
        <w:tc>
          <w:tcPr>
            <w:tcW w:type="dxa" w:w="2016"/>
            <w:vAlign w:val="center"/>
            <w:tcMar>
              <w:top w:w="90" w:type="dxa"/>
              <w:start w:w="100" w:type="dxa"/>
              <w:bottom w:w="90" w:type="dxa"/>
              <w:end w:w="100" w:type="dxa"/>
            </w:tcMar>
            <w:shd w:fill="F3F6FA"/>
          </w:tcPr>
          <w:p>
            <w:r>
              <w:t>Loyalty and engagement</w:t>
            </w:r>
          </w:p>
        </w:tc>
        <w:tc>
          <w:tcPr>
            <w:tcW w:type="dxa" w:w="2016"/>
            <w:vAlign w:val="center"/>
            <w:tcMar>
              <w:top w:w="90" w:type="dxa"/>
              <w:start w:w="100" w:type="dxa"/>
              <w:bottom w:w="90" w:type="dxa"/>
              <w:end w:w="100" w:type="dxa"/>
            </w:tcMar>
            <w:shd w:fill="F3F6FA"/>
          </w:tcPr>
          <w:p>
            <w:r>
              <w:t>PAR Punchh</w:t>
            </w:r>
          </w:p>
        </w:tc>
        <w:tc>
          <w:tcPr>
            <w:tcW w:type="dxa" w:w="2016"/>
            <w:vAlign w:val="center"/>
            <w:tcMar>
              <w:top w:w="90" w:type="dxa"/>
              <w:start w:w="100" w:type="dxa"/>
              <w:bottom w:w="90" w:type="dxa"/>
              <w:end w:w="100" w:type="dxa"/>
            </w:tcMar>
            <w:shd w:fill="F3F6FA"/>
          </w:tcPr>
          <w:p>
            <w:r>
              <w:t>Deployed with reported growth in loyalty signups and traffic</w:t>
            </w:r>
          </w:p>
        </w:tc>
        <w:tc>
          <w:tcPr>
            <w:tcW w:type="dxa" w:w="2016"/>
            <w:vAlign w:val="center"/>
            <w:tcMar>
              <w:top w:w="90" w:type="dxa"/>
              <w:start w:w="100" w:type="dxa"/>
              <w:bottom w:w="90" w:type="dxa"/>
              <w:end w:w="100" w:type="dxa"/>
            </w:tcMar>
            <w:shd w:fill="F3F6FA"/>
          </w:tcPr>
          <w:p>
            <w:r>
              <w:t>High</w:t>
            </w:r>
          </w:p>
        </w:tc>
        <w:tc>
          <w:tcPr>
            <w:tcW w:type="dxa" w:w="2016"/>
            <w:vAlign w:val="center"/>
            <w:tcMar>
              <w:top w:w="90" w:type="dxa"/>
              <w:start w:w="100" w:type="dxa"/>
              <w:bottom w:w="90" w:type="dxa"/>
              <w:end w:w="100" w:type="dxa"/>
            </w:tcMar>
            <w:shd w:fill="F3F6FA"/>
          </w:tcPr>
          <w:p>
            <w:r>
              <w:t>2026-09-11</w:t>
            </w:r>
          </w:p>
        </w:tc>
      </w:tr>
      <w:tr>
        <w:trPr>
          <w:cantSplit/>
        </w:trPr>
        <w:tc>
          <w:tcPr>
            <w:tcW w:type="dxa" w:w="2016"/>
            <w:vAlign w:val="center"/>
            <w:tcMar>
              <w:top w:w="90" w:type="dxa"/>
              <w:start w:w="100" w:type="dxa"/>
              <w:bottom w:w="90" w:type="dxa"/>
              <w:end w:w="100" w:type="dxa"/>
            </w:tcMar>
          </w:tcPr>
          <w:p>
            <w:r>
              <w:t>Payments middleware</w:t>
            </w:r>
          </w:p>
        </w:tc>
        <w:tc>
          <w:tcPr>
            <w:tcW w:type="dxa" w:w="2016"/>
            <w:vAlign w:val="center"/>
            <w:tcMar>
              <w:top w:w="90" w:type="dxa"/>
              <w:start w:w="100" w:type="dxa"/>
              <w:bottom w:w="90" w:type="dxa"/>
              <w:end w:w="100" w:type="dxa"/>
            </w:tcMar>
          </w:tcPr>
          <w:p>
            <w:r>
              <w:t>PAR Pay</w:t>
            </w:r>
          </w:p>
        </w:tc>
        <w:tc>
          <w:tcPr>
            <w:tcW w:type="dxa" w:w="2016"/>
            <w:vAlign w:val="center"/>
            <w:tcMar>
              <w:top w:w="90" w:type="dxa"/>
              <w:start w:w="100" w:type="dxa"/>
              <w:bottom w:w="90" w:type="dxa"/>
              <w:end w:w="100" w:type="dxa"/>
            </w:tcMar>
          </w:tcPr>
          <w:p>
            <w:r>
              <w:t>Named by PAR as part of the deployed suite</w:t>
            </w:r>
          </w:p>
        </w:tc>
        <w:tc>
          <w:tcPr>
            <w:tcW w:type="dxa" w:w="2016"/>
            <w:vAlign w:val="center"/>
            <w:tcMar>
              <w:top w:w="90" w:type="dxa"/>
              <w:start w:w="100" w:type="dxa"/>
              <w:bottom w:w="90" w:type="dxa"/>
              <w:end w:w="100" w:type="dxa"/>
            </w:tcMar>
          </w:tcPr>
          <w:p>
            <w:r>
              <w:t>High</w:t>
            </w:r>
          </w:p>
        </w:tc>
        <w:tc>
          <w:tcPr>
            <w:tcW w:type="dxa" w:w="2016"/>
            <w:vAlign w:val="center"/>
            <w:tcMar>
              <w:top w:w="90" w:type="dxa"/>
              <w:start w:w="100" w:type="dxa"/>
              <w:bottom w:w="90" w:type="dxa"/>
              <w:end w:w="100" w:type="dxa"/>
            </w:tcMar>
          </w:tcPr>
          <w:p>
            <w:r>
              <w:t>2026-09-11</w:t>
            </w:r>
          </w:p>
        </w:tc>
      </w:tr>
      <w:tr>
        <w:trPr>
          <w:cantSplit/>
        </w:trPr>
        <w:tc>
          <w:tcPr>
            <w:tcW w:type="dxa" w:w="2016"/>
            <w:vAlign w:val="center"/>
            <w:tcMar>
              <w:top w:w="90" w:type="dxa"/>
              <w:start w:w="100" w:type="dxa"/>
              <w:bottom w:w="90" w:type="dxa"/>
              <w:end w:w="100" w:type="dxa"/>
            </w:tcMar>
            <w:shd w:fill="F3F6FA"/>
          </w:tcPr>
          <w:p>
            <w:r>
              <w:t>Digital ordering and catering</w:t>
            </w:r>
          </w:p>
        </w:tc>
        <w:tc>
          <w:tcPr>
            <w:tcW w:type="dxa" w:w="2016"/>
            <w:vAlign w:val="center"/>
            <w:tcMar>
              <w:top w:w="90" w:type="dxa"/>
              <w:start w:w="100" w:type="dxa"/>
              <w:bottom w:w="90" w:type="dxa"/>
              <w:end w:w="100" w:type="dxa"/>
            </w:tcMar>
            <w:shd w:fill="F3F6FA"/>
          </w:tcPr>
          <w:p>
            <w:r>
              <w:t>Olo</w:t>
            </w:r>
          </w:p>
        </w:tc>
        <w:tc>
          <w:tcPr>
            <w:tcW w:type="dxa" w:w="2016"/>
            <w:vAlign w:val="center"/>
            <w:tcMar>
              <w:top w:w="90" w:type="dxa"/>
              <w:start w:w="100" w:type="dxa"/>
              <w:bottom w:w="90" w:type="dxa"/>
              <w:end w:w="100" w:type="dxa"/>
            </w:tcMar>
            <w:shd w:fill="F3F6FA"/>
          </w:tcPr>
          <w:p>
            <w:r>
              <w:t>Significant deployed footprint; first-party catering documented at 525 stores</w:t>
            </w:r>
          </w:p>
        </w:tc>
        <w:tc>
          <w:tcPr>
            <w:tcW w:type="dxa" w:w="2016"/>
            <w:vAlign w:val="center"/>
            <w:tcMar>
              <w:top w:w="90" w:type="dxa"/>
              <w:start w:w="100" w:type="dxa"/>
              <w:bottom w:w="90" w:type="dxa"/>
              <w:end w:w="100" w:type="dxa"/>
            </w:tcMar>
            <w:shd w:fill="F3F6FA"/>
          </w:tcPr>
          <w:p>
            <w:r>
              <w:t>High</w:t>
            </w:r>
          </w:p>
        </w:tc>
        <w:tc>
          <w:tcPr>
            <w:tcW w:type="dxa" w:w="2016"/>
            <w:vAlign w:val="center"/>
            <w:tcMar>
              <w:top w:w="90" w:type="dxa"/>
              <w:start w:w="100" w:type="dxa"/>
              <w:bottom w:w="90" w:type="dxa"/>
              <w:end w:w="100" w:type="dxa"/>
            </w:tcMar>
            <w:shd w:fill="F3F6FA"/>
          </w:tcPr>
          <w:p>
            <w:r>
              <w:t>2026-08-04</w:t>
            </w:r>
          </w:p>
        </w:tc>
      </w:tr>
      <w:tr>
        <w:trPr>
          <w:cantSplit/>
        </w:trPr>
        <w:tc>
          <w:tcPr>
            <w:tcW w:type="dxa" w:w="2016"/>
            <w:vAlign w:val="center"/>
            <w:tcMar>
              <w:top w:w="90" w:type="dxa"/>
              <w:start w:w="100" w:type="dxa"/>
              <w:bottom w:w="90" w:type="dxa"/>
              <w:end w:w="100" w:type="dxa"/>
            </w:tcMar>
          </w:tcPr>
          <w:p>
            <w:r>
              <w:t>Payments</w:t>
            </w:r>
          </w:p>
        </w:tc>
        <w:tc>
          <w:tcPr>
            <w:tcW w:type="dxa" w:w="2016"/>
            <w:vAlign w:val="center"/>
            <w:tcMar>
              <w:top w:w="90" w:type="dxa"/>
              <w:start w:w="100" w:type="dxa"/>
              <w:bottom w:w="90" w:type="dxa"/>
              <w:end w:w="100" w:type="dxa"/>
            </w:tcMar>
          </w:tcPr>
          <w:p>
            <w:r>
              <w:t>Worldpay</w:t>
            </w:r>
          </w:p>
        </w:tc>
        <w:tc>
          <w:tcPr>
            <w:tcW w:type="dxa" w:w="2016"/>
            <w:vAlign w:val="center"/>
            <w:tcMar>
              <w:top w:w="90" w:type="dxa"/>
              <w:start w:w="100" w:type="dxa"/>
              <w:bottom w:w="90" w:type="dxa"/>
              <w:end w:w="100" w:type="dxa"/>
            </w:tcMar>
          </w:tcPr>
          <w:p>
            <w:r>
              <w:t>Confirmed internal relationship; exact scope, economics, and renewal require validation</w:t>
            </w:r>
          </w:p>
        </w:tc>
        <w:tc>
          <w:tcPr>
            <w:tcW w:type="dxa" w:w="2016"/>
            <w:vAlign w:val="center"/>
            <w:tcMar>
              <w:top w:w="90" w:type="dxa"/>
              <w:start w:w="100" w:type="dxa"/>
              <w:bottom w:w="90" w:type="dxa"/>
              <w:end w:w="100" w:type="dxa"/>
            </w:tcMar>
          </w:tcPr>
          <w:p>
            <w:r>
              <w:t>High on relationship; medium on scope</w:t>
            </w:r>
          </w:p>
        </w:tc>
        <w:tc>
          <w:tcPr>
            <w:tcW w:type="dxa" w:w="2016"/>
            <w:vAlign w:val="center"/>
            <w:tcMar>
              <w:top w:w="90" w:type="dxa"/>
              <w:start w:w="100" w:type="dxa"/>
              <w:bottom w:w="90" w:type="dxa"/>
              <w:end w:w="100" w:type="dxa"/>
            </w:tcMar>
          </w:tcPr>
          <w:p>
            <w:r>
              <w:t>2026-08-29</w:t>
            </w:r>
          </w:p>
        </w:tc>
      </w:tr>
      <w:tr>
        <w:trPr>
          <w:cantSplit/>
        </w:trPr>
        <w:tc>
          <w:tcPr>
            <w:tcW w:type="dxa" w:w="2016"/>
            <w:vAlign w:val="center"/>
            <w:tcMar>
              <w:top w:w="90" w:type="dxa"/>
              <w:start w:w="100" w:type="dxa"/>
              <w:bottom w:w="90" w:type="dxa"/>
              <w:end w:w="100" w:type="dxa"/>
            </w:tcMar>
            <w:shd w:fill="F3F6FA"/>
          </w:tcPr>
          <w:p>
            <w:r>
              <w:t>Back office</w:t>
            </w:r>
          </w:p>
        </w:tc>
        <w:tc>
          <w:tcPr>
            <w:tcW w:type="dxa" w:w="2016"/>
            <w:vAlign w:val="center"/>
            <w:tcMar>
              <w:top w:w="90" w:type="dxa"/>
              <w:start w:w="100" w:type="dxa"/>
              <w:bottom w:w="90" w:type="dxa"/>
              <w:end w:w="100" w:type="dxa"/>
            </w:tcMar>
            <w:shd w:fill="F3F6FA"/>
          </w:tcPr>
          <w:p>
            <w:r>
              <w:t>Unknown</w:t>
            </w:r>
          </w:p>
        </w:tc>
        <w:tc>
          <w:tcPr>
            <w:tcW w:type="dxa" w:w="2016"/>
            <w:vAlign w:val="center"/>
            <w:tcMar>
              <w:top w:w="90" w:type="dxa"/>
              <w:start w:w="100" w:type="dxa"/>
              <w:bottom w:w="90" w:type="dxa"/>
              <w:end w:w="100" w:type="dxa"/>
            </w:tcMar>
            <w:shd w:fill="F3F6FA"/>
          </w:tcPr>
          <w:p>
            <w:r>
              <w:t>No current reliable enterprise-wide finding confirmed</w:t>
            </w:r>
          </w:p>
        </w:tc>
        <w:tc>
          <w:tcPr>
            <w:tcW w:type="dxa" w:w="2016"/>
            <w:vAlign w:val="center"/>
            <w:tcMar>
              <w:top w:w="90" w:type="dxa"/>
              <w:start w:w="100" w:type="dxa"/>
              <w:bottom w:w="90" w:type="dxa"/>
              <w:end w:w="100" w:type="dxa"/>
            </w:tcMar>
            <w:shd w:fill="F3F6FA"/>
          </w:tcPr>
          <w:p>
            <w:r>
              <w:t>Unknown</w:t>
            </w:r>
          </w:p>
        </w:tc>
        <w:tc>
          <w:tcPr>
            <w:tcW w:type="dxa" w:w="2016"/>
            <w:vAlign w:val="center"/>
            <w:tcMar>
              <w:top w:w="90" w:type="dxa"/>
              <w:start w:w="100" w:type="dxa"/>
              <w:bottom w:w="90" w:type="dxa"/>
              <w:end w:w="100" w:type="dxa"/>
            </w:tcMar>
            <w:shd w:fill="F3F6FA"/>
          </w:tcPr>
          <w:p>
            <w:r>
              <w:t>2026-09-11</w:t>
            </w:r>
          </w:p>
        </w:tc>
      </w:tr>
      <w:tr>
        <w:trPr>
          <w:cantSplit/>
        </w:trPr>
        <w:tc>
          <w:tcPr>
            <w:tcW w:type="dxa" w:w="2016"/>
            <w:vAlign w:val="center"/>
            <w:tcMar>
              <w:top w:w="90" w:type="dxa"/>
              <w:start w:w="100" w:type="dxa"/>
              <w:bottom w:w="90" w:type="dxa"/>
              <w:end w:w="100" w:type="dxa"/>
            </w:tcMar>
          </w:tcPr>
          <w:p>
            <w:r>
              <w:t>Digital menu boards</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Deployment, content management, and refresh cycle require discovery</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2026-09-11</w:t>
            </w:r>
          </w:p>
        </w:tc>
      </w:tr>
    </w:tbl>
    <w:p>
      <w:pPr>
        <w:spacing w:after="0"/>
      </w:pPr>
    </w:p>
    <w:p>
      <w:pPr>
        <w:pStyle w:val="Heading1"/>
        <w:spacing w:before="200" w:after="80"/>
      </w:pPr>
      <w:r>
        <w:rPr>
          <w:sz w:val="34"/>
        </w:rPr>
        <w:t>Opportunity Assessment</w:t>
      </w:r>
    </w:p>
    <w:p>
      <w:pPr/>
      <w:r>
        <w:rPr>
          <w:i/>
        </w:rPr>
        <w:t>These are hypotheses, not confirmed opportunities.</w:t>
      </w:r>
    </w:p>
    <w:p>
      <w:pPr>
        <w:pStyle w:val="Heading2"/>
        <w:spacing w:before="80" w:after="20"/>
      </w:pPr>
      <w:r>
        <w:rPr>
          <w:sz w:val="23"/>
        </w:rPr>
        <w:t>Protect and improve the Worldpay position</w:t>
      </w:r>
    </w:p>
    <w:p>
      <w:pPr/>
      <w:r>
        <w:t>Clarify current payment volumes, products, economics, integration paths, renewal dates, and franchise participation. The first objective is retention and profitability, not unnecessary platform disruption.</w:t>
      </w:r>
    </w:p>
    <w:p>
      <w:pPr>
        <w:pStyle w:val="Heading2"/>
        <w:spacing w:before="80" w:after="20"/>
      </w:pPr>
      <w:r>
        <w:rPr>
          <w:sz w:val="23"/>
        </w:rPr>
        <w:t>Channel-coordinated adjacencies</w:t>
      </w:r>
    </w:p>
    <w:p>
      <w:pPr/>
      <w:r>
        <w:t>Digital menu boards, hardware lifecycle, back office, device management, and franchise deployment services may offer whitespace, but only after RDS ownership and rules of engagement are explicit.</w:t>
      </w:r>
    </w:p>
    <w:p>
      <w:pPr>
        <w:pStyle w:val="Heading2"/>
        <w:spacing w:before="80" w:after="20"/>
      </w:pPr>
      <w:r>
        <w:rPr>
          <w:sz w:val="23"/>
        </w:rPr>
        <w:t>Payments-funded technology economics</w:t>
      </w:r>
    </w:p>
    <w:p>
      <w:pPr/>
      <w:r>
        <w:t>If Freddy’s has a verified technology gap, Global Payments may be able to use payments economics to reduce the cost of an adjacent solution. This requires a clear financial baseline and cannot conflict with PAR Pay or RDS commitments.</w:t>
      </w:r>
    </w:p>
    <w:p>
      <w:pPr>
        <w:pStyle w:val="Heading1"/>
        <w:spacing w:before="200" w:after="80"/>
      </w:pPr>
      <w:r>
        <w:rPr>
          <w:sz w:val="34"/>
        </w:rPr>
        <w:t>Key Discovery Questions</w:t>
      </w:r>
    </w:p>
    <w:p>
      <w:pPr>
        <w:pStyle w:val="Heading2"/>
        <w:spacing w:before="80" w:after="20"/>
      </w:pPr>
      <w:r>
        <w:rPr>
          <w:sz w:val="23"/>
        </w:rPr>
        <w:t>Channel and Commercial Structure</w:t>
      </w:r>
    </w:p>
    <w:p>
      <w:pPr>
        <w:spacing w:after="0"/>
        <w:ind w:left="403" w:hanging="230"/>
      </w:pPr>
      <w:r>
        <w:rPr>
          <w:sz w:val="20"/>
        </w:rPr>
        <w:t>• Who owns the Freddy’s relationship within RDS, Worldpay, PAR, and Global Payments?</w:t>
      </w:r>
    </w:p>
    <w:p>
      <w:pPr>
        <w:spacing w:after="0"/>
        <w:ind w:left="403" w:hanging="230"/>
      </w:pPr>
      <w:r>
        <w:rPr>
          <w:sz w:val="20"/>
        </w:rPr>
        <w:t>• Is the account referral-led, jointly sold, or dealer-led, and who controls customer communication?</w:t>
      </w:r>
    </w:p>
    <w:p>
      <w:pPr>
        <w:spacing w:after="0"/>
        <w:ind w:left="403" w:hanging="230"/>
      </w:pPr>
      <w:r>
        <w:rPr>
          <w:sz w:val="20"/>
        </w:rPr>
        <w:t>• What contracts, renewals, exclusivity terms, or economic protections limit an adjacency motion?</w:t>
      </w:r>
    </w:p>
    <w:p>
      <w:pPr>
        <w:pStyle w:val="Heading2"/>
        <w:spacing w:before="80" w:after="20"/>
      </w:pPr>
      <w:r>
        <w:rPr>
          <w:sz w:val="23"/>
        </w:rPr>
        <w:t>Technology and Operations</w:t>
      </w:r>
    </w:p>
    <w:p>
      <w:pPr>
        <w:spacing w:after="0"/>
        <w:ind w:left="403" w:hanging="230"/>
      </w:pPr>
      <w:r>
        <w:rPr>
          <w:sz w:val="20"/>
        </w:rPr>
        <w:t>• Which PAR products are live at corporate, franchise, and nontraditional locations?</w:t>
      </w:r>
    </w:p>
    <w:p>
      <w:pPr>
        <w:spacing w:after="0"/>
        <w:ind w:left="403" w:hanging="230"/>
      </w:pPr>
      <w:r>
        <w:rPr>
          <w:sz w:val="20"/>
        </w:rPr>
        <w:t>• What systems support back office, inventory, labor, kitchen workflow, hardware management, and digital menu boards?</w:t>
      </w:r>
    </w:p>
    <w:p>
      <w:pPr>
        <w:spacing w:after="0"/>
        <w:ind w:left="403" w:hanging="230"/>
      </w:pPr>
      <w:r>
        <w:rPr>
          <w:sz w:val="20"/>
        </w:rPr>
        <w:t>• Where do operators still experience integration, reporting, support, or deployment friction?</w:t>
      </w:r>
    </w:p>
    <w:p>
      <w:pPr>
        <w:spacing w:after="0"/>
        <w:ind w:left="403" w:hanging="230"/>
      </w:pPr>
      <w:r>
        <w:rPr>
          <w:sz w:val="20"/>
        </w:rPr>
        <w:t>• What did Freddy’s achieve from the PAR rollout, and what gaps remain after implementation?</w:t>
      </w:r>
    </w:p>
    <w:p>
      <w:pPr>
        <w:pStyle w:val="Heading2"/>
        <w:spacing w:before="80" w:after="20"/>
      </w:pPr>
      <w:r>
        <w:rPr>
          <w:sz w:val="23"/>
        </w:rPr>
        <w:t>Payments and Growth</w:t>
      </w:r>
    </w:p>
    <w:p>
      <w:pPr>
        <w:spacing w:after="0"/>
        <w:ind w:left="403" w:hanging="230"/>
      </w:pPr>
      <w:r>
        <w:rPr>
          <w:sz w:val="20"/>
        </w:rPr>
        <w:t>• What roles do Worldpay, PAR Pay, and Olo play by channel and merchant entity?</w:t>
      </w:r>
    </w:p>
    <w:p>
      <w:pPr>
        <w:spacing w:after="0"/>
        <w:ind w:left="403" w:hanging="230"/>
      </w:pPr>
      <w:r>
        <w:rPr>
          <w:sz w:val="20"/>
        </w:rPr>
        <w:t>• What is the current Worldpay economics and renewal position?</w:t>
      </w:r>
    </w:p>
    <w:p>
      <w:pPr>
        <w:spacing w:after="0"/>
        <w:ind w:left="403" w:hanging="230"/>
      </w:pPr>
      <w:r>
        <w:rPr>
          <w:sz w:val="20"/>
        </w:rPr>
        <w:t>• How are new stores and franchise transfers boarded, supported, and funded?</w:t>
      </w:r>
    </w:p>
    <w:p>
      <w:pPr>
        <w:spacing w:after="0"/>
        <w:ind w:left="403" w:hanging="230"/>
      </w:pPr>
      <w:r>
        <w:rPr>
          <w:sz w:val="20"/>
        </w:rPr>
        <w:t>• Which new formats or markets create requirements the current stack does not address?</w:t>
      </w:r>
    </w:p>
    <w:p>
      <w:pPr>
        <w:pStyle w:val="Heading1"/>
        <w:spacing w:before="200" w:after="80"/>
      </w:pPr>
      <w:r>
        <w:rPr>
          <w:sz w:val="34"/>
        </w:rPr>
        <w:t>Risks and Cautions</w:t>
      </w:r>
    </w:p>
    <w:p>
      <w:pPr>
        <w:spacing w:after="0"/>
        <w:ind w:left="403" w:hanging="230"/>
      </w:pPr>
      <w:r>
        <w:rPr>
          <w:sz w:val="20"/>
        </w:rPr>
        <w:t>• PAR is deeply embedded and publicly claims responsibility for nearly the entire technology stack.</w:t>
      </w:r>
    </w:p>
    <w:p>
      <w:pPr>
        <w:spacing w:after="0"/>
        <w:ind w:left="403" w:hanging="230"/>
      </w:pPr>
      <w:r>
        <w:rPr>
          <w:sz w:val="20"/>
        </w:rPr>
        <w:t>• Independent outreach could create conflict with RDS and damage a productive dealer relationship.</w:t>
      </w:r>
    </w:p>
    <w:p>
      <w:pPr>
        <w:spacing w:after="0"/>
        <w:ind w:left="403" w:hanging="230"/>
      </w:pPr>
      <w:r>
        <w:rPr>
          <w:sz w:val="20"/>
        </w:rPr>
        <w:t>• Olo and PAR both touch digital commerce or payments; product boundaries must be understood before positioning.</w:t>
      </w:r>
    </w:p>
    <w:p>
      <w:pPr>
        <w:spacing w:after="0"/>
        <w:ind w:left="403" w:hanging="230"/>
      </w:pPr>
      <w:r>
        <w:rPr>
          <w:sz w:val="20"/>
        </w:rPr>
        <w:t>• Strong growth does not itself create a qualified opportunity. A specific customer problem and buyer are required.</w:t>
      </w:r>
    </w:p>
    <w:p>
      <w:pPr>
        <w:spacing w:after="0"/>
        <w:ind w:left="403" w:hanging="230"/>
      </w:pPr>
      <w:r>
        <w:rPr>
          <w:sz w:val="20"/>
        </w:rPr>
        <w:t>• Public vendor case studies are marketing sources; customer-side outcomes and current scope must be confirmed.</w:t>
      </w:r>
    </w:p>
    <w:p>
      <w:pPr>
        <w:pStyle w:val="Heading1"/>
        <w:spacing w:before="200" w:after="80"/>
      </w:pPr>
      <w:r>
        <w:rPr>
          <w:sz w:val="34"/>
        </w:rPr>
        <w:t>Recommended Engagement Strategy</w:t>
      </w:r>
    </w:p>
    <w:p>
      <w:pPr/>
      <w:r>
        <w:t>Begin with an internal account and channel review involving Avery Churchwell, the RDS owner, and the relevant Global Payments product leaders. Establish the contract map, current payment economics, technology boundaries, relationship history, and approved route to the customer. Use Sean Thompson’s public emphasis on fewer vendors, scalable systems, and guest experience as a discovery frame, not as permission to displace PAR.</w:t>
      </w:r>
    </w:p>
    <w:p>
      <w:pPr/>
      <w:r>
        <w:t>If a credible gap emerges, pursue one adjacency with measurable operator value. The strongest positioning is likely to combine operational simplicity with payments economics while respecting the installed PAR environment and reseller model.</w:t>
      </w:r>
    </w:p>
    <w:p>
      <w:pPr>
        <w:pStyle w:val="Heading1"/>
        <w:spacing w:before="200" w:after="80"/>
      </w:pPr>
      <w:r>
        <w:rPr>
          <w:sz w:val="34"/>
        </w:rPr>
        <w:t>Immediate Actions</w:t>
      </w:r>
    </w:p>
    <w:p>
      <w:pPr>
        <w:spacing w:after="0"/>
        <w:ind w:left="403" w:hanging="230"/>
      </w:pPr>
      <w:r>
        <w:rPr>
          <w:sz w:val="20"/>
        </w:rPr>
        <w:t>• Confirm the RDS owner and document the approved engagement model before outreach.</w:t>
      </w:r>
    </w:p>
    <w:p>
      <w:pPr>
        <w:spacing w:after="0"/>
        <w:ind w:left="403" w:hanging="230"/>
      </w:pPr>
      <w:r>
        <w:rPr>
          <w:sz w:val="20"/>
        </w:rPr>
        <w:t>• Reconcile Worldpay, PAR Pay, and Olo payment roles, economics, and contract dates.</w:t>
      </w:r>
    </w:p>
    <w:p>
      <w:pPr>
        <w:spacing w:after="0"/>
        <w:ind w:left="403" w:hanging="230"/>
      </w:pPr>
      <w:r>
        <w:rPr>
          <w:sz w:val="20"/>
        </w:rPr>
        <w:t>• Map Sean Thompson and the current operations, finance, digital, and franchise stakeholders.</w:t>
      </w:r>
    </w:p>
    <w:p>
      <w:pPr>
        <w:spacing w:after="0"/>
        <w:ind w:left="403" w:hanging="230"/>
      </w:pPr>
      <w:r>
        <w:rPr>
          <w:sz w:val="20"/>
        </w:rPr>
        <w:t>• Verify back-office, digital-menu-board, hardware, and device-management gaps.</w:t>
      </w:r>
    </w:p>
    <w:p>
      <w:pPr>
        <w:spacing w:after="0"/>
        <w:ind w:left="403" w:hanging="230"/>
      </w:pPr>
      <w:r>
        <w:rPr>
          <w:sz w:val="20"/>
        </w:rPr>
        <w:t>• Identify one dated customer trigger and define a single adjacency hypothesis.</w:t>
      </w:r>
    </w:p>
    <w:p>
      <w:pPr>
        <w:spacing w:after="0"/>
        <w:ind w:left="403" w:hanging="230"/>
      </w:pPr>
      <w:r>
        <w:rPr>
          <w:sz w:val="20"/>
        </w:rPr>
        <w:t>• Record a proceed or park decision after the internal channel review.</w:t>
      </w:r>
    </w:p>
    <w:p>
      <w:pPr>
        <w:pStyle w:val="Heading1"/>
        <w:spacing w:before="200" w:after="80"/>
      </w:pPr>
      <w:r>
        <w:rPr>
          <w:sz w:val="34"/>
        </w:rPr>
        <w:t>Bottom Line</w:t>
      </w:r>
    </w:p>
    <w:p>
      <w:pPr/>
      <w:r>
        <w:t>Freddy’s is a worthwhile background-brief account because it combines scale, growth, a Worldpay relationship, and an established technology buying center. It is not a clean POS displacement target. PAR and RDS are deeply embedded, so the winning approach is coordinated, narrow, and economics-led: protect payments, respect the channel, and pursue only verified adjacencies where the incumbent stack leaves a meaningful operational or financial gap.</w:t>
      </w:r>
    </w:p>
    <w:p>
      <w:pPr>
        <w:pStyle w:val="Heading1"/>
        <w:spacing w:before="200" w:after="80"/>
      </w:pPr>
      <w:r>
        <w:rPr>
          <w:sz w:val="34"/>
        </w:rPr>
        <w:t>Research and Internal Intelligence Sources</w:t>
      </w:r>
    </w:p>
    <w:p>
      <w:pPr>
        <w:spacing w:after="0"/>
        <w:ind w:left="403" w:hanging="230"/>
      </w:pPr>
      <w:r>
        <w:rPr>
          <w:sz w:val="20"/>
        </w:rPr>
        <w:t>• Freddy’s official brand history and footprint: https://www.freddys.com/about</w:t>
      </w:r>
    </w:p>
    <w:p>
      <w:pPr>
        <w:spacing w:after="0"/>
        <w:ind w:left="403" w:hanging="230"/>
      </w:pPr>
      <w:r>
        <w:rPr>
          <w:sz w:val="20"/>
        </w:rPr>
        <w:t>• Freddy’s acquisition by Rhône, September 4, 2025: https://www.businesswire.com/news/home/20250904213580/en</w:t>
      </w:r>
    </w:p>
    <w:p>
      <w:pPr>
        <w:spacing w:after="0"/>
        <w:ind w:left="403" w:hanging="230"/>
      </w:pPr>
      <w:r>
        <w:rPr>
          <w:sz w:val="20"/>
        </w:rPr>
        <w:t>• Freddy’s military-base growth announcement and Chris Dull title: https://www.freddys.com/blog/freddys-opens-first-ever-military-base-location</w:t>
      </w:r>
    </w:p>
    <w:p>
      <w:pPr>
        <w:spacing w:after="0"/>
        <w:ind w:left="403" w:hanging="230"/>
      </w:pPr>
      <w:r>
        <w:rPr>
          <w:sz w:val="20"/>
        </w:rPr>
        <w:t>• PAR case study covering POS, Punchh, PAR Pay, deployment, and outcomes: https://partech.com/resource/freddys-sustains-unbeatable-guest-experiences-through-rapid-growth/</w:t>
      </w:r>
    </w:p>
    <w:p>
      <w:pPr>
        <w:spacing w:after="0"/>
        <w:ind w:left="403" w:hanging="230"/>
      </w:pPr>
      <w:r>
        <w:rPr>
          <w:sz w:val="20"/>
        </w:rPr>
        <w:t>• Olo case studies and Freddy’s digital-commerce materials: https://www.olo.com/case-studies</w:t>
      </w:r>
    </w:p>
    <w:p>
      <w:pPr>
        <w:spacing w:after="0"/>
        <w:ind w:left="403" w:hanging="230"/>
      </w:pPr>
      <w:r>
        <w:rPr>
          <w:sz w:val="20"/>
        </w:rPr>
        <w:t>• Internal Worldpay cross-sell strategy and development feedback dated July 28 and August 3, 2026.</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3C423" w14:textId="77777777" w:rsidR="0008156C" w:rsidRDefault="0008156C">
      <w:r>
        <w:separator/>
      </w:r>
    </w:p>
  </w:endnote>
  <w:endnote w:type="continuationSeparator" w:id="0">
    <w:p w14:paraId="17666B94" w14:textId="77777777" w:rsidR="0008156C" w:rsidRDefault="0008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D0537"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11,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6E4AD" w14:textId="77777777" w:rsidR="0008156C" w:rsidRDefault="0008156C">
      <w:r>
        <w:separator/>
      </w:r>
    </w:p>
  </w:footnote>
  <w:footnote w:type="continuationSeparator" w:id="0">
    <w:p w14:paraId="08337347" w14:textId="77777777" w:rsidR="0008156C" w:rsidRDefault="0008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1FB19" w14:textId="77777777" w:rsidR="00784C58" w:rsidRDefault="00000000">
    <w:pPr>
      <w:pBdr>
        <w:bottom w:val="single" w:sz="4" w:space="4" w:color="D9E2F3"/>
      </w:pBdr>
    </w:pPr>
    <w:r>
      <w:rPr>
        <w:b/>
        <w:bCs/>
        <w:color w:val="666666"/>
        <w:sz w:val="16"/>
        <w:szCs w:val="16"/>
      </w:rPr>
      <w:t xml:space="preserve">FREDDY'S  |</w:t>
    </w:r>
    <w:proofErr w:type="gramStart"/>
    <w:r>
      <w:rPr>
        <w:b/>
        <w:bCs/>
        <w:color w:val="666666"/>
        <w:sz w:val="16"/>
        <w:szCs w:val="16"/>
      </w:rPr>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08156C"/>
    <w:rsid w:val="00242726"/>
    <w:rsid w:val="003C1500"/>
    <w:rsid w:val="003E64AB"/>
    <w:rsid w:val="00784C58"/>
    <w:rsid w:val="00791D7A"/>
    <w:rsid w:val="009D7188"/>
    <w:rsid w:val="00A43432"/>
    <w:rsid w:val="00D3032F"/>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6C2280"/>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Del Taco Background Brief</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Background Brief</dc:title>
  <dc:creator>Todd Vahlsing</dc:creator>
  <dc:description/>
  <cp:lastModifiedBy>Vahlsing, Todd</cp:lastModifiedBy>
  <cp:revision>4</cp:revision>
  <dcterms:created xsi:type="dcterms:W3CDTF">2026-09-04T14:57:00Z</dcterms:created>
  <dcterms:modified xsi:type="dcterms:W3CDTF">2026-09-04T15:33:00Z</dcterms:modified>
  <dc:subject>Account background and discovery preparation</dc:subject>
</cp:coreProperties>
</file>