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keepNext/>
        <w:spacing w:after="160"/>
      </w:pPr>
      <w:r>
        <w:rPr>
          <w:sz w:val="48"/>
        </w:rPr>
        <w:t>Slim Chickens Background Brief</w:t>
      </w:r>
    </w:p>
    <w:p>
      <w:pPr>
        <w:spacing w:after="40"/>
      </w:pPr>
      <w:r>
        <w:rPr>
          <w:sz w:val="21"/>
        </w:rPr>
        <w:t>Prepared by: Todd Vahlsing</w:t>
      </w:r>
    </w:p>
    <w:p>
      <w:pPr>
        <w:spacing w:after="40"/>
      </w:pPr>
      <w:r>
        <w:rPr>
          <w:sz w:val="21"/>
        </w:rPr>
        <w:t>Purpose: Account background and discovery preparation</w:t>
      </w:r>
    </w:p>
    <w:p>
      <w:pPr>
        <w:spacing w:after="40"/>
      </w:pPr>
      <w:r>
        <w:rPr>
          <w:sz w:val="21"/>
        </w:rPr>
        <w:t>Current posture: Pre-engagement research and qualification — channel and stakeholder coordination required</w:t>
      </w:r>
    </w:p>
    <w:p>
      <w:pPr>
        <w:pStyle w:val="Heading1"/>
        <w:spacing w:before="200" w:after="80"/>
      </w:pPr>
      <w:r>
        <w:rPr>
          <w:sz w:val="34"/>
        </w:rPr>
        <w:t>Executive Summary</w:t>
      </w:r>
    </w:p>
    <w:p>
      <w:pPr/>
      <w:r>
        <w:t>Slim Chickens is a founder-led, franchised fast-casual chicken brand established in Fayetteville, Arkansas, in 2003. Co-founders Tom Gordon and Greg Smart remain active as chief executive officer and chief brand officer. 10 Point Capital has been a minority investment partner since 2019, supporting aggressive domestic and international franchise growth.</w:t>
      </w:r>
    </w:p>
    <w:p>
      <w:pPr/>
      <w:r>
        <w:t>The account has strategic relevance because Worldpay is a confirmed internal relationship and Slim Chickens is publicly identified as a PAR customer. Olo supports digital ordering, while the brand’s own app and rewards program create additional digital and data dependencies. Internal intelligence also identifies an existing technology-team relationship and overlapping franchise ownership with Freddy’s.</w:t>
      </w:r>
    </w:p>
    <w:p>
      <w:pPr/>
      <w:r>
        <w:t>The opportunity is not a broad, uncoordinated platform pursuit. PAR and RDS channel considerations must be clarified first, and the current CIO relationship requires careful stakeholder navigation. The most credible path is to use the existing technology-team access to identify the day-to-day leader, protect the Worldpay position, and pursue a specific gap in payments, hardware, digital menu boards, back office, franchise deployment, or international consistency.</w:t>
      </w:r>
    </w:p>
    <w:p>
      <w:pPr>
        <w:pStyle w:val="Heading1"/>
        <w:spacing w:before="200" w:after="80"/>
      </w:pPr>
      <w:r>
        <w:rPr>
          <w:sz w:val="34"/>
        </w:rPr>
        <w:t>Brand Profile</w:t>
      </w:r>
    </w:p>
    <w:p>
      <w:pPr>
        <w:spacing w:after="0"/>
        <w:ind w:left="403" w:hanging="230"/>
      </w:pPr>
      <w:r>
        <w:rPr>
          <w:sz w:val="20"/>
        </w:rPr>
        <w:t>• Founded: 2003 in Fayetteville, Arkansas</w:t>
      </w:r>
    </w:p>
    <w:p>
      <w:pPr>
        <w:spacing w:after="0"/>
        <w:ind w:left="403" w:hanging="230"/>
      </w:pPr>
      <w:r>
        <w:rPr>
          <w:sz w:val="20"/>
        </w:rPr>
        <w:t>• Headquarters: Fayetteville, Arkansas</w:t>
      </w:r>
    </w:p>
    <w:p>
      <w:pPr>
        <w:spacing w:after="0"/>
        <w:ind w:left="403" w:hanging="230"/>
      </w:pPr>
      <w:r>
        <w:rPr>
          <w:sz w:val="20"/>
        </w:rPr>
        <w:t>• Segment: Fast casual / chicken</w:t>
      </w:r>
    </w:p>
    <w:p>
      <w:pPr>
        <w:spacing w:after="0"/>
        <w:ind w:left="403" w:hanging="230"/>
      </w:pPr>
      <w:r>
        <w:rPr>
          <w:sz w:val="20"/>
        </w:rPr>
        <w:t>• Founders: Tom Gordon and Greg Smart</w:t>
      </w:r>
    </w:p>
    <w:p>
      <w:pPr>
        <w:spacing w:after="0"/>
        <w:ind w:left="403" w:hanging="230"/>
      </w:pPr>
      <w:r>
        <w:rPr>
          <w:sz w:val="20"/>
        </w:rPr>
        <w:t>• Ownership: Founder-led with 10 Point Capital as a minority investment partner since July 2019</w:t>
      </w:r>
    </w:p>
    <w:p>
      <w:pPr>
        <w:spacing w:after="0"/>
        <w:ind w:left="403" w:hanging="230"/>
      </w:pPr>
      <w:r>
        <w:rPr>
          <w:sz w:val="20"/>
        </w:rPr>
        <w:t>• Operating model: Predominantly franchised, including international master-franchise development</w:t>
      </w:r>
    </w:p>
    <w:p>
      <w:pPr>
        <w:spacing w:after="0"/>
        <w:ind w:left="403" w:hanging="230"/>
      </w:pPr>
      <w:r>
        <w:rPr>
          <w:sz w:val="20"/>
        </w:rPr>
        <w:t>• Footprint: More than 200 restaurants publicly reported by 2023; current exact count requires verification</w:t>
      </w:r>
    </w:p>
    <w:p>
      <w:pPr>
        <w:spacing w:after="0"/>
        <w:ind w:left="403" w:hanging="230"/>
      </w:pPr>
      <w:r>
        <w:rPr>
          <w:sz w:val="20"/>
        </w:rPr>
        <w:t>• Strategic priorities: Domestic and international development, franchisee economics, drive-thru and digital execution, and consistent franchise support</w:t>
      </w:r>
    </w:p>
    <w:p>
      <w:pPr>
        <w:pStyle w:val="Heading1"/>
        <w:spacing w:before="200" w:after="80"/>
      </w:pPr>
      <w:r>
        <w:rPr>
          <w:sz w:val="34"/>
        </w:rPr>
        <w:t>Current Business Situation</w:t>
      </w:r>
    </w:p>
    <w:p>
      <w:pPr/>
      <w:r>
        <w:t>Slim Chickens has pursued rapid unit development since 10 Point Capital’s investment. The investor’s retained profile describes a large development pipeline, while franchise materials emphasize multi-unit growth in the United States, United Kingdom, and additional international markets. The brand’s growth model depends on experienced operators, strong unit economics, disciplined openings, and a repeatable support system.</w:t>
      </w:r>
    </w:p>
    <w:p>
      <w:pPr/>
      <w:r>
        <w:t>Technology supports a multi-channel operating model that includes drive-thru, dine-in, first-party digital ordering, delivery, app-based rewards, and international franchise operations. PAR identifies Slim Chickens as a customer, and the current ecosystem record confirms Olo for online ordering and Worldpay for payments. However, precise product scope, regional variation, and RDS ownership remain unresolved.</w:t>
      </w:r>
    </w:p>
    <w:p>
      <w:pPr/>
      <w:r>
        <w:t>Internal intelligence elevates stakeholder management as the immediate issue. There is an existing relationship with the technology team, but the day-to-day technology leader still needs to be identified and the CIO relationship handled carefully. Freddy’s and Slim Chickens also share franchise ownership in parts of their networks, creating a useful access and intelligence bridge if the two buying paths remain distinct.</w:t>
      </w:r>
    </w:p>
    <w:p>
      <w:pPr>
        <w:pStyle w:val="Heading1"/>
        <w:spacing w:before="200" w:after="80"/>
      </w:pPr>
      <w:r>
        <w:rPr>
          <w:sz w:val="34"/>
        </w:rPr>
        <w:t>Leadership</w:t>
      </w:r>
    </w:p>
    <w:p>
      <w:pPr>
        <w:pStyle w:val="Heading2"/>
        <w:spacing w:before="80" w:after="20"/>
      </w:pPr>
      <w:r>
        <w:rPr>
          <w:sz w:val="23"/>
        </w:rPr>
        <w:t>Confirmed</w:t>
      </w:r>
    </w:p>
    <w:p>
      <w:pPr>
        <w:spacing w:after="0"/>
        <w:ind w:left="403" w:hanging="230"/>
      </w:pPr>
      <w:r>
        <w:rPr>
          <w:sz w:val="20"/>
        </w:rPr>
        <w:t>• Tom Gordon — Co-founder and Chief Executive Officer.</w:t>
      </w:r>
    </w:p>
    <w:p>
      <w:pPr>
        <w:spacing w:after="0"/>
        <w:ind w:left="403" w:hanging="230"/>
      </w:pPr>
      <w:r>
        <w:rPr>
          <w:sz w:val="20"/>
        </w:rPr>
        <w:t>• Greg Smart — Co-founder and Chief Brand Officer.</w:t>
      </w:r>
    </w:p>
    <w:p>
      <w:pPr>
        <w:pStyle w:val="Heading2"/>
        <w:spacing w:before="80" w:after="20"/>
      </w:pPr>
      <w:r>
        <w:rPr>
          <w:sz w:val="23"/>
        </w:rPr>
        <w:t>Reported and Requires Validation</w:t>
      </w:r>
    </w:p>
    <w:p>
      <w:pPr>
        <w:spacing w:after="0"/>
        <w:ind w:left="403" w:hanging="230"/>
      </w:pPr>
      <w:r>
        <w:rPr>
          <w:sz w:val="20"/>
        </w:rPr>
        <w:t>• Sam Rothschild — historically identified as Chief Operating Officer; confirm current title and responsibilities.</w:t>
      </w:r>
    </w:p>
    <w:p>
      <w:pPr>
        <w:spacing w:after="0"/>
        <w:ind w:left="403" w:hanging="230"/>
      </w:pPr>
      <w:r>
        <w:rPr>
          <w:sz w:val="20"/>
        </w:rPr>
        <w:t>• Seth Jensen — historically identified as Chief Financial Officer; confirm current title and responsibilities.</w:t>
      </w:r>
    </w:p>
    <w:p>
      <w:pPr>
        <w:spacing w:after="0"/>
        <w:ind w:left="403" w:hanging="230"/>
      </w:pPr>
      <w:r>
        <w:rPr>
          <w:sz w:val="20"/>
        </w:rPr>
        <w:t>• Confirm the current chief information or technology executive and the day-to-day technology leader.</w:t>
      </w:r>
    </w:p>
    <w:p>
      <w:pPr>
        <w:spacing w:after="0"/>
        <w:ind w:left="403" w:hanging="230"/>
      </w:pPr>
      <w:r>
        <w:rPr>
          <w:sz w:val="20"/>
        </w:rPr>
        <w:t>• Confirm current leaders for digital, franchise operations, development, procurement, and payments.</w:t>
      </w:r>
    </w:p>
    <w:p>
      <w:pPr>
        <w:pStyle w:val="Heading2"/>
        <w:spacing w:before="80" w:after="20"/>
      </w:pPr>
      <w:r>
        <w:rPr>
          <w:sz w:val="23"/>
        </w:rPr>
        <w:t>Internal Relationship and Access</w:t>
      </w:r>
    </w:p>
    <w:p>
      <w:pPr>
        <w:spacing w:after="0"/>
        <w:ind w:left="403" w:hanging="230"/>
      </w:pPr>
      <w:r>
        <w:rPr>
          <w:sz w:val="20"/>
        </w:rPr>
        <w:t>• Use the existing technology-team relationship to identify the operational technology owner.</w:t>
      </w:r>
    </w:p>
    <w:p>
      <w:pPr>
        <w:spacing w:after="0"/>
        <w:ind w:left="403" w:hanging="230"/>
      </w:pPr>
      <w:r>
        <w:rPr>
          <w:sz w:val="20"/>
        </w:rPr>
        <w:t>• Treat CIO engagement as a stakeholder-management issue and coordinate the approach before outreach.</w:t>
      </w:r>
    </w:p>
    <w:p>
      <w:pPr>
        <w:spacing w:after="0"/>
        <w:ind w:left="403" w:hanging="230"/>
      </w:pPr>
      <w:r>
        <w:rPr>
          <w:sz w:val="20"/>
        </w:rPr>
        <w:t>• Confirm the Worldpay relationship manager and the RDS/dealer owner.</w:t>
      </w:r>
    </w:p>
    <w:p>
      <w:pPr>
        <w:spacing w:after="0"/>
        <w:ind w:left="403" w:hanging="230"/>
      </w:pPr>
      <w:r>
        <w:rPr>
          <w:sz w:val="20"/>
        </w:rPr>
        <w:t>• Map franchise groups that overlap with Freddy’s as potential intelligence and introduction paths.</w:t>
      </w:r>
    </w:p>
    <w:p>
      <w:pPr>
        <w:pStyle w:val="Heading1"/>
        <w:spacing w:before="200" w:after="80"/>
      </w:pPr>
      <w:r>
        <w:rPr>
          <w:sz w:val="34"/>
        </w:rPr>
        <w:t>Technology Environment</w:t>
      </w:r>
    </w:p>
    <w:tbl>
      <w:tblPr>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cantSplit/>
        </w:trPr>
        <w:tc>
          <w:tcPr>
            <w:tcW w:type="dxa" w:w="2016"/>
            <w:vAlign w:val="center"/>
            <w:shd w:fill="17365D"/>
            <w:tcMar>
              <w:top w:w="90" w:type="dxa"/>
              <w:start w:w="100" w:type="dxa"/>
              <w:bottom w:w="90" w:type="dxa"/>
              <w:end w:w="100" w:type="dxa"/>
            </w:tcMar>
          </w:tcPr>
          <w:p>
            <w:r>
              <w:rPr>
                <w:b/>
                <w:color w:val="FFFFFF"/>
              </w:rPr>
              <w:t>Layer</w:t>
            </w:r>
          </w:p>
        </w:tc>
        <w:tc>
          <w:tcPr>
            <w:tcW w:type="dxa" w:w="2016"/>
            <w:vAlign w:val="center"/>
            <w:shd w:fill="17365D"/>
            <w:tcMar>
              <w:top w:w="90" w:type="dxa"/>
              <w:start w:w="100" w:type="dxa"/>
              <w:bottom w:w="90" w:type="dxa"/>
              <w:end w:w="100" w:type="dxa"/>
            </w:tcMar>
          </w:tcPr>
          <w:p>
            <w:r>
              <w:rPr>
                <w:b/>
                <w:color w:val="FFFFFF"/>
              </w:rPr>
              <w:t>Vendor or Platform</w:t>
            </w:r>
          </w:p>
        </w:tc>
        <w:tc>
          <w:tcPr>
            <w:tcW w:type="dxa" w:w="2016"/>
            <w:vAlign w:val="center"/>
            <w:shd w:fill="17365D"/>
            <w:tcMar>
              <w:top w:w="90" w:type="dxa"/>
              <w:start w:w="100" w:type="dxa"/>
              <w:bottom w:w="90" w:type="dxa"/>
              <w:end w:w="100" w:type="dxa"/>
            </w:tcMar>
          </w:tcPr>
          <w:p>
            <w:r>
              <w:rPr>
                <w:b/>
                <w:color w:val="FFFFFF"/>
              </w:rPr>
              <w:t>Status</w:t>
            </w:r>
          </w:p>
        </w:tc>
        <w:tc>
          <w:tcPr>
            <w:tcW w:type="dxa" w:w="2016"/>
            <w:vAlign w:val="center"/>
            <w:shd w:fill="17365D"/>
            <w:tcMar>
              <w:top w:w="90" w:type="dxa"/>
              <w:start w:w="100" w:type="dxa"/>
              <w:bottom w:w="90" w:type="dxa"/>
              <w:end w:w="100" w:type="dxa"/>
            </w:tcMar>
          </w:tcPr>
          <w:p>
            <w:r>
              <w:rPr>
                <w:b/>
                <w:color w:val="FFFFFF"/>
              </w:rPr>
              <w:t>Confidence</w:t>
            </w:r>
          </w:p>
        </w:tc>
        <w:tc>
          <w:tcPr>
            <w:tcW w:type="dxa" w:w="2016"/>
            <w:vAlign w:val="center"/>
            <w:shd w:fill="17365D"/>
            <w:tcMar>
              <w:top w:w="90" w:type="dxa"/>
              <w:start w:w="100" w:type="dxa"/>
              <w:bottom w:w="90" w:type="dxa"/>
              <w:end w:w="100" w:type="dxa"/>
            </w:tcMar>
          </w:tcPr>
          <w:p>
            <w:r>
              <w:rPr>
                <w:b/>
                <w:color w:val="FFFFFF"/>
              </w:rPr>
              <w:t>As of</w:t>
            </w:r>
          </w:p>
        </w:tc>
      </w:tr>
      <w:tr>
        <w:trPr>
          <w:cantSplit/>
        </w:trPr>
        <w:tc>
          <w:tcPr>
            <w:tcW w:type="dxa" w:w="2016"/>
            <w:vAlign w:val="center"/>
            <w:tcMar>
              <w:top w:w="90" w:type="dxa"/>
              <w:start w:w="100" w:type="dxa"/>
              <w:bottom w:w="90" w:type="dxa"/>
              <w:end w:w="100" w:type="dxa"/>
            </w:tcMar>
          </w:tcPr>
          <w:p>
            <w:r>
              <w:t>POS and restaurant platform</w:t>
            </w:r>
          </w:p>
        </w:tc>
        <w:tc>
          <w:tcPr>
            <w:tcW w:type="dxa" w:w="2016"/>
            <w:vAlign w:val="center"/>
            <w:tcMar>
              <w:top w:w="90" w:type="dxa"/>
              <w:start w:w="100" w:type="dxa"/>
              <w:bottom w:w="90" w:type="dxa"/>
              <w:end w:w="100" w:type="dxa"/>
            </w:tcMar>
          </w:tcPr>
          <w:p>
            <w:r>
              <w:t>PAR</w:t>
            </w:r>
          </w:p>
        </w:tc>
        <w:tc>
          <w:tcPr>
            <w:tcW w:type="dxa" w:w="2016"/>
            <w:vAlign w:val="center"/>
            <w:tcMar>
              <w:top w:w="90" w:type="dxa"/>
              <w:start w:w="100" w:type="dxa"/>
              <w:bottom w:w="90" w:type="dxa"/>
              <w:end w:w="100" w:type="dxa"/>
            </w:tcMar>
          </w:tcPr>
          <w:p>
            <w:r>
              <w:t>Slim Chickens is publicly identified as a PAR customer; exact products and deployment scope require confirmation</w:t>
            </w:r>
          </w:p>
        </w:tc>
        <w:tc>
          <w:tcPr>
            <w:tcW w:type="dxa" w:w="2016"/>
            <w:vAlign w:val="center"/>
            <w:tcMar>
              <w:top w:w="90" w:type="dxa"/>
              <w:start w:w="100" w:type="dxa"/>
              <w:bottom w:w="90" w:type="dxa"/>
              <w:end w:w="100" w:type="dxa"/>
            </w:tcMar>
          </w:tcPr>
          <w:p>
            <w:r>
              <w:t>Medium</w:t>
            </w:r>
          </w:p>
        </w:tc>
        <w:tc>
          <w:tcPr>
            <w:tcW w:type="dxa" w:w="2016"/>
            <w:vAlign w:val="center"/>
            <w:tcMar>
              <w:top w:w="90" w:type="dxa"/>
              <w:start w:w="100" w:type="dxa"/>
              <w:bottom w:w="90" w:type="dxa"/>
              <w:end w:w="100" w:type="dxa"/>
            </w:tcMar>
          </w:tcPr>
          <w:p>
            <w:r>
              <w:t>2026-09-11</w:t>
            </w:r>
          </w:p>
        </w:tc>
      </w:tr>
      <w:tr>
        <w:trPr>
          <w:cantSplit/>
        </w:trPr>
        <w:tc>
          <w:tcPr>
            <w:tcW w:type="dxa" w:w="2016"/>
            <w:vAlign w:val="center"/>
            <w:tcMar>
              <w:top w:w="90" w:type="dxa"/>
              <w:start w:w="100" w:type="dxa"/>
              <w:bottom w:w="90" w:type="dxa"/>
              <w:end w:w="100" w:type="dxa"/>
            </w:tcMar>
            <w:shd w:fill="F3F6FA"/>
          </w:tcPr>
          <w:p>
            <w:r>
              <w:t>Online ordering</w:t>
            </w:r>
          </w:p>
        </w:tc>
        <w:tc>
          <w:tcPr>
            <w:tcW w:type="dxa" w:w="2016"/>
            <w:vAlign w:val="center"/>
            <w:tcMar>
              <w:top w:w="90" w:type="dxa"/>
              <w:start w:w="100" w:type="dxa"/>
              <w:bottom w:w="90" w:type="dxa"/>
              <w:end w:w="100" w:type="dxa"/>
            </w:tcMar>
            <w:shd w:fill="F3F6FA"/>
          </w:tcPr>
          <w:p>
            <w:r>
              <w:t>Olo</w:t>
            </w:r>
          </w:p>
        </w:tc>
        <w:tc>
          <w:tcPr>
            <w:tcW w:type="dxa" w:w="2016"/>
            <w:vAlign w:val="center"/>
            <w:tcMar>
              <w:top w:w="90" w:type="dxa"/>
              <w:start w:w="100" w:type="dxa"/>
              <w:bottom w:w="90" w:type="dxa"/>
              <w:end w:w="100" w:type="dxa"/>
            </w:tcMar>
            <w:shd w:fill="F3F6FA"/>
          </w:tcPr>
          <w:p>
            <w:r>
              <w:t>Deployed; precise restaurant and channel scope is not publicly disclosed</w:t>
            </w:r>
          </w:p>
        </w:tc>
        <w:tc>
          <w:tcPr>
            <w:tcW w:type="dxa" w:w="2016"/>
            <w:vAlign w:val="center"/>
            <w:tcMar>
              <w:top w:w="90" w:type="dxa"/>
              <w:start w:w="100" w:type="dxa"/>
              <w:bottom w:w="90" w:type="dxa"/>
              <w:end w:w="100" w:type="dxa"/>
            </w:tcMar>
            <w:shd w:fill="F3F6FA"/>
          </w:tcPr>
          <w:p>
            <w:r>
              <w:t>Medium</w:t>
            </w:r>
          </w:p>
        </w:tc>
        <w:tc>
          <w:tcPr>
            <w:tcW w:type="dxa" w:w="2016"/>
            <w:vAlign w:val="center"/>
            <w:tcMar>
              <w:top w:w="90" w:type="dxa"/>
              <w:start w:w="100" w:type="dxa"/>
              <w:bottom w:w="90" w:type="dxa"/>
              <w:end w:w="100" w:type="dxa"/>
            </w:tcMar>
            <w:shd w:fill="F3F6FA"/>
          </w:tcPr>
          <w:p>
            <w:r>
              <w:t>2026-08-05</w:t>
            </w:r>
          </w:p>
        </w:tc>
      </w:tr>
      <w:tr>
        <w:trPr>
          <w:cantSplit/>
        </w:trPr>
        <w:tc>
          <w:tcPr>
            <w:tcW w:type="dxa" w:w="2016"/>
            <w:vAlign w:val="center"/>
            <w:tcMar>
              <w:top w:w="90" w:type="dxa"/>
              <w:start w:w="100" w:type="dxa"/>
              <w:bottom w:w="90" w:type="dxa"/>
              <w:end w:w="100" w:type="dxa"/>
            </w:tcMar>
          </w:tcPr>
          <w:p>
            <w:r>
              <w:t>Payments</w:t>
            </w:r>
          </w:p>
        </w:tc>
        <w:tc>
          <w:tcPr>
            <w:tcW w:type="dxa" w:w="2016"/>
            <w:vAlign w:val="center"/>
            <w:tcMar>
              <w:top w:w="90" w:type="dxa"/>
              <w:start w:w="100" w:type="dxa"/>
              <w:bottom w:w="90" w:type="dxa"/>
              <w:end w:w="100" w:type="dxa"/>
            </w:tcMar>
          </w:tcPr>
          <w:p>
            <w:r>
              <w:t>Worldpay</w:t>
            </w:r>
          </w:p>
        </w:tc>
        <w:tc>
          <w:tcPr>
            <w:tcW w:type="dxa" w:w="2016"/>
            <w:vAlign w:val="center"/>
            <w:tcMar>
              <w:top w:w="90" w:type="dxa"/>
              <w:start w:w="100" w:type="dxa"/>
              <w:bottom w:w="90" w:type="dxa"/>
              <w:end w:w="100" w:type="dxa"/>
            </w:tcMar>
          </w:tcPr>
          <w:p>
            <w:r>
              <w:t>Confirmed internal relationship; scope, economics, and regional coverage require validation</w:t>
            </w:r>
          </w:p>
        </w:tc>
        <w:tc>
          <w:tcPr>
            <w:tcW w:type="dxa" w:w="2016"/>
            <w:vAlign w:val="center"/>
            <w:tcMar>
              <w:top w:w="90" w:type="dxa"/>
              <w:start w:w="100" w:type="dxa"/>
              <w:bottom w:w="90" w:type="dxa"/>
              <w:end w:w="100" w:type="dxa"/>
            </w:tcMar>
          </w:tcPr>
          <w:p>
            <w:r>
              <w:t>High on relationship; medium on scope</w:t>
            </w:r>
          </w:p>
        </w:tc>
        <w:tc>
          <w:tcPr>
            <w:tcW w:type="dxa" w:w="2016"/>
            <w:vAlign w:val="center"/>
            <w:tcMar>
              <w:top w:w="90" w:type="dxa"/>
              <w:start w:w="100" w:type="dxa"/>
              <w:bottom w:w="90" w:type="dxa"/>
              <w:end w:w="100" w:type="dxa"/>
            </w:tcMar>
          </w:tcPr>
          <w:p>
            <w:r>
              <w:t>2026-08-29</w:t>
            </w:r>
          </w:p>
        </w:tc>
      </w:tr>
      <w:tr>
        <w:trPr>
          <w:cantSplit/>
        </w:trPr>
        <w:tc>
          <w:tcPr>
            <w:tcW w:type="dxa" w:w="2016"/>
            <w:vAlign w:val="center"/>
            <w:tcMar>
              <w:top w:w="90" w:type="dxa"/>
              <w:start w:w="100" w:type="dxa"/>
              <w:bottom w:w="90" w:type="dxa"/>
              <w:end w:w="100" w:type="dxa"/>
            </w:tcMar>
            <w:shd w:fill="F3F6FA"/>
          </w:tcPr>
          <w:p>
            <w:r>
              <w:t>Rewards and mobile app</w:t>
            </w:r>
          </w:p>
        </w:tc>
        <w:tc>
          <w:tcPr>
            <w:tcW w:type="dxa" w:w="2016"/>
            <w:vAlign w:val="center"/>
            <w:tcMar>
              <w:top w:w="90" w:type="dxa"/>
              <w:start w:w="100" w:type="dxa"/>
              <w:bottom w:w="90" w:type="dxa"/>
              <w:end w:w="100" w:type="dxa"/>
            </w:tcMar>
            <w:shd w:fill="F3F6FA"/>
          </w:tcPr>
          <w:p>
            <w:r>
              <w:t>Slimthusiast Rewards / brand app</w:t>
            </w:r>
          </w:p>
        </w:tc>
        <w:tc>
          <w:tcPr>
            <w:tcW w:type="dxa" w:w="2016"/>
            <w:vAlign w:val="center"/>
            <w:tcMar>
              <w:top w:w="90" w:type="dxa"/>
              <w:start w:w="100" w:type="dxa"/>
              <w:bottom w:w="90" w:type="dxa"/>
              <w:end w:w="100" w:type="dxa"/>
            </w:tcMar>
            <w:shd w:fill="F3F6FA"/>
          </w:tcPr>
          <w:p>
            <w:r>
              <w:t>Publicly promoted; enabling platform and data ownership require discovery</w:t>
            </w:r>
          </w:p>
        </w:tc>
        <w:tc>
          <w:tcPr>
            <w:tcW w:type="dxa" w:w="2016"/>
            <w:vAlign w:val="center"/>
            <w:tcMar>
              <w:top w:w="90" w:type="dxa"/>
              <w:start w:w="100" w:type="dxa"/>
              <w:bottom w:w="90" w:type="dxa"/>
              <w:end w:w="100" w:type="dxa"/>
            </w:tcMar>
            <w:shd w:fill="F3F6FA"/>
          </w:tcPr>
          <w:p>
            <w:r>
              <w:t>Medium</w:t>
            </w:r>
          </w:p>
        </w:tc>
        <w:tc>
          <w:tcPr>
            <w:tcW w:type="dxa" w:w="2016"/>
            <w:vAlign w:val="center"/>
            <w:tcMar>
              <w:top w:w="90" w:type="dxa"/>
              <w:start w:w="100" w:type="dxa"/>
              <w:bottom w:w="90" w:type="dxa"/>
              <w:end w:w="100" w:type="dxa"/>
            </w:tcMar>
            <w:shd w:fill="F3F6FA"/>
          </w:tcPr>
          <w:p>
            <w:r>
              <w:t>2026-09-11</w:t>
            </w:r>
          </w:p>
        </w:tc>
      </w:tr>
      <w:tr>
        <w:trPr>
          <w:cantSplit/>
        </w:trPr>
        <w:tc>
          <w:tcPr>
            <w:tcW w:type="dxa" w:w="2016"/>
            <w:vAlign w:val="center"/>
            <w:tcMar>
              <w:top w:w="90" w:type="dxa"/>
              <w:start w:w="100" w:type="dxa"/>
              <w:bottom w:w="90" w:type="dxa"/>
              <w:end w:w="100" w:type="dxa"/>
            </w:tcMar>
          </w:tcPr>
          <w:p>
            <w:r>
              <w:t>Back office</w:t>
            </w:r>
          </w:p>
        </w:tc>
        <w:tc>
          <w:tcPr>
            <w:tcW w:type="dxa" w:w="2016"/>
            <w:vAlign w:val="center"/>
            <w:tcMar>
              <w:top w:w="90" w:type="dxa"/>
              <w:start w:w="100" w:type="dxa"/>
              <w:bottom w:w="90" w:type="dxa"/>
              <w:end w:w="100" w:type="dxa"/>
            </w:tcMar>
          </w:tcPr>
          <w:p>
            <w:r>
              <w:t>Unknown</w:t>
            </w:r>
          </w:p>
        </w:tc>
        <w:tc>
          <w:tcPr>
            <w:tcW w:type="dxa" w:w="2016"/>
            <w:vAlign w:val="center"/>
            <w:tcMar>
              <w:top w:w="90" w:type="dxa"/>
              <w:start w:w="100" w:type="dxa"/>
              <w:bottom w:w="90" w:type="dxa"/>
              <w:end w:w="100" w:type="dxa"/>
            </w:tcMar>
          </w:tcPr>
          <w:p>
            <w:r>
              <w:t>No reliable current enterprise-wide finding confirmed</w:t>
            </w:r>
          </w:p>
        </w:tc>
        <w:tc>
          <w:tcPr>
            <w:tcW w:type="dxa" w:w="2016"/>
            <w:vAlign w:val="center"/>
            <w:tcMar>
              <w:top w:w="90" w:type="dxa"/>
              <w:start w:w="100" w:type="dxa"/>
              <w:bottom w:w="90" w:type="dxa"/>
              <w:end w:w="100" w:type="dxa"/>
            </w:tcMar>
          </w:tcPr>
          <w:p>
            <w:r>
              <w:t>Unknown</w:t>
            </w:r>
          </w:p>
        </w:tc>
        <w:tc>
          <w:tcPr>
            <w:tcW w:type="dxa" w:w="2016"/>
            <w:vAlign w:val="center"/>
            <w:tcMar>
              <w:top w:w="90" w:type="dxa"/>
              <w:start w:w="100" w:type="dxa"/>
              <w:bottom w:w="90" w:type="dxa"/>
              <w:end w:w="100" w:type="dxa"/>
            </w:tcMar>
          </w:tcPr>
          <w:p>
            <w:r>
              <w:t>2026-09-11</w:t>
            </w:r>
          </w:p>
        </w:tc>
      </w:tr>
      <w:tr>
        <w:trPr>
          <w:cantSplit/>
        </w:trPr>
        <w:tc>
          <w:tcPr>
            <w:tcW w:type="dxa" w:w="2016"/>
            <w:vAlign w:val="center"/>
            <w:tcMar>
              <w:top w:w="90" w:type="dxa"/>
              <w:start w:w="100" w:type="dxa"/>
              <w:bottom w:w="90" w:type="dxa"/>
              <w:end w:w="100" w:type="dxa"/>
            </w:tcMar>
            <w:shd w:fill="F3F6FA"/>
          </w:tcPr>
          <w:p>
            <w:r>
              <w:t>Digital menu boards</w:t>
            </w:r>
          </w:p>
        </w:tc>
        <w:tc>
          <w:tcPr>
            <w:tcW w:type="dxa" w:w="2016"/>
            <w:vAlign w:val="center"/>
            <w:tcMar>
              <w:top w:w="90" w:type="dxa"/>
              <w:start w:w="100" w:type="dxa"/>
              <w:bottom w:w="90" w:type="dxa"/>
              <w:end w:w="100" w:type="dxa"/>
            </w:tcMar>
            <w:shd w:fill="F3F6FA"/>
          </w:tcPr>
          <w:p>
            <w:r>
              <w:t>Unknown</w:t>
            </w:r>
          </w:p>
        </w:tc>
        <w:tc>
          <w:tcPr>
            <w:tcW w:type="dxa" w:w="2016"/>
            <w:vAlign w:val="center"/>
            <w:tcMar>
              <w:top w:w="90" w:type="dxa"/>
              <w:start w:w="100" w:type="dxa"/>
              <w:bottom w:w="90" w:type="dxa"/>
              <w:end w:w="100" w:type="dxa"/>
            </w:tcMar>
            <w:shd w:fill="F3F6FA"/>
          </w:tcPr>
          <w:p>
            <w:r>
              <w:t>Deployment, content management, and refresh cycle require discovery</w:t>
            </w:r>
          </w:p>
        </w:tc>
        <w:tc>
          <w:tcPr>
            <w:tcW w:type="dxa" w:w="2016"/>
            <w:vAlign w:val="center"/>
            <w:tcMar>
              <w:top w:w="90" w:type="dxa"/>
              <w:start w:w="100" w:type="dxa"/>
              <w:bottom w:w="90" w:type="dxa"/>
              <w:end w:w="100" w:type="dxa"/>
            </w:tcMar>
            <w:shd w:fill="F3F6FA"/>
          </w:tcPr>
          <w:p>
            <w:r>
              <w:t>Unknown</w:t>
            </w:r>
          </w:p>
        </w:tc>
        <w:tc>
          <w:tcPr>
            <w:tcW w:type="dxa" w:w="2016"/>
            <w:vAlign w:val="center"/>
            <w:tcMar>
              <w:top w:w="90" w:type="dxa"/>
              <w:start w:w="100" w:type="dxa"/>
              <w:bottom w:w="90" w:type="dxa"/>
              <w:end w:w="100" w:type="dxa"/>
            </w:tcMar>
            <w:shd w:fill="F3F6FA"/>
          </w:tcPr>
          <w:p>
            <w:r>
              <w:t>2026-09-11</w:t>
            </w:r>
          </w:p>
        </w:tc>
      </w:tr>
      <w:tr>
        <w:trPr>
          <w:cantSplit/>
        </w:trPr>
        <w:tc>
          <w:tcPr>
            <w:tcW w:type="dxa" w:w="2016"/>
            <w:vAlign w:val="center"/>
            <w:tcMar>
              <w:top w:w="90" w:type="dxa"/>
              <w:start w:w="100" w:type="dxa"/>
              <w:bottom w:w="90" w:type="dxa"/>
              <w:end w:w="100" w:type="dxa"/>
            </w:tcMar>
          </w:tcPr>
          <w:p>
            <w:r>
              <w:t>Labor and workforce</w:t>
            </w:r>
          </w:p>
        </w:tc>
        <w:tc>
          <w:tcPr>
            <w:tcW w:type="dxa" w:w="2016"/>
            <w:vAlign w:val="center"/>
            <w:tcMar>
              <w:top w:w="90" w:type="dxa"/>
              <w:start w:w="100" w:type="dxa"/>
              <w:bottom w:w="90" w:type="dxa"/>
              <w:end w:w="100" w:type="dxa"/>
            </w:tcMar>
          </w:tcPr>
          <w:p>
            <w:r>
              <w:t>Unknown</w:t>
            </w:r>
          </w:p>
        </w:tc>
        <w:tc>
          <w:tcPr>
            <w:tcW w:type="dxa" w:w="2016"/>
            <w:vAlign w:val="center"/>
            <w:tcMar>
              <w:top w:w="90" w:type="dxa"/>
              <w:start w:w="100" w:type="dxa"/>
              <w:bottom w:w="90" w:type="dxa"/>
              <w:end w:w="100" w:type="dxa"/>
            </w:tcMar>
          </w:tcPr>
          <w:p>
            <w:r>
              <w:t>No reliable current enterprise-wide finding confirmed</w:t>
            </w:r>
          </w:p>
        </w:tc>
        <w:tc>
          <w:tcPr>
            <w:tcW w:type="dxa" w:w="2016"/>
            <w:vAlign w:val="center"/>
            <w:tcMar>
              <w:top w:w="90" w:type="dxa"/>
              <w:start w:w="100" w:type="dxa"/>
              <w:bottom w:w="90" w:type="dxa"/>
              <w:end w:w="100" w:type="dxa"/>
            </w:tcMar>
          </w:tcPr>
          <w:p>
            <w:r>
              <w:t>Unknown</w:t>
            </w:r>
          </w:p>
        </w:tc>
        <w:tc>
          <w:tcPr>
            <w:tcW w:type="dxa" w:w="2016"/>
            <w:vAlign w:val="center"/>
            <w:tcMar>
              <w:top w:w="90" w:type="dxa"/>
              <w:start w:w="100" w:type="dxa"/>
              <w:bottom w:w="90" w:type="dxa"/>
              <w:end w:w="100" w:type="dxa"/>
            </w:tcMar>
          </w:tcPr>
          <w:p>
            <w:r>
              <w:t>2026-09-11</w:t>
            </w:r>
          </w:p>
        </w:tc>
      </w:tr>
    </w:tbl>
    <w:p>
      <w:pPr>
        <w:spacing w:after="0"/>
      </w:pPr>
    </w:p>
    <w:p>
      <w:pPr>
        <w:pStyle w:val="Heading1"/>
        <w:spacing w:before="200" w:after="80"/>
      </w:pPr>
      <w:r>
        <w:rPr>
          <w:sz w:val="34"/>
        </w:rPr>
        <w:t>Opportunity Assessment</w:t>
      </w:r>
    </w:p>
    <w:p>
      <w:pPr/>
      <w:r>
        <w:rPr>
          <w:i/>
        </w:rPr>
        <w:t>These are hypotheses, not confirmed opportunities.</w:t>
      </w:r>
    </w:p>
    <w:p>
      <w:pPr>
        <w:pStyle w:val="Heading2"/>
        <w:spacing w:before="80" w:after="20"/>
      </w:pPr>
      <w:r>
        <w:rPr>
          <w:sz w:val="23"/>
        </w:rPr>
        <w:t>Protect and expand Worldpay selectively</w:t>
      </w:r>
    </w:p>
    <w:p>
      <w:pPr/>
      <w:r>
        <w:t>Clarify merchant scope, digital and card-present roles, economics, renewal dates, and franchise participation. Use existing payments access as the intelligence channel before proposing additional products.</w:t>
      </w:r>
    </w:p>
    <w:p>
      <w:pPr>
        <w:pStyle w:val="Heading2"/>
        <w:spacing w:before="80" w:after="20"/>
      </w:pPr>
      <w:r>
        <w:rPr>
          <w:sz w:val="23"/>
        </w:rPr>
        <w:t>Channel-coordinated restaurant technology adjacencies</w:t>
      </w:r>
    </w:p>
    <w:p>
      <w:pPr/>
      <w:r>
        <w:t>Potential whitespace may exist in digital menu boards, hardware, back office, device management, labor, analytics, or international deployment. Each hypothesis must be validated with the technology team and coordinated through the RDS model.</w:t>
      </w:r>
    </w:p>
    <w:p>
      <w:pPr>
        <w:pStyle w:val="Heading2"/>
        <w:spacing w:before="80" w:after="20"/>
      </w:pPr>
      <w:r>
        <w:rPr>
          <w:sz w:val="23"/>
        </w:rPr>
        <w:t>Shared-franchise network leverage</w:t>
      </w:r>
    </w:p>
    <w:p>
      <w:pPr/>
      <w:r>
        <w:t>Overlapping Freddy’s and Slim Chickens operators may provide insight into support quality, purchasing authority, and unmet needs. Treat the overlap as an access network, not evidence of a common decision.</w:t>
      </w:r>
    </w:p>
    <w:p>
      <w:pPr>
        <w:pStyle w:val="Heading2"/>
        <w:spacing w:before="80" w:after="20"/>
      </w:pPr>
      <w:r>
        <w:rPr>
          <w:sz w:val="23"/>
        </w:rPr>
        <w:t>International operating consistency</w:t>
      </w:r>
    </w:p>
    <w:p>
      <w:pPr/>
      <w:r>
        <w:t>Rapid international development may create differences in payments, ordering, support, reporting, and technology standards. A repeatable multi-market solution could be relevant where the brand or master franchisee controls the decision.</w:t>
      </w:r>
    </w:p>
    <w:p>
      <w:pPr>
        <w:pStyle w:val="Heading1"/>
        <w:spacing w:before="200" w:after="80"/>
      </w:pPr>
      <w:r>
        <w:rPr>
          <w:sz w:val="34"/>
        </w:rPr>
        <w:t>Key Discovery Questions</w:t>
      </w:r>
    </w:p>
    <w:p>
      <w:pPr>
        <w:pStyle w:val="Heading2"/>
        <w:spacing w:before="80" w:after="20"/>
      </w:pPr>
      <w:r>
        <w:rPr>
          <w:sz w:val="23"/>
        </w:rPr>
        <w:t>Stakeholders and Channel</w:t>
      </w:r>
    </w:p>
    <w:p>
      <w:pPr>
        <w:spacing w:after="0"/>
        <w:ind w:left="403" w:hanging="230"/>
      </w:pPr>
      <w:r>
        <w:rPr>
          <w:sz w:val="20"/>
        </w:rPr>
        <w:t>• Who is the day-to-day technology leader, and what is the CIO’s role in vendor decisions?</w:t>
      </w:r>
    </w:p>
    <w:p>
      <w:pPr>
        <w:spacing w:after="0"/>
        <w:ind w:left="403" w:hanging="230"/>
      </w:pPr>
      <w:r>
        <w:rPr>
          <w:sz w:val="20"/>
        </w:rPr>
        <w:t>• Who owns the RDS relationship and what referral, joint-sale, or dealer-led model applies?</w:t>
      </w:r>
    </w:p>
    <w:p>
      <w:pPr>
        <w:spacing w:after="0"/>
        <w:ind w:left="403" w:hanging="230"/>
      </w:pPr>
      <w:r>
        <w:rPr>
          <w:sz w:val="20"/>
        </w:rPr>
        <w:t>• Who is the Worldpay relationship manager, and which introductions are appropriate?</w:t>
      </w:r>
    </w:p>
    <w:p>
      <w:pPr>
        <w:spacing w:after="0"/>
        <w:ind w:left="403" w:hanging="230"/>
      </w:pPr>
      <w:r>
        <w:rPr>
          <w:sz w:val="20"/>
        </w:rPr>
        <w:t>• Which Freddy’s/Slim Chickens franchise groups can provide useful intelligence or access?</w:t>
      </w:r>
    </w:p>
    <w:p>
      <w:pPr>
        <w:pStyle w:val="Heading2"/>
        <w:spacing w:before="80" w:after="20"/>
      </w:pPr>
      <w:r>
        <w:rPr>
          <w:sz w:val="23"/>
        </w:rPr>
        <w:t>Technology and Operations</w:t>
      </w:r>
    </w:p>
    <w:p>
      <w:pPr>
        <w:spacing w:after="0"/>
        <w:ind w:left="403" w:hanging="230"/>
      </w:pPr>
      <w:r>
        <w:rPr>
          <w:sz w:val="20"/>
        </w:rPr>
        <w:t>• Which PAR products are deployed, at how many locations, and under what commercial model?</w:t>
      </w:r>
    </w:p>
    <w:p>
      <w:pPr>
        <w:spacing w:after="0"/>
        <w:ind w:left="403" w:hanging="230"/>
      </w:pPr>
      <w:r>
        <w:rPr>
          <w:sz w:val="20"/>
        </w:rPr>
        <w:t>• What systems support loyalty, back office, inventory, labor, KDS, hardware, and digital menu boards?</w:t>
      </w:r>
    </w:p>
    <w:p>
      <w:pPr>
        <w:spacing w:after="0"/>
        <w:ind w:left="403" w:hanging="230"/>
      </w:pPr>
      <w:r>
        <w:rPr>
          <w:sz w:val="20"/>
        </w:rPr>
        <w:t>• Where do franchisees experience integration, support, reporting, or rollout friction?</w:t>
      </w:r>
    </w:p>
    <w:p>
      <w:pPr>
        <w:spacing w:after="0"/>
        <w:ind w:left="403" w:hanging="230"/>
      </w:pPr>
      <w:r>
        <w:rPr>
          <w:sz w:val="20"/>
        </w:rPr>
        <w:t>• How consistent is the stack across corporate, franchise, and international restaurants?</w:t>
      </w:r>
    </w:p>
    <w:p>
      <w:pPr>
        <w:pStyle w:val="Heading2"/>
        <w:spacing w:before="80" w:after="20"/>
      </w:pPr>
      <w:r>
        <w:rPr>
          <w:sz w:val="23"/>
        </w:rPr>
        <w:t>Payments and Digital</w:t>
      </w:r>
    </w:p>
    <w:p>
      <w:pPr>
        <w:spacing w:after="0"/>
        <w:ind w:left="403" w:hanging="230"/>
      </w:pPr>
      <w:r>
        <w:rPr>
          <w:sz w:val="20"/>
        </w:rPr>
        <w:t>• What are Worldpay’s card-present, digital, gateway, and acquiring roles?</w:t>
      </w:r>
    </w:p>
    <w:p>
      <w:pPr>
        <w:spacing w:after="0"/>
        <w:ind w:left="403" w:hanging="230"/>
      </w:pPr>
      <w:r>
        <w:rPr>
          <w:sz w:val="20"/>
        </w:rPr>
        <w:t>• How does Olo connect to the POS, rewards program, payments, and guest data?</w:t>
      </w:r>
    </w:p>
    <w:p>
      <w:pPr>
        <w:spacing w:after="0"/>
        <w:ind w:left="403" w:hanging="230"/>
      </w:pPr>
      <w:r>
        <w:rPr>
          <w:sz w:val="20"/>
        </w:rPr>
        <w:t>• Who owns customer data and digital engagement, and what performance gaps exist?</w:t>
      </w:r>
    </w:p>
    <w:p>
      <w:pPr>
        <w:spacing w:after="0"/>
        <w:ind w:left="403" w:hanging="230"/>
      </w:pPr>
      <w:r>
        <w:rPr>
          <w:sz w:val="20"/>
        </w:rPr>
        <w:t>• When do payments, POS, ordering, or loyalty agreements renew?</w:t>
      </w:r>
    </w:p>
    <w:p>
      <w:pPr>
        <w:pStyle w:val="Heading2"/>
        <w:spacing w:before="80" w:after="20"/>
      </w:pPr>
      <w:r>
        <w:rPr>
          <w:sz w:val="23"/>
        </w:rPr>
        <w:t>Growth and Economics</w:t>
      </w:r>
    </w:p>
    <w:p>
      <w:pPr>
        <w:spacing w:after="0"/>
        <w:ind w:left="403" w:hanging="230"/>
      </w:pPr>
      <w:r>
        <w:rPr>
          <w:sz w:val="20"/>
        </w:rPr>
        <w:t>• What is the current restaurant count, opening pipeline, and development cadence?</w:t>
      </w:r>
    </w:p>
    <w:p>
      <w:pPr>
        <w:spacing w:after="0"/>
        <w:ind w:left="403" w:hanging="230"/>
      </w:pPr>
      <w:r>
        <w:rPr>
          <w:sz w:val="20"/>
        </w:rPr>
        <w:t>• Which markets or formats are most important over the next 24 months?</w:t>
      </w:r>
    </w:p>
    <w:p>
      <w:pPr>
        <w:spacing w:after="0"/>
        <w:ind w:left="403" w:hanging="230"/>
      </w:pPr>
      <w:r>
        <w:rPr>
          <w:sz w:val="20"/>
        </w:rPr>
        <w:t>• What unit-level economics or operational constraints could slow development?</w:t>
      </w:r>
    </w:p>
    <w:p>
      <w:pPr>
        <w:spacing w:after="0"/>
        <w:ind w:left="403" w:hanging="230"/>
      </w:pPr>
      <w:r>
        <w:rPr>
          <w:sz w:val="20"/>
        </w:rPr>
        <w:t>• How are technology costs and deployment responsibilities allocated to franchisees?</w:t>
      </w:r>
    </w:p>
    <w:p>
      <w:pPr>
        <w:pStyle w:val="Heading1"/>
        <w:spacing w:before="200" w:after="80"/>
      </w:pPr>
      <w:r>
        <w:rPr>
          <w:sz w:val="34"/>
        </w:rPr>
        <w:t>Risks and Cautions</w:t>
      </w:r>
    </w:p>
    <w:p>
      <w:pPr>
        <w:spacing w:after="0"/>
        <w:ind w:left="403" w:hanging="230"/>
      </w:pPr>
      <w:r>
        <w:rPr>
          <w:sz w:val="20"/>
        </w:rPr>
        <w:t>• PAR is an incumbent, and RDS may control or materially influence the customer relationship.</w:t>
      </w:r>
    </w:p>
    <w:p>
      <w:pPr>
        <w:spacing w:after="0"/>
        <w:ind w:left="403" w:hanging="230"/>
      </w:pPr>
      <w:r>
        <w:rPr>
          <w:sz w:val="20"/>
        </w:rPr>
        <w:t>• The CIO relationship requires deliberate coordination; poorly sequenced outreach could close access rather than expand it.</w:t>
      </w:r>
    </w:p>
    <w:p>
      <w:pPr>
        <w:spacing w:after="0"/>
        <w:ind w:left="403" w:hanging="230"/>
      </w:pPr>
      <w:r>
        <w:rPr>
          <w:sz w:val="20"/>
        </w:rPr>
        <w:t>• Public growth counts and executive titles vary by source date and require current confirmation.</w:t>
      </w:r>
    </w:p>
    <w:p>
      <w:pPr>
        <w:spacing w:after="0"/>
        <w:ind w:left="403" w:hanging="230"/>
      </w:pPr>
      <w:r>
        <w:rPr>
          <w:sz w:val="20"/>
        </w:rPr>
        <w:t>• International and franchise variation may produce different buyers, vendors, and economics.</w:t>
      </w:r>
    </w:p>
    <w:p>
      <w:pPr>
        <w:spacing w:after="0"/>
        <w:ind w:left="403" w:hanging="230"/>
      </w:pPr>
      <w:r>
        <w:rPr>
          <w:sz w:val="20"/>
        </w:rPr>
        <w:t>• Shared franchise ownership with Freddy’s is useful context but does not create shared authority.</w:t>
      </w:r>
    </w:p>
    <w:p>
      <w:pPr>
        <w:spacing w:after="0"/>
        <w:ind w:left="403" w:hanging="230"/>
      </w:pPr>
      <w:r>
        <w:rPr>
          <w:sz w:val="20"/>
        </w:rPr>
        <w:t>• Do not infer a broad PAR product deployment or a broad Worldpay footprint from logo-level or relationship evidence alone.</w:t>
      </w:r>
    </w:p>
    <w:p>
      <w:pPr>
        <w:pStyle w:val="Heading1"/>
        <w:spacing w:before="200" w:after="80"/>
      </w:pPr>
      <w:r>
        <w:rPr>
          <w:sz w:val="34"/>
        </w:rPr>
        <w:t>Recommended Engagement Strategy</w:t>
      </w:r>
    </w:p>
    <w:p>
      <w:pPr/>
      <w:r>
        <w:t>Start inside the existing relationship network. Align with the Worldpay relationship manager, the RDS owner, and the internal contact who knows the Slim Chickens technology team. Identify the day-to-day technology leader before approaching the CIO, and agree on the purpose and sequence of engagement.</w:t>
      </w:r>
    </w:p>
    <w:p>
      <w:pPr/>
      <w:r>
        <w:t>Use discovery to isolate one customer problem with measurable franchisee or operating impact. The strongest narrative is likely to connect operational simplicity and growth readiness with payments economics. Maintain a separate account strategy from Freddy’s while using shared franchise operators to improve intelligence and access.</w:t>
      </w:r>
    </w:p>
    <w:p>
      <w:pPr>
        <w:pStyle w:val="Heading1"/>
        <w:spacing w:before="200" w:after="80"/>
      </w:pPr>
      <w:r>
        <w:rPr>
          <w:sz w:val="34"/>
        </w:rPr>
        <w:t>Immediate Actions</w:t>
      </w:r>
    </w:p>
    <w:p>
      <w:pPr>
        <w:spacing w:after="0"/>
        <w:ind w:left="403" w:hanging="230"/>
      </w:pPr>
      <w:r>
        <w:rPr>
          <w:sz w:val="20"/>
        </w:rPr>
        <w:t>• Confirm the current Worldpay relationship manager and RDS/dealer owner.</w:t>
      </w:r>
    </w:p>
    <w:p>
      <w:pPr>
        <w:spacing w:after="0"/>
        <w:ind w:left="403" w:hanging="230"/>
      </w:pPr>
      <w:r>
        <w:rPr>
          <w:sz w:val="20"/>
        </w:rPr>
        <w:t>• Identify the day-to-day technology leader and document the CIO engagement plan.</w:t>
      </w:r>
    </w:p>
    <w:p>
      <w:pPr>
        <w:spacing w:after="0"/>
        <w:ind w:left="403" w:hanging="230"/>
      </w:pPr>
      <w:r>
        <w:rPr>
          <w:sz w:val="20"/>
        </w:rPr>
        <w:t>• Verify the deployed PAR products, Olo scope, Worldpay footprint, and contract dates.</w:t>
      </w:r>
    </w:p>
    <w:p>
      <w:pPr>
        <w:spacing w:after="0"/>
        <w:ind w:left="403" w:hanging="230"/>
      </w:pPr>
      <w:r>
        <w:rPr>
          <w:sz w:val="20"/>
        </w:rPr>
        <w:t>• Map corporate, franchise, and international technology decision rights.</w:t>
      </w:r>
    </w:p>
    <w:p>
      <w:pPr>
        <w:spacing w:after="0"/>
        <w:ind w:left="403" w:hanging="230"/>
      </w:pPr>
      <w:r>
        <w:rPr>
          <w:sz w:val="20"/>
        </w:rPr>
        <w:t>• Identify overlapping Freddy’s franchise groups and the best intelligence or introduction path.</w:t>
      </w:r>
    </w:p>
    <w:p>
      <w:pPr>
        <w:spacing w:after="0"/>
        <w:ind w:left="403" w:hanging="230"/>
      </w:pPr>
      <w:r>
        <w:rPr>
          <w:sz w:val="20"/>
        </w:rPr>
        <w:t>• Select one dated customer trigger and one narrow adjacency hypothesis before outreach.</w:t>
      </w:r>
    </w:p>
    <w:p>
      <w:pPr>
        <w:pStyle w:val="Heading1"/>
        <w:spacing w:before="200" w:after="80"/>
      </w:pPr>
      <w:r>
        <w:rPr>
          <w:sz w:val="34"/>
        </w:rPr>
        <w:t>Bottom Line</w:t>
      </w:r>
    </w:p>
    <w:p>
      <w:pPr/>
      <w:r>
        <w:t>Slim Chickens is a worthwhile background-brief account because it combines sustained franchise growth, a confirmed Worldpay relationship, an existing technology-team access path, and potential whitespace around a partially verified technology estate. It should not be approached as an open-field POS pursuit. Success depends on careful stakeholder navigation, explicit RDS coordination, and a narrow problem-led motion that improves franchisee economics or execution without ignoring the installed PAR and Olo environment.</w:t>
      </w:r>
    </w:p>
    <w:p>
      <w:pPr>
        <w:pStyle w:val="Heading1"/>
        <w:spacing w:before="200" w:after="80"/>
      </w:pPr>
      <w:r>
        <w:rPr>
          <w:sz w:val="34"/>
        </w:rPr>
        <w:t>Research and Internal Intelligence Sources</w:t>
      </w:r>
    </w:p>
    <w:p>
      <w:pPr>
        <w:spacing w:after="0"/>
        <w:ind w:left="403" w:hanging="230"/>
      </w:pPr>
      <w:r>
        <w:rPr>
          <w:sz w:val="20"/>
        </w:rPr>
        <w:t>• 10 Point Capital portfolio profile for Slim Chickens: https://10pointcapital.com/slim-chickens</w:t>
      </w:r>
    </w:p>
    <w:p>
      <w:pPr>
        <w:spacing w:after="0"/>
        <w:ind w:left="403" w:hanging="230"/>
      </w:pPr>
      <w:r>
        <w:rPr>
          <w:sz w:val="20"/>
        </w:rPr>
        <w:t>• 10 Point Capital investment announcement, July 17, 2019: https://10pointcapital.com/2019/07/17/slim-chickens-announces-equity-investment-from-10-point-capital/</w:t>
      </w:r>
    </w:p>
    <w:p>
      <w:pPr>
        <w:spacing w:after="0"/>
        <w:ind w:left="403" w:hanging="230"/>
      </w:pPr>
      <w:r>
        <w:rPr>
          <w:sz w:val="20"/>
        </w:rPr>
        <w:t>• Slim Chickens international franchise information: https://slimchickensfranchise.com/international-franchising-opportunities/</w:t>
      </w:r>
    </w:p>
    <w:p>
      <w:pPr>
        <w:spacing w:after="0"/>
        <w:ind w:left="403" w:hanging="230"/>
      </w:pPr>
      <w:r>
        <w:rPr>
          <w:sz w:val="20"/>
        </w:rPr>
        <w:t>• Slim Chickens official app, rewards, and ordering materials: https://slimchickens.com/</w:t>
      </w:r>
    </w:p>
    <w:p>
      <w:pPr>
        <w:spacing w:after="0"/>
        <w:ind w:left="403" w:hanging="230"/>
      </w:pPr>
      <w:r>
        <w:rPr>
          <w:sz w:val="20"/>
        </w:rPr>
        <w:t>• PAR customer evidence: https://partech.com/2024/05/24/congratulations-to-par-customers-2024-fast-casual-movers-and-shakers-honorees/</w:t>
      </w:r>
    </w:p>
    <w:p>
      <w:pPr>
        <w:spacing w:after="0"/>
        <w:ind w:left="403" w:hanging="230"/>
      </w:pPr>
      <w:r>
        <w:rPr>
          <w:sz w:val="20"/>
        </w:rPr>
        <w:t>• PAR Investor Day customer portfolio, 2024: https://partech.com/wp-content/uploads/2025/02/PAR-Investor-Day-Presentation-2024-Final.pdf</w:t>
      </w:r>
    </w:p>
    <w:p>
      <w:pPr>
        <w:spacing w:after="0"/>
        <w:ind w:left="403" w:hanging="230"/>
      </w:pPr>
      <w:r>
        <w:rPr>
          <w:sz w:val="20"/>
        </w:rPr>
        <w:t>• Retained Olo and Worldpay ecosystem evidence dated August 5 and August 29, 2026.</w:t>
      </w:r>
    </w:p>
    <w:p>
      <w:pPr>
        <w:spacing w:after="0"/>
        <w:ind w:left="403" w:hanging="230"/>
      </w:pPr>
      <w:r>
        <w:rPr>
          <w:sz w:val="20"/>
        </w:rPr>
        <w:t>• Internal Worldpay cross-sell strategy and development feedback dated July 28 and August 3, 2026.</w:t>
      </w:r>
    </w:p>
    <w:sectPr w:rsidR="00784C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B3C423" w14:textId="77777777" w:rsidR="0008156C" w:rsidRDefault="0008156C">
      <w:r>
        <w:separator/>
      </w:r>
    </w:p>
  </w:endnote>
  <w:endnote w:type="continuationSeparator" w:id="0">
    <w:p w14:paraId="17666B94" w14:textId="77777777" w:rsidR="0008156C" w:rsidRDefault="0008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D0537" w14:textId="77777777" w:rsidR="00784C58" w:rsidRDefault="00000000">
    <w:pPr>
      <w:jc w:val="right"/>
    </w:pPr>
    <w:proofErr w:type="gramStart"/>
    <w:r>
      <w:rPr>
        <w:color w:val="666666"/>
        <w:sz w:val="16"/>
        <w:szCs w:val="16"/>
      </w:rPr>
      <w:t>Confidential  •</w:t>
    </w:r>
    <w:proofErr w:type="gramEnd"/>
    <w:r>
      <w:rPr>
        <w:color w:val="666666"/>
        <w:sz w:val="16"/>
        <w:szCs w:val="16"/>
      </w:rPr>
      <w:t xml:space="preserve">  September 11,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D2D2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C6E4AD" w14:textId="77777777" w:rsidR="0008156C" w:rsidRDefault="0008156C">
      <w:r>
        <w:separator/>
      </w:r>
    </w:p>
  </w:footnote>
  <w:footnote w:type="continuationSeparator" w:id="0">
    <w:p w14:paraId="08337347" w14:textId="77777777" w:rsidR="0008156C" w:rsidRDefault="00081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1FB19" w14:textId="77777777" w:rsidR="00784C58" w:rsidRDefault="00000000">
    <w:pPr>
      <w:pBdr>
        <w:bottom w:val="single" w:sz="4" w:space="4" w:color="D9E2F3"/>
      </w:pBdr>
    </w:pPr>
    <w:r>
      <w:rPr>
        <w:b/>
        <w:bCs/>
        <w:color w:val="666666"/>
        <w:sz w:val="16"/>
        <w:szCs w:val="16"/>
      </w:rPr>
      <w:t xml:space="preserve">SLIM CHICKENS  |</w:t>
    </w:r>
    <w:proofErr w:type="gramStart"/>
    <w:r>
      <w:rPr>
        <w:b/>
        <w:bCs/>
        <w:color w:val="666666"/>
        <w:sz w:val="16"/>
        <w:szCs w:val="16"/>
      </w:rPr>
      <w:t/>
    </w:r>
    <w:proofErr w:type="gramEnd"/>
    <w:r>
      <w:rPr>
        <w:b/>
        <w:bCs/>
        <w:color w:val="666666"/>
        <w:sz w:val="16"/>
        <w:szCs w:val="16"/>
      </w:rPr>
      <w:t xml:space="preserve">  ACCOUNT BACKGROUND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946F0"/>
    <w:multiLevelType w:val="hybridMultilevel"/>
    <w:tmpl w:val="5228421C"/>
    <w:lvl w:ilvl="0" w:tplc="AA4C9AB2">
      <w:start w:val="1"/>
      <w:numFmt w:val="decimal"/>
      <w:lvlText w:val="%1."/>
      <w:lvlJc w:val="left"/>
      <w:pPr>
        <w:ind w:left="540" w:hanging="270"/>
      </w:pPr>
    </w:lvl>
    <w:lvl w:ilvl="1" w:tplc="2AB25AE4">
      <w:numFmt w:val="decimal"/>
      <w:lvlText w:val=""/>
      <w:lvlJc w:val="left"/>
    </w:lvl>
    <w:lvl w:ilvl="2" w:tplc="502074BC">
      <w:numFmt w:val="decimal"/>
      <w:lvlText w:val=""/>
      <w:lvlJc w:val="left"/>
    </w:lvl>
    <w:lvl w:ilvl="3" w:tplc="D61EFB9C">
      <w:numFmt w:val="decimal"/>
      <w:lvlText w:val=""/>
      <w:lvlJc w:val="left"/>
    </w:lvl>
    <w:lvl w:ilvl="4" w:tplc="412C84A4">
      <w:numFmt w:val="decimal"/>
      <w:lvlText w:val=""/>
      <w:lvlJc w:val="left"/>
    </w:lvl>
    <w:lvl w:ilvl="5" w:tplc="F2C660AE">
      <w:numFmt w:val="decimal"/>
      <w:lvlText w:val=""/>
      <w:lvlJc w:val="left"/>
    </w:lvl>
    <w:lvl w:ilvl="6" w:tplc="8B7C8E90">
      <w:numFmt w:val="decimal"/>
      <w:lvlText w:val=""/>
      <w:lvlJc w:val="left"/>
    </w:lvl>
    <w:lvl w:ilvl="7" w:tplc="97645716">
      <w:numFmt w:val="decimal"/>
      <w:lvlText w:val=""/>
      <w:lvlJc w:val="left"/>
    </w:lvl>
    <w:lvl w:ilvl="8" w:tplc="3A00A09A">
      <w:numFmt w:val="decimal"/>
      <w:lvlText w:val=""/>
      <w:lvlJc w:val="left"/>
    </w:lvl>
  </w:abstractNum>
  <w:abstractNum w:abstractNumId="1" w15:restartNumberingAfterBreak="0">
    <w:nsid w:val="40820B5D"/>
    <w:multiLevelType w:val="hybridMultilevel"/>
    <w:tmpl w:val="2BC81DDC"/>
    <w:lvl w:ilvl="0" w:tplc="CB4CCDD4">
      <w:start w:val="1"/>
      <w:numFmt w:val="bullet"/>
      <w:lvlText w:val="•"/>
      <w:lvlJc w:val="left"/>
      <w:pPr>
        <w:ind w:left="540" w:hanging="270"/>
      </w:pPr>
    </w:lvl>
    <w:lvl w:ilvl="1" w:tplc="F25659DA">
      <w:numFmt w:val="decimal"/>
      <w:lvlText w:val=""/>
      <w:lvlJc w:val="left"/>
    </w:lvl>
    <w:lvl w:ilvl="2" w:tplc="7862B1E4">
      <w:numFmt w:val="decimal"/>
      <w:lvlText w:val=""/>
      <w:lvlJc w:val="left"/>
    </w:lvl>
    <w:lvl w:ilvl="3" w:tplc="0D665A06">
      <w:numFmt w:val="decimal"/>
      <w:lvlText w:val=""/>
      <w:lvlJc w:val="left"/>
    </w:lvl>
    <w:lvl w:ilvl="4" w:tplc="164225D0">
      <w:numFmt w:val="decimal"/>
      <w:lvlText w:val=""/>
      <w:lvlJc w:val="left"/>
    </w:lvl>
    <w:lvl w:ilvl="5" w:tplc="E2B24F6A">
      <w:numFmt w:val="decimal"/>
      <w:lvlText w:val=""/>
      <w:lvlJc w:val="left"/>
    </w:lvl>
    <w:lvl w:ilvl="6" w:tplc="2C5C48C4">
      <w:numFmt w:val="decimal"/>
      <w:lvlText w:val=""/>
      <w:lvlJc w:val="left"/>
    </w:lvl>
    <w:lvl w:ilvl="7" w:tplc="1578ECAE">
      <w:numFmt w:val="decimal"/>
      <w:lvlText w:val=""/>
      <w:lvlJc w:val="left"/>
    </w:lvl>
    <w:lvl w:ilvl="8" w:tplc="98B01BB0">
      <w:numFmt w:val="decimal"/>
      <w:lvlText w:val=""/>
      <w:lvlJc w:val="left"/>
    </w:lvl>
  </w:abstractNum>
  <w:abstractNum w:abstractNumId="2" w15:restartNumberingAfterBreak="0">
    <w:nsid w:val="7DFF7A82"/>
    <w:multiLevelType w:val="hybridMultilevel"/>
    <w:tmpl w:val="609EE4EA"/>
    <w:lvl w:ilvl="0" w:tplc="686C6A12">
      <w:start w:val="1"/>
      <w:numFmt w:val="bullet"/>
      <w:lvlText w:val="●"/>
      <w:lvlJc w:val="left"/>
      <w:pPr>
        <w:ind w:left="720" w:hanging="360"/>
      </w:pPr>
    </w:lvl>
    <w:lvl w:ilvl="1" w:tplc="8B023B24">
      <w:start w:val="1"/>
      <w:numFmt w:val="bullet"/>
      <w:lvlText w:val="○"/>
      <w:lvlJc w:val="left"/>
      <w:pPr>
        <w:ind w:left="1440" w:hanging="360"/>
      </w:pPr>
    </w:lvl>
    <w:lvl w:ilvl="2" w:tplc="4F387FEE">
      <w:start w:val="1"/>
      <w:numFmt w:val="bullet"/>
      <w:lvlText w:val="■"/>
      <w:lvlJc w:val="left"/>
      <w:pPr>
        <w:ind w:left="2160" w:hanging="360"/>
      </w:pPr>
    </w:lvl>
    <w:lvl w:ilvl="3" w:tplc="4EDCC06A">
      <w:start w:val="1"/>
      <w:numFmt w:val="bullet"/>
      <w:lvlText w:val="●"/>
      <w:lvlJc w:val="left"/>
      <w:pPr>
        <w:ind w:left="2880" w:hanging="360"/>
      </w:pPr>
    </w:lvl>
    <w:lvl w:ilvl="4" w:tplc="24485E6C">
      <w:start w:val="1"/>
      <w:numFmt w:val="bullet"/>
      <w:lvlText w:val="○"/>
      <w:lvlJc w:val="left"/>
      <w:pPr>
        <w:ind w:left="3600" w:hanging="360"/>
      </w:pPr>
    </w:lvl>
    <w:lvl w:ilvl="5" w:tplc="B7BC4FBE">
      <w:start w:val="1"/>
      <w:numFmt w:val="bullet"/>
      <w:lvlText w:val="■"/>
      <w:lvlJc w:val="left"/>
      <w:pPr>
        <w:ind w:left="4320" w:hanging="360"/>
      </w:pPr>
    </w:lvl>
    <w:lvl w:ilvl="6" w:tplc="8EF0318C">
      <w:start w:val="1"/>
      <w:numFmt w:val="bullet"/>
      <w:lvlText w:val="●"/>
      <w:lvlJc w:val="left"/>
      <w:pPr>
        <w:ind w:left="5040" w:hanging="360"/>
      </w:pPr>
    </w:lvl>
    <w:lvl w:ilvl="7" w:tplc="46B64A72">
      <w:start w:val="1"/>
      <w:numFmt w:val="bullet"/>
      <w:lvlText w:val="●"/>
      <w:lvlJc w:val="left"/>
      <w:pPr>
        <w:ind w:left="5760" w:hanging="360"/>
      </w:pPr>
    </w:lvl>
    <w:lvl w:ilvl="8" w:tplc="6F1625E8">
      <w:start w:val="1"/>
      <w:numFmt w:val="bullet"/>
      <w:lvlText w:val="●"/>
      <w:lvlJc w:val="left"/>
      <w:pPr>
        <w:ind w:left="6480" w:hanging="360"/>
      </w:pPr>
    </w:lvl>
  </w:abstractNum>
  <w:num w:numId="1" w16cid:durableId="1061559264">
    <w:abstractNumId w:val="2"/>
    <w:lvlOverride w:ilvl="0">
      <w:startOverride w:val="1"/>
    </w:lvlOverride>
  </w:num>
  <w:num w:numId="2" w16cid:durableId="189145145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58"/>
    <w:rsid w:val="0008156C"/>
    <w:rsid w:val="00242726"/>
    <w:rsid w:val="003C1500"/>
    <w:rsid w:val="003E64AB"/>
    <w:rsid w:val="00784C58"/>
    <w:rsid w:val="00791D7A"/>
    <w:rsid w:val="009D7188"/>
    <w:rsid w:val="00A43432"/>
    <w:rsid w:val="00D3032F"/>
    <w:rsid w:val="00D359B5"/>
    <w:rsid w:val="00DD2D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E6C2280"/>
  <w15:docId w15:val="{A9428C38-1325-734B-ACCB-EFF0FAAB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20202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D9EAF7"/>
      </w:pBdr>
      <w:spacing w:before="280" w:after="100"/>
      <w:outlineLvl w:val="0"/>
    </w:pPr>
    <w:rPr>
      <w:rFonts w:ascii="Aptos Display" w:eastAsia="Aptos Display" w:hAnsi="Aptos Display" w:cs="Aptos Display"/>
      <w:b/>
      <w:bCs/>
      <w:color w:val="17365D"/>
      <w:sz w:val="29"/>
      <w:szCs w:val="29"/>
    </w:rPr>
  </w:style>
  <w:style w:type="paragraph" w:styleId="Heading2">
    <w:name w:val="heading 2"/>
    <w:uiPriority w:val="9"/>
    <w:unhideWhenUsed/>
    <w:qFormat/>
    <w:pPr>
      <w:keepNext/>
      <w:spacing w:before="200" w:after="80"/>
      <w:outlineLvl w:val="1"/>
    </w:pPr>
    <w:rPr>
      <w:b/>
      <w:bCs/>
      <w:color w:val="2F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outlineLvl w:val="0"/>
    </w:pPr>
    <w:rPr>
      <w:rFonts w:ascii="Aptos Display" w:eastAsia="Aptos Display" w:hAnsi="Aptos Display" w:cs="Aptos Display"/>
      <w:b/>
      <w:bCs/>
      <w:color w:val="17365D"/>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Del Taco Background Brief</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Subway Background Brief</dc:title>
  <dc:creator>Todd Vahlsing</dc:creator>
  <dc:description/>
  <cp:lastModifiedBy>Vahlsing, Todd</cp:lastModifiedBy>
  <cp:revision>4</cp:revision>
  <dcterms:created xsi:type="dcterms:W3CDTF">2026-09-04T14:57:00Z</dcterms:created>
  <dcterms:modified xsi:type="dcterms:W3CDTF">2026-09-04T15:33:00Z</dcterms:modified>
  <dc:subject>Account background and discovery preparation</dc:subject>
</cp:coreProperties>
</file>