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spacing w:after="160"/>
      </w:pPr>
      <w:r>
        <w:rPr>
          <w:sz w:val="48"/>
        </w:rPr>
        <w:t>Subway Background Brief</w:t>
      </w:r>
    </w:p>
    <w:p>
      <w:pPr>
        <w:spacing w:after="40"/>
      </w:pPr>
      <w:r>
        <w:rPr>
          <w:sz w:val="21"/>
        </w:rPr>
        <w:t>Prepared by: Todd Vahlsing</w:t>
      </w:r>
    </w:p>
    <w:p>
      <w:pPr>
        <w:spacing w:after="40"/>
      </w:pPr>
      <w:r>
        <w:rPr>
          <w:sz w:val="21"/>
        </w:rPr>
        <w:t>Purpose: Account background and discovery preparation</w:t>
      </w:r>
    </w:p>
    <w:p>
      <w:pPr>
        <w:spacing w:after="40"/>
      </w:pPr>
      <w:r>
        <w:rPr>
          <w:sz w:val="21"/>
        </w:rPr>
        <w:t>Current posture: Pre-engagement research and qualification — not yet a confirmed active opportunity</w:t>
      </w:r>
    </w:p>
    <w:p>
      <w:pPr>
        <w:pStyle w:val="Heading1"/>
        <w:spacing w:before="200" w:after="80"/>
      </w:pPr>
      <w:r>
        <w:rPr>
          <w:sz w:val="34"/>
        </w:rPr>
        <w:t>Executive Summary</w:t>
      </w:r>
    </w:p>
    <w:p>
      <w:pPr/>
      <w:r>
        <w:t>Subway is one of the world’s largest restaurant systems, with more than 35,000 independently owned and operated restaurants across more than 100 countries and territories. Roark completed its acquisition in April 2024, Jonathan Fitzpatrick became CEO in July 2025, and the current agenda combines franchisee profitability, restaurant modernization, digital growth, guest experience, and international expansion.</w:t>
      </w:r>
    </w:p>
    <w:p>
      <w:pPr/>
      <w:r>
        <w:t>Global Payments already has a credible enterprise foothold: Subway selected Genius kitchen-management software for approximately 2,500 locations. That creates a practical expansion path, but not a license to position a broad POS replacement. Internal reporting describes Subway’s POS as proprietary, while legacy ecosystem evidence identifies Oracle MICROS across a substantial U.S. footprint. That contradiction must be resolved before any platform narrative is used externally.</w:t>
      </w:r>
    </w:p>
    <w:p>
      <w:pPr/>
      <w:r>
        <w:t>The best near-term posture is to protect and learn from the Genius KDS deployment, establish access to Subway’s new technology and regional leadership, and identify specific operational or payments gaps created by a decentralized global franchise model. The opportunity should be framed around measurable franchisee economics, simpler operations, deployment consistency, and fewer integration points—not a generic consolidation pitch.</w:t>
      </w:r>
    </w:p>
    <w:p>
      <w:pPr>
        <w:pStyle w:val="Heading1"/>
        <w:spacing w:before="200" w:after="80"/>
      </w:pPr>
      <w:r>
        <w:rPr>
          <w:sz w:val="34"/>
        </w:rPr>
        <w:t>Brand Profile</w:t>
      </w:r>
    </w:p>
    <w:p>
      <w:pPr>
        <w:spacing w:after="0"/>
        <w:ind w:left="403" w:hanging="230"/>
      </w:pPr>
      <w:r>
        <w:rPr>
          <w:sz w:val="20"/>
        </w:rPr>
        <w:t>• Founded: 1965</w:t>
      </w:r>
    </w:p>
    <w:p>
      <w:pPr>
        <w:spacing w:after="0"/>
        <w:ind w:left="403" w:hanging="230"/>
      </w:pPr>
      <w:r>
        <w:rPr>
          <w:sz w:val="20"/>
        </w:rPr>
        <w:t>• Headquarters: Miami, Florida</w:t>
      </w:r>
    </w:p>
    <w:p>
      <w:pPr>
        <w:spacing w:after="0"/>
        <w:ind w:left="403" w:hanging="230"/>
      </w:pPr>
      <w:r>
        <w:rPr>
          <w:sz w:val="20"/>
        </w:rPr>
        <w:t>• Segment: Global quick-service restaurant / sandwiches</w:t>
      </w:r>
    </w:p>
    <w:p>
      <w:pPr>
        <w:spacing w:after="0"/>
        <w:ind w:left="403" w:hanging="230"/>
      </w:pPr>
      <w:r>
        <w:rPr>
          <w:sz w:val="20"/>
        </w:rPr>
        <w:t>• Footprint: More than 35,000 restaurants across more than 100 countries and territories</w:t>
      </w:r>
    </w:p>
    <w:p>
      <w:pPr>
        <w:spacing w:after="0"/>
        <w:ind w:left="403" w:hanging="230"/>
      </w:pPr>
      <w:r>
        <w:rPr>
          <w:sz w:val="20"/>
        </w:rPr>
        <w:t>• Ownership: Affiliates of Roark; acquisition completed April 30, 2024</w:t>
      </w:r>
    </w:p>
    <w:p>
      <w:pPr>
        <w:spacing w:after="0"/>
        <w:ind w:left="403" w:hanging="230"/>
      </w:pPr>
      <w:r>
        <w:rPr>
          <w:sz w:val="20"/>
        </w:rPr>
        <w:t>• Operating model: Independently operated restaurants owned by thousands of franchisees; international growth increasingly uses master franchise agreements</w:t>
      </w:r>
    </w:p>
    <w:p>
      <w:pPr>
        <w:spacing w:after="0"/>
        <w:ind w:left="403" w:hanging="230"/>
      </w:pPr>
      <w:r>
        <w:rPr>
          <w:sz w:val="20"/>
        </w:rPr>
        <w:t>• Strategic priorities: Franchisee profitability, modernization, digital growth, guest experience, operational efficiency, and international expansion</w:t>
      </w:r>
    </w:p>
    <w:p>
      <w:pPr>
        <w:pStyle w:val="Heading1"/>
        <w:spacing w:before="200" w:after="80"/>
      </w:pPr>
      <w:r>
        <w:rPr>
          <w:sz w:val="34"/>
        </w:rPr>
        <w:t>Current Business Situation</w:t>
      </w:r>
    </w:p>
    <w:p>
      <w:pPr/>
      <w:r>
        <w:t>Subway is moving through a leadership and ownership transition while continuing a multi-year transformation. Roark brought a franchise-focused owner with deep multi-unit restaurant experience. Fitzpatrick adds prior Burger King and Driven Brands operating experience. Asher Perlmutter’s technology and commercial remit explicitly joins technology, digital, data, commercial strategy, franchisee profitability, and guest experience.</w:t>
      </w:r>
    </w:p>
    <w:p>
      <w:pPr/>
      <w:r>
        <w:t>The system is also changing structurally. Subway has shifted toward larger, better-capitalized multi-unit operators and master franchise partners while continuing restaurant remodels and digital modernization. Recent market agreements emphasize kiosks, mobile ordering, loyalty, kitchen displays, and operational efficiency. This creates demand for scalable platforms, but regional ownership and franchisee economics will heavily influence adoption, standards, funding, and deployment speed.</w:t>
      </w:r>
    </w:p>
    <w:p>
      <w:pPr/>
      <w:r>
        <w:t>Internal account intelligence characterizes Subway as fractured, relationship-sensitive, global in scope, and not yet profitable for Worldpay. That makes it a high-value intelligence and expansion account, but not an easy short-cycle pursuit. The Genius KDS selection should be the anchor for discovery and proof—not evidence that the broader stack or payments estate is already consolidated.</w:t>
      </w:r>
    </w:p>
    <w:p>
      <w:pPr>
        <w:pStyle w:val="Heading1"/>
        <w:spacing w:before="200" w:after="80"/>
      </w:pPr>
      <w:r>
        <w:rPr>
          <w:sz w:val="34"/>
        </w:rPr>
        <w:t>Leadership</w:t>
      </w:r>
    </w:p>
    <w:p>
      <w:pPr>
        <w:pStyle w:val="Heading2"/>
        <w:spacing w:before="80" w:after="20"/>
      </w:pPr>
      <w:r>
        <w:rPr>
          <w:sz w:val="23"/>
        </w:rPr>
        <w:t>Confirmed</w:t>
      </w:r>
    </w:p>
    <w:p>
      <w:pPr>
        <w:spacing w:after="0"/>
        <w:ind w:left="403" w:hanging="230"/>
      </w:pPr>
      <w:r>
        <w:rPr>
          <w:sz w:val="20"/>
        </w:rPr>
        <w:t>• Jonathan Fitzpatrick — Chief Executive Officer. Leads the global system and brings more than two decades of franchising and QSR experience.</w:t>
      </w:r>
    </w:p>
    <w:p>
      <w:pPr>
        <w:spacing w:after="0"/>
        <w:ind w:left="403" w:hanging="230"/>
      </w:pPr>
      <w:r>
        <w:rPr>
          <w:sz w:val="20"/>
        </w:rPr>
        <w:t>• Asher Perlmutter — Chief Technology and Commercial Officer. Owns global technology, digital, data, and commercial strategies tied to franchisee profitability and guest experience.</w:t>
      </w:r>
    </w:p>
    <w:p>
      <w:pPr>
        <w:spacing w:after="0"/>
        <w:ind w:left="403" w:hanging="230"/>
      </w:pPr>
      <w:r>
        <w:rPr>
          <w:sz w:val="20"/>
        </w:rPr>
        <w:t>• Damien Harmon — President, North America. Accountable for regional growth, traffic, sales, and franchisee profitability.</w:t>
      </w:r>
    </w:p>
    <w:p>
      <w:pPr>
        <w:spacing w:after="0"/>
        <w:ind w:left="403" w:hanging="230"/>
      </w:pPr>
      <w:r>
        <w:rPr>
          <w:sz w:val="20"/>
        </w:rPr>
        <w:t>• Tracy Gehlan — President, Europe, the Middle East and Africa.</w:t>
      </w:r>
    </w:p>
    <w:p>
      <w:pPr>
        <w:spacing w:after="0"/>
        <w:ind w:left="403" w:hanging="230"/>
      </w:pPr>
      <w:r>
        <w:rPr>
          <w:sz w:val="20"/>
        </w:rPr>
        <w:t>• Joseph Hsu — President, Asia Pacific.</w:t>
      </w:r>
    </w:p>
    <w:p>
      <w:pPr>
        <w:spacing w:after="0"/>
        <w:ind w:left="403" w:hanging="230"/>
      </w:pPr>
      <w:r>
        <w:rPr>
          <w:sz w:val="20"/>
        </w:rPr>
        <w:t>• Artemio Garza — President, Latin America &amp; Caribbean.</w:t>
      </w:r>
    </w:p>
    <w:p>
      <w:pPr>
        <w:spacing w:after="0"/>
        <w:ind w:left="403" w:hanging="230"/>
      </w:pPr>
      <w:r>
        <w:rPr>
          <w:sz w:val="20"/>
        </w:rPr>
        <w:t>• Ben Selden — Chief Financial Officer.</w:t>
      </w:r>
    </w:p>
    <w:p>
      <w:pPr>
        <w:spacing w:after="0"/>
        <w:ind w:left="403" w:hanging="230"/>
      </w:pPr>
      <w:r>
        <w:rPr>
          <w:sz w:val="20"/>
        </w:rPr>
        <w:t>• Dennis Leone — Executive Vice President and Chief Legal Officer.</w:t>
      </w:r>
    </w:p>
    <w:p>
      <w:pPr>
        <w:spacing w:after="0"/>
        <w:ind w:left="403" w:hanging="230"/>
      </w:pPr>
      <w:r>
        <w:rPr>
          <w:sz w:val="20"/>
        </w:rPr>
        <w:t>• Miguel Piedra — Chief People &amp; Corporate Affairs Officer.</w:t>
      </w:r>
    </w:p>
    <w:p>
      <w:pPr>
        <w:pStyle w:val="Heading2"/>
        <w:spacing w:before="80" w:after="20"/>
      </w:pPr>
      <w:r>
        <w:rPr>
          <w:sz w:val="23"/>
        </w:rPr>
        <w:t>Internal Relationship and Access</w:t>
      </w:r>
    </w:p>
    <w:p>
      <w:pPr>
        <w:spacing w:after="0"/>
        <w:ind w:left="403" w:hanging="230"/>
      </w:pPr>
      <w:r>
        <w:rPr>
          <w:sz w:val="20"/>
        </w:rPr>
        <w:t>• Worldpay relationship management is the primary internal intelligence and access channel; confirm the current account owner’s name, spelling, scope, and regional coverage.</w:t>
      </w:r>
    </w:p>
    <w:p>
      <w:pPr>
        <w:spacing w:after="0"/>
        <w:ind w:left="403" w:hanging="230"/>
      </w:pPr>
      <w:r>
        <w:rPr>
          <w:sz w:val="20"/>
        </w:rPr>
        <w:t>• Ryan Hildebrand is a source for the proprietary-POS and Genius KDS report; reconcile it with the legacy Oracle MICROS evidence.</w:t>
      </w:r>
    </w:p>
    <w:p>
      <w:pPr>
        <w:spacing w:after="0"/>
        <w:ind w:left="403" w:hanging="230"/>
      </w:pPr>
      <w:r>
        <w:rPr>
          <w:sz w:val="20"/>
        </w:rPr>
        <w:t>• Confirm the Global Payments owner for the KDS deployment, implementation status, performance measures, customer commitments, and executive sponsor.</w:t>
      </w:r>
    </w:p>
    <w:p>
      <w:pPr>
        <w:pStyle w:val="Heading1"/>
        <w:spacing w:before="200" w:after="80"/>
      </w:pPr>
      <w:r>
        <w:rPr>
          <w:sz w:val="34"/>
        </w:rPr>
        <w:t>Technology Environment</w:t>
      </w:r>
    </w:p>
    <w:p>
      <w:pPr/>
      <w:r>
        <w:rPr>
          <w:i/>
        </w:rPr>
        <w:t>Status reflects the strongest evidence currently available. Regional and franchisee variation is expected.</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17365D"/>
            <w:tcMar>
              <w:top w:w="90" w:type="dxa"/>
              <w:start w:w="100" w:type="dxa"/>
              <w:bottom w:w="90" w:type="dxa"/>
              <w:end w:w="100" w:type="dxa"/>
            </w:tcMar>
          </w:tcPr>
          <w:p>
            <w:r>
              <w:rPr>
                <w:b/>
                <w:color w:val="FFFFFF"/>
              </w:rPr>
              <w:t>Layer</w:t>
            </w:r>
          </w:p>
        </w:tc>
        <w:tc>
          <w:tcPr>
            <w:tcW w:type="dxa" w:w="2016"/>
            <w:vAlign w:val="center"/>
            <w:shd w:fill="17365D"/>
            <w:tcMar>
              <w:top w:w="90" w:type="dxa"/>
              <w:start w:w="100" w:type="dxa"/>
              <w:bottom w:w="90" w:type="dxa"/>
              <w:end w:w="100" w:type="dxa"/>
            </w:tcMar>
          </w:tcPr>
          <w:p>
            <w:r>
              <w:rPr>
                <w:b/>
                <w:color w:val="FFFFFF"/>
              </w:rPr>
              <w:t>Vendor / Platform</w:t>
            </w:r>
          </w:p>
        </w:tc>
        <w:tc>
          <w:tcPr>
            <w:tcW w:type="dxa" w:w="2016"/>
            <w:vAlign w:val="center"/>
            <w:shd w:fill="17365D"/>
            <w:tcMar>
              <w:top w:w="90" w:type="dxa"/>
              <w:start w:w="100" w:type="dxa"/>
              <w:bottom w:w="90" w:type="dxa"/>
              <w:end w:w="100" w:type="dxa"/>
            </w:tcMar>
          </w:tcPr>
          <w:p>
            <w:r>
              <w:rPr>
                <w:b/>
                <w:color w:val="FFFFFF"/>
              </w:rPr>
              <w:t>Status</w:t>
            </w:r>
          </w:p>
        </w:tc>
        <w:tc>
          <w:tcPr>
            <w:tcW w:type="dxa" w:w="2016"/>
            <w:vAlign w:val="center"/>
            <w:shd w:fill="17365D"/>
            <w:tcMar>
              <w:top w:w="90" w:type="dxa"/>
              <w:start w:w="100" w:type="dxa"/>
              <w:bottom w:w="90" w:type="dxa"/>
              <w:end w:w="100" w:type="dxa"/>
            </w:tcMar>
          </w:tcPr>
          <w:p>
            <w:r>
              <w:rPr>
                <w:b/>
                <w:color w:val="FFFFFF"/>
              </w:rPr>
              <w:t>Confidence</w:t>
            </w:r>
          </w:p>
        </w:tc>
        <w:tc>
          <w:tcPr>
            <w:tcW w:type="dxa" w:w="2016"/>
            <w:vAlign w:val="center"/>
            <w:shd w:fill="17365D"/>
            <w:tcMar>
              <w:top w:w="90" w:type="dxa"/>
              <w:start w:w="100" w:type="dxa"/>
              <w:bottom w:w="90" w:type="dxa"/>
              <w:end w:w="100" w:type="dxa"/>
            </w:tcMar>
          </w:tcPr>
          <w:p>
            <w:r>
              <w:rPr>
                <w:b/>
                <w:color w:val="FFFFFF"/>
              </w:rPr>
              <w:t>As of</w:t>
            </w:r>
          </w:p>
        </w:tc>
      </w:tr>
      <w:tr>
        <w:trPr>
          <w:cantSplit/>
        </w:trPr>
        <w:tc>
          <w:tcPr>
            <w:tcW w:type="dxa" w:w="2016"/>
            <w:vAlign w:val="center"/>
            <w:tcMar>
              <w:top w:w="90" w:type="dxa"/>
              <w:start w:w="100" w:type="dxa"/>
              <w:bottom w:w="90" w:type="dxa"/>
              <w:end w:w="100" w:type="dxa"/>
            </w:tcMar>
          </w:tcPr>
          <w:p>
            <w:r>
              <w:t>Kitchen management / KDS</w:t>
            </w:r>
          </w:p>
        </w:tc>
        <w:tc>
          <w:tcPr>
            <w:tcW w:type="dxa" w:w="2016"/>
            <w:vAlign w:val="center"/>
            <w:tcMar>
              <w:top w:w="90" w:type="dxa"/>
              <w:start w:w="100" w:type="dxa"/>
              <w:bottom w:w="90" w:type="dxa"/>
              <w:end w:w="100" w:type="dxa"/>
            </w:tcMar>
          </w:tcPr>
          <w:p>
            <w:r>
              <w:t>Global Payments Genius</w:t>
            </w:r>
          </w:p>
        </w:tc>
        <w:tc>
          <w:tcPr>
            <w:tcW w:type="dxa" w:w="2016"/>
            <w:vAlign w:val="center"/>
            <w:tcMar>
              <w:top w:w="90" w:type="dxa"/>
              <w:start w:w="100" w:type="dxa"/>
              <w:bottom w:w="90" w:type="dxa"/>
              <w:end w:w="100" w:type="dxa"/>
            </w:tcMar>
          </w:tcPr>
          <w:p>
            <w:r>
              <w:t>Selected for approximately 2,500 locations; completion and market scope require confirmation</w:t>
            </w:r>
          </w:p>
        </w:tc>
        <w:tc>
          <w:tcPr>
            <w:tcW w:type="dxa" w:w="2016"/>
            <w:vAlign w:val="center"/>
            <w:tcMar>
              <w:top w:w="90" w:type="dxa"/>
              <w:start w:w="100" w:type="dxa"/>
              <w:bottom w:w="90" w:type="dxa"/>
              <w:end w:w="100" w:type="dxa"/>
            </w:tcMar>
          </w:tcPr>
          <w:p>
            <w:r>
              <w:t>High on selection; medium on deployment</w:t>
            </w:r>
          </w:p>
        </w:tc>
        <w:tc>
          <w:tcPr>
            <w:tcW w:type="dxa" w:w="2016"/>
            <w:vAlign w:val="center"/>
            <w:tcMar>
              <w:top w:w="90" w:type="dxa"/>
              <w:start w:w="100" w:type="dxa"/>
              <w:bottom w:w="90" w:type="dxa"/>
              <w:end w:w="100" w:type="dxa"/>
            </w:tcMar>
          </w:tcPr>
          <w:p>
            <w:r>
              <w:t>2026-08-29</w:t>
            </w:r>
          </w:p>
        </w:tc>
      </w:tr>
      <w:tr>
        <w:trPr>
          <w:cantSplit/>
        </w:trPr>
        <w:tc>
          <w:tcPr>
            <w:tcW w:type="dxa" w:w="2016"/>
            <w:vAlign w:val="center"/>
            <w:tcMar>
              <w:top w:w="90" w:type="dxa"/>
              <w:start w:w="100" w:type="dxa"/>
              <w:bottom w:w="90" w:type="dxa"/>
              <w:end w:w="100" w:type="dxa"/>
            </w:tcMar>
            <w:shd w:fill="F3F6FA"/>
          </w:tcPr>
          <w:p>
            <w:r>
              <w:t>POS</w:t>
            </w:r>
          </w:p>
        </w:tc>
        <w:tc>
          <w:tcPr>
            <w:tcW w:type="dxa" w:w="2016"/>
            <w:vAlign w:val="center"/>
            <w:tcMar>
              <w:top w:w="90" w:type="dxa"/>
              <w:start w:w="100" w:type="dxa"/>
              <w:bottom w:w="90" w:type="dxa"/>
              <w:end w:w="100" w:type="dxa"/>
            </w:tcMar>
            <w:shd w:fill="F3F6FA"/>
          </w:tcPr>
          <w:p>
            <w:r>
              <w:t>Proprietary platform</w:t>
            </w:r>
          </w:p>
        </w:tc>
        <w:tc>
          <w:tcPr>
            <w:tcW w:type="dxa" w:w="2016"/>
            <w:vAlign w:val="center"/>
            <w:tcMar>
              <w:top w:w="90" w:type="dxa"/>
              <w:start w:w="100" w:type="dxa"/>
              <w:bottom w:w="90" w:type="dxa"/>
              <w:end w:w="100" w:type="dxa"/>
            </w:tcMar>
            <w:shd w:fill="F3F6FA"/>
          </w:tcPr>
          <w:p>
            <w:r>
              <w:t>Reported internally; architecture, ownership, and footprint require validation</w:t>
            </w:r>
          </w:p>
        </w:tc>
        <w:tc>
          <w:tcPr>
            <w:tcW w:type="dxa" w:w="2016"/>
            <w:vAlign w:val="center"/>
            <w:tcMar>
              <w:top w:w="90" w:type="dxa"/>
              <w:start w:w="100" w:type="dxa"/>
              <w:bottom w:w="90" w:type="dxa"/>
              <w:end w:w="100" w:type="dxa"/>
            </w:tcMar>
            <w:shd w:fill="F3F6FA"/>
          </w:tcPr>
          <w:p>
            <w:r>
              <w:t>Medium</w:t>
            </w:r>
          </w:p>
        </w:tc>
        <w:tc>
          <w:tcPr>
            <w:tcW w:type="dxa" w:w="2016"/>
            <w:vAlign w:val="center"/>
            <w:tcMar>
              <w:top w:w="90" w:type="dxa"/>
              <w:start w:w="100" w:type="dxa"/>
              <w:bottom w:w="90" w:type="dxa"/>
              <w:end w:w="100" w:type="dxa"/>
            </w:tcMar>
            <w:shd w:fill="F3F6FA"/>
          </w:tcPr>
          <w:p>
            <w:r>
              <w:t>2026-07-28</w:t>
            </w:r>
          </w:p>
        </w:tc>
      </w:tr>
      <w:tr>
        <w:trPr>
          <w:cantSplit/>
        </w:trPr>
        <w:tc>
          <w:tcPr>
            <w:tcW w:type="dxa" w:w="2016"/>
            <w:vAlign w:val="center"/>
            <w:tcMar>
              <w:top w:w="90" w:type="dxa"/>
              <w:start w:w="100" w:type="dxa"/>
              <w:bottom w:w="90" w:type="dxa"/>
              <w:end w:w="100" w:type="dxa"/>
            </w:tcMar>
          </w:tcPr>
          <w:p>
            <w:r>
              <w:t>POS</w:t>
            </w:r>
          </w:p>
        </w:tc>
        <w:tc>
          <w:tcPr>
            <w:tcW w:type="dxa" w:w="2016"/>
            <w:vAlign w:val="center"/>
            <w:tcMar>
              <w:top w:w="90" w:type="dxa"/>
              <w:start w:w="100" w:type="dxa"/>
              <w:bottom w:w="90" w:type="dxa"/>
              <w:end w:w="100" w:type="dxa"/>
            </w:tcMar>
          </w:tcPr>
          <w:p>
            <w:r>
              <w:t>Oracle MICROS</w:t>
            </w:r>
          </w:p>
        </w:tc>
        <w:tc>
          <w:tcPr>
            <w:tcW w:type="dxa" w:w="2016"/>
            <w:vAlign w:val="center"/>
            <w:tcMar>
              <w:top w:w="90" w:type="dxa"/>
              <w:start w:w="100" w:type="dxa"/>
              <w:bottom w:w="90" w:type="dxa"/>
              <w:end w:w="100" w:type="dxa"/>
            </w:tcMar>
          </w:tcPr>
          <w:p>
            <w:r>
              <w:t>Legacy evidence indicates broad U.S. deployment; may be historical or market-specific</w:t>
            </w:r>
          </w:p>
        </w:tc>
        <w:tc>
          <w:tcPr>
            <w:tcW w:type="dxa" w:w="2016"/>
            <w:vAlign w:val="center"/>
            <w:tcMar>
              <w:top w:w="90" w:type="dxa"/>
              <w:start w:w="100" w:type="dxa"/>
              <w:bottom w:w="90" w:type="dxa"/>
              <w:end w:w="100" w:type="dxa"/>
            </w:tcMar>
          </w:tcPr>
          <w:p>
            <w:r>
              <w:t>Medium</w:t>
            </w:r>
          </w:p>
        </w:tc>
        <w:tc>
          <w:tcPr>
            <w:tcW w:type="dxa" w:w="2016"/>
            <w:vAlign w:val="center"/>
            <w:tcMar>
              <w:top w:w="90" w:type="dxa"/>
              <w:start w:w="100" w:type="dxa"/>
              <w:bottom w:w="90" w:type="dxa"/>
              <w:end w:w="100" w:type="dxa"/>
            </w:tcMar>
          </w:tcPr>
          <w:p>
            <w:r>
              <w:t>2026-08-01</w:t>
            </w:r>
          </w:p>
        </w:tc>
      </w:tr>
      <w:tr>
        <w:trPr>
          <w:cantSplit/>
        </w:trPr>
        <w:tc>
          <w:tcPr>
            <w:tcW w:type="dxa" w:w="2016"/>
            <w:vAlign w:val="center"/>
            <w:tcMar>
              <w:top w:w="90" w:type="dxa"/>
              <w:start w:w="100" w:type="dxa"/>
              <w:bottom w:w="90" w:type="dxa"/>
              <w:end w:w="100" w:type="dxa"/>
            </w:tcMar>
            <w:shd w:fill="F3F6FA"/>
          </w:tcPr>
          <w:p>
            <w:r>
              <w:t>Payments</w:t>
            </w:r>
          </w:p>
        </w:tc>
        <w:tc>
          <w:tcPr>
            <w:tcW w:type="dxa" w:w="2016"/>
            <w:vAlign w:val="center"/>
            <w:tcMar>
              <w:top w:w="90" w:type="dxa"/>
              <w:start w:w="100" w:type="dxa"/>
              <w:bottom w:w="90" w:type="dxa"/>
              <w:end w:w="100" w:type="dxa"/>
            </w:tcMar>
            <w:shd w:fill="F3F6FA"/>
          </w:tcPr>
          <w:p>
            <w:r>
              <w:t>Adyen</w:t>
            </w:r>
          </w:p>
        </w:tc>
        <w:tc>
          <w:tcPr>
            <w:tcW w:type="dxa" w:w="2016"/>
            <w:vAlign w:val="center"/>
            <w:tcMar>
              <w:top w:w="90" w:type="dxa"/>
              <w:start w:w="100" w:type="dxa"/>
              <w:bottom w:w="90" w:type="dxa"/>
              <w:end w:w="100" w:type="dxa"/>
            </w:tcMar>
            <w:shd w:fill="F3F6FA"/>
          </w:tcPr>
          <w:p>
            <w:r>
              <w:t>Announced as North America payments partner in 2020; current scope requires reverification</w:t>
            </w:r>
          </w:p>
        </w:tc>
        <w:tc>
          <w:tcPr>
            <w:tcW w:type="dxa" w:w="2016"/>
            <w:vAlign w:val="center"/>
            <w:tcMar>
              <w:top w:w="90" w:type="dxa"/>
              <w:start w:w="100" w:type="dxa"/>
              <w:bottom w:w="90" w:type="dxa"/>
              <w:end w:w="100" w:type="dxa"/>
            </w:tcMar>
            <w:shd w:fill="F3F6FA"/>
          </w:tcPr>
          <w:p>
            <w:r>
              <w:t>Medium</w:t>
            </w:r>
          </w:p>
        </w:tc>
        <w:tc>
          <w:tcPr>
            <w:tcW w:type="dxa" w:w="2016"/>
            <w:vAlign w:val="center"/>
            <w:tcMar>
              <w:top w:w="90" w:type="dxa"/>
              <w:start w:w="100" w:type="dxa"/>
              <w:bottom w:w="90" w:type="dxa"/>
              <w:end w:w="100" w:type="dxa"/>
            </w:tcMar>
            <w:shd w:fill="F3F6FA"/>
          </w:tcPr>
          <w:p>
            <w:r>
              <w:t>2020-01-28</w:t>
            </w:r>
          </w:p>
        </w:tc>
      </w:tr>
      <w:tr>
        <w:trPr>
          <w:cantSplit/>
        </w:trPr>
        <w:tc>
          <w:tcPr>
            <w:tcW w:type="dxa" w:w="2016"/>
            <w:vAlign w:val="center"/>
            <w:tcMar>
              <w:top w:w="90" w:type="dxa"/>
              <w:start w:w="100" w:type="dxa"/>
              <w:bottom w:w="90" w:type="dxa"/>
              <w:end w:w="100" w:type="dxa"/>
            </w:tcMar>
          </w:tcPr>
          <w:p>
            <w:r>
              <w:t>Payments</w:t>
            </w:r>
          </w:p>
        </w:tc>
        <w:tc>
          <w:tcPr>
            <w:tcW w:type="dxa" w:w="2016"/>
            <w:vAlign w:val="center"/>
            <w:tcMar>
              <w:top w:w="90" w:type="dxa"/>
              <w:start w:w="100" w:type="dxa"/>
              <w:bottom w:w="90" w:type="dxa"/>
              <w:end w:w="100" w:type="dxa"/>
            </w:tcMar>
          </w:tcPr>
          <w:p>
            <w:r>
              <w:t>Global Payments / Worldpay</w:t>
            </w:r>
          </w:p>
        </w:tc>
        <w:tc>
          <w:tcPr>
            <w:tcW w:type="dxa" w:w="2016"/>
            <w:vAlign w:val="center"/>
            <w:tcMar>
              <w:top w:w="90" w:type="dxa"/>
              <w:start w:w="100" w:type="dxa"/>
              <w:bottom w:w="90" w:type="dxa"/>
              <w:end w:w="100" w:type="dxa"/>
            </w:tcMar>
          </w:tcPr>
          <w:p>
            <w:r>
              <w:t>Significant internal relationship reported; exact regional and channel scope is unresolved</w:t>
            </w:r>
          </w:p>
        </w:tc>
        <w:tc>
          <w:tcPr>
            <w:tcW w:type="dxa" w:w="2016"/>
            <w:vAlign w:val="center"/>
            <w:tcMar>
              <w:top w:w="90" w:type="dxa"/>
              <w:start w:w="100" w:type="dxa"/>
              <w:bottom w:w="90" w:type="dxa"/>
              <w:end w:w="100" w:type="dxa"/>
            </w:tcMar>
          </w:tcPr>
          <w:p>
            <w:r>
              <w:t>Medium</w:t>
            </w:r>
          </w:p>
        </w:tc>
        <w:tc>
          <w:tcPr>
            <w:tcW w:type="dxa" w:w="2016"/>
            <w:vAlign w:val="center"/>
            <w:tcMar>
              <w:top w:w="90" w:type="dxa"/>
              <w:start w:w="100" w:type="dxa"/>
              <w:bottom w:w="90" w:type="dxa"/>
              <w:end w:w="100" w:type="dxa"/>
            </w:tcMar>
          </w:tcPr>
          <w:p>
            <w:r>
              <w:t>2026-08-05</w:t>
            </w:r>
          </w:p>
        </w:tc>
      </w:tr>
      <w:tr>
        <w:trPr>
          <w:cantSplit/>
        </w:trPr>
        <w:tc>
          <w:tcPr>
            <w:tcW w:type="dxa" w:w="2016"/>
            <w:vAlign w:val="center"/>
            <w:tcMar>
              <w:top w:w="90" w:type="dxa"/>
              <w:start w:w="100" w:type="dxa"/>
              <w:bottom w:w="90" w:type="dxa"/>
              <w:end w:w="100" w:type="dxa"/>
            </w:tcMar>
            <w:shd w:fill="F3F6FA"/>
          </w:tcPr>
          <w:p>
            <w:r>
              <w:t>Training LMS</w:t>
            </w:r>
          </w:p>
        </w:tc>
        <w:tc>
          <w:tcPr>
            <w:tcW w:type="dxa" w:w="2016"/>
            <w:vAlign w:val="center"/>
            <w:tcMar>
              <w:top w:w="90" w:type="dxa"/>
              <w:start w:w="100" w:type="dxa"/>
              <w:bottom w:w="90" w:type="dxa"/>
              <w:end w:w="100" w:type="dxa"/>
            </w:tcMar>
            <w:shd w:fill="F3F6FA"/>
          </w:tcPr>
          <w:p>
            <w:r>
              <w:t>Schoox / University of Subway</w:t>
            </w:r>
          </w:p>
        </w:tc>
        <w:tc>
          <w:tcPr>
            <w:tcW w:type="dxa" w:w="2016"/>
            <w:vAlign w:val="center"/>
            <w:tcMar>
              <w:top w:w="90" w:type="dxa"/>
              <w:start w:w="100" w:type="dxa"/>
              <w:bottom w:w="90" w:type="dxa"/>
              <w:end w:w="100" w:type="dxa"/>
            </w:tcMar>
            <w:shd w:fill="F3F6FA"/>
          </w:tcPr>
          <w:p>
            <w:r>
              <w:t>Global rollout announced in 2016; current status requires confirmation</w:t>
            </w:r>
          </w:p>
        </w:tc>
        <w:tc>
          <w:tcPr>
            <w:tcW w:type="dxa" w:w="2016"/>
            <w:vAlign w:val="center"/>
            <w:tcMar>
              <w:top w:w="90" w:type="dxa"/>
              <w:start w:w="100" w:type="dxa"/>
              <w:bottom w:w="90" w:type="dxa"/>
              <w:end w:w="100" w:type="dxa"/>
            </w:tcMar>
            <w:shd w:fill="F3F6FA"/>
          </w:tcPr>
          <w:p>
            <w:r>
              <w:t>Medium</w:t>
            </w:r>
          </w:p>
        </w:tc>
        <w:tc>
          <w:tcPr>
            <w:tcW w:type="dxa" w:w="2016"/>
            <w:vAlign w:val="center"/>
            <w:tcMar>
              <w:top w:w="90" w:type="dxa"/>
              <w:start w:w="100" w:type="dxa"/>
              <w:bottom w:w="90" w:type="dxa"/>
              <w:end w:w="100" w:type="dxa"/>
            </w:tcMar>
            <w:shd w:fill="F3F6FA"/>
          </w:tcPr>
          <w:p>
            <w:r>
              <w:t>2026-08-05</w:t>
            </w:r>
          </w:p>
        </w:tc>
      </w:tr>
      <w:tr>
        <w:trPr>
          <w:cantSplit/>
        </w:trPr>
        <w:tc>
          <w:tcPr>
            <w:tcW w:type="dxa" w:w="2016"/>
            <w:vAlign w:val="center"/>
            <w:tcMar>
              <w:top w:w="90" w:type="dxa"/>
              <w:start w:w="100" w:type="dxa"/>
              <w:bottom w:w="90" w:type="dxa"/>
              <w:end w:w="100" w:type="dxa"/>
            </w:tcMar>
          </w:tcPr>
          <w:p>
            <w:r>
              <w:t>Digital ordering / kiosks</w:t>
            </w:r>
          </w:p>
        </w:tc>
        <w:tc>
          <w:tcPr>
            <w:tcW w:type="dxa" w:w="2016"/>
            <w:vAlign w:val="center"/>
            <w:tcMar>
              <w:top w:w="90" w:type="dxa"/>
              <w:start w:w="100" w:type="dxa"/>
              <w:bottom w:w="90" w:type="dxa"/>
              <w:end w:w="100" w:type="dxa"/>
            </w:tcMar>
          </w:tcPr>
          <w:p>
            <w:r>
              <w:t>Vita Mojo and regional solutions</w:t>
            </w:r>
          </w:p>
        </w:tc>
        <w:tc>
          <w:tcPr>
            <w:tcW w:type="dxa" w:w="2016"/>
            <w:vAlign w:val="center"/>
            <w:tcMar>
              <w:top w:w="90" w:type="dxa"/>
              <w:start w:w="100" w:type="dxa"/>
              <w:bottom w:w="90" w:type="dxa"/>
              <w:end w:w="100" w:type="dxa"/>
            </w:tcMar>
          </w:tcPr>
          <w:p>
            <w:r>
              <w:t>Integrated kiosk, app, loyalty, and digital experience documented in selected European markets</w:t>
            </w:r>
          </w:p>
        </w:tc>
        <w:tc>
          <w:tcPr>
            <w:tcW w:type="dxa" w:w="2016"/>
            <w:vAlign w:val="center"/>
            <w:tcMar>
              <w:top w:w="90" w:type="dxa"/>
              <w:start w:w="100" w:type="dxa"/>
              <w:bottom w:w="90" w:type="dxa"/>
              <w:end w:w="100" w:type="dxa"/>
            </w:tcMar>
          </w:tcPr>
          <w:p>
            <w:r>
              <w:t>Medium</w:t>
            </w:r>
          </w:p>
        </w:tc>
        <w:tc>
          <w:tcPr>
            <w:tcW w:type="dxa" w:w="2016"/>
            <w:vAlign w:val="center"/>
            <w:tcMar>
              <w:top w:w="90" w:type="dxa"/>
              <w:start w:w="100" w:type="dxa"/>
              <w:bottom w:w="90" w:type="dxa"/>
              <w:end w:w="100" w:type="dxa"/>
            </w:tcMar>
          </w:tcPr>
          <w:p>
            <w:r>
              <w:t>2024-05-21</w:t>
            </w:r>
          </w:p>
        </w:tc>
      </w:tr>
    </w:tbl>
    <w:p>
      <w:pPr>
        <w:spacing w:after="0"/>
      </w:pPr>
    </w:p>
    <w:p>
      <w:pPr>
        <w:pStyle w:val="Heading1"/>
        <w:spacing w:before="200" w:after="80"/>
      </w:pPr>
      <w:r>
        <w:rPr>
          <w:sz w:val="34"/>
        </w:rPr>
        <w:t>Opportunity Assessment</w:t>
      </w:r>
    </w:p>
    <w:p>
      <w:pPr/>
      <w:r>
        <w:rPr>
          <w:i/>
        </w:rPr>
        <w:t>These are hypotheses, not confirmed opportunities.</w:t>
      </w:r>
    </w:p>
    <w:p>
      <w:pPr>
        <w:pStyle w:val="Heading2"/>
        <w:spacing w:before="80" w:after="20"/>
      </w:pPr>
      <w:r>
        <w:rPr>
          <w:sz w:val="23"/>
        </w:rPr>
        <w:t>Protect and expand the Genius KDS foothold</w:t>
      </w:r>
    </w:p>
    <w:p>
      <w:pPr/>
      <w:r>
        <w:t>Validate rollout health, adoption, operational outcomes, support experience, and executive sponsorship before identifying adjacent modules or markets.</w:t>
      </w:r>
    </w:p>
    <w:p>
      <w:pPr>
        <w:pStyle w:val="Heading2"/>
        <w:spacing w:before="80" w:after="20"/>
      </w:pPr>
      <w:r>
        <w:rPr>
          <w:sz w:val="23"/>
        </w:rPr>
        <w:t>Reduce complexity across a fragmented global estate</w:t>
      </w:r>
    </w:p>
    <w:p>
      <w:pPr/>
      <w:r>
        <w:t>Subway’s mix of franchisees, master franchisees, regional platforms, and legacy systems may create integration, reporting, support, and deployment inconsistencies. A credible opportunity exists only where Global Payments can demonstrate simpler operations and better unit economics without disrupting local requirements.</w:t>
      </w:r>
    </w:p>
    <w:p>
      <w:pPr>
        <w:pStyle w:val="Heading2"/>
        <w:spacing w:before="80" w:after="20"/>
      </w:pPr>
      <w:r>
        <w:rPr>
          <w:sz w:val="23"/>
        </w:rPr>
        <w:t>Payments and commerce rationalization</w:t>
      </w:r>
    </w:p>
    <w:p>
      <w:pPr/>
      <w:r>
        <w:t>The Adyen announcement, internal Worldpay relationship, and regional variation suggest a multi-provider environment. Discovery must determine actual acquiring, gateway, card-present, digital, and cross-border footprints before any consolidation proposal.</w:t>
      </w:r>
    </w:p>
    <w:p>
      <w:pPr>
        <w:pStyle w:val="Heading2"/>
        <w:spacing w:before="80" w:after="20"/>
      </w:pPr>
      <w:r>
        <w:rPr>
          <w:sz w:val="23"/>
        </w:rPr>
        <w:t>Modernization adjacencies</w:t>
      </w:r>
    </w:p>
    <w:p>
      <w:pPr/>
      <w:r>
        <w:t>Fresh Forward 2.0 and international development agreements support kiosks, mobile ordering, loyalty, kitchen displays, and guest-facing technology. Relevant adjacencies may include digital menu boards, payments, device management, kitchen workflow, and analytics—but each must address a documented problem.</w:t>
      </w:r>
    </w:p>
    <w:p>
      <w:pPr>
        <w:pStyle w:val="Heading1"/>
        <w:spacing w:before="200" w:after="80"/>
      </w:pPr>
      <w:r>
        <w:rPr>
          <w:sz w:val="34"/>
        </w:rPr>
        <w:t>Key Discovery Questions</w:t>
      </w:r>
    </w:p>
    <w:p>
      <w:pPr>
        <w:pStyle w:val="Heading2"/>
        <w:spacing w:before="80" w:after="20"/>
      </w:pPr>
      <w:r>
        <w:rPr>
          <w:sz w:val="23"/>
        </w:rPr>
        <w:t>Existing Genius Deployment</w:t>
      </w:r>
    </w:p>
    <w:p>
      <w:pPr>
        <w:spacing w:after="0"/>
        <w:ind w:left="403" w:hanging="230"/>
      </w:pPr>
      <w:r>
        <w:rPr>
          <w:sz w:val="20"/>
        </w:rPr>
        <w:t>• Which countries, franchise groups, and restaurant formats are included in the approximately 2,500-location KDS deployment?</w:t>
      </w:r>
    </w:p>
    <w:p>
      <w:pPr>
        <w:spacing w:after="0"/>
        <w:ind w:left="403" w:hanging="230"/>
      </w:pPr>
      <w:r>
        <w:rPr>
          <w:sz w:val="20"/>
        </w:rPr>
        <w:t>• How many locations are contracted, installed, live, and actively using the platform?</w:t>
      </w:r>
    </w:p>
    <w:p>
      <w:pPr>
        <w:spacing w:after="0"/>
        <w:ind w:left="403" w:hanging="230"/>
      </w:pPr>
      <w:r>
        <w:rPr>
          <w:sz w:val="20"/>
        </w:rPr>
        <w:t>• Who owns implementation, support, and executive sponsorship on both sides?</w:t>
      </w:r>
    </w:p>
    <w:p>
      <w:pPr>
        <w:spacing w:after="0"/>
        <w:ind w:left="403" w:hanging="230"/>
      </w:pPr>
      <w:r>
        <w:rPr>
          <w:sz w:val="20"/>
        </w:rPr>
        <w:t>• What success measures, performance results, and open issues exist?</w:t>
      </w:r>
    </w:p>
    <w:p>
      <w:pPr>
        <w:pStyle w:val="Heading2"/>
        <w:spacing w:before="80" w:after="20"/>
      </w:pPr>
      <w:r>
        <w:rPr>
          <w:sz w:val="23"/>
        </w:rPr>
        <w:t>POS and Architecture</w:t>
      </w:r>
    </w:p>
    <w:p>
      <w:pPr>
        <w:spacing w:after="0"/>
        <w:ind w:left="403" w:hanging="230"/>
      </w:pPr>
      <w:r>
        <w:rPr>
          <w:sz w:val="20"/>
        </w:rPr>
        <w:t>• Is Subway’s POS globally proprietary, regionally proprietary, or a common application running on third-party platforms?</w:t>
      </w:r>
    </w:p>
    <w:p>
      <w:pPr>
        <w:spacing w:after="0"/>
        <w:ind w:left="403" w:hanging="230"/>
      </w:pPr>
      <w:r>
        <w:rPr>
          <w:sz w:val="20"/>
        </w:rPr>
        <w:t>• What explains the conflict between the proprietary-POS report and Oracle MICROS evidence?</w:t>
      </w:r>
    </w:p>
    <w:p>
      <w:pPr>
        <w:spacing w:after="0"/>
        <w:ind w:left="403" w:hanging="230"/>
      </w:pPr>
      <w:r>
        <w:rPr>
          <w:sz w:val="20"/>
        </w:rPr>
        <w:t>• Which systems govern menu, pricing, orders, payments, loyalty, and restaurant reporting?</w:t>
      </w:r>
    </w:p>
    <w:p>
      <w:pPr>
        <w:pStyle w:val="Heading2"/>
        <w:spacing w:before="80" w:after="20"/>
      </w:pPr>
      <w:r>
        <w:rPr>
          <w:sz w:val="23"/>
        </w:rPr>
        <w:t>Payments</w:t>
      </w:r>
    </w:p>
    <w:p>
      <w:pPr>
        <w:spacing w:after="0"/>
        <w:ind w:left="403" w:hanging="230"/>
      </w:pPr>
      <w:r>
        <w:rPr>
          <w:sz w:val="20"/>
        </w:rPr>
        <w:t>• What are the current roles of Worldpay/Global Payments and Adyen by region, channel, and franchise group?</w:t>
      </w:r>
    </w:p>
    <w:p>
      <w:pPr>
        <w:spacing w:after="0"/>
        <w:ind w:left="403" w:hanging="230"/>
      </w:pPr>
      <w:r>
        <w:rPr>
          <w:sz w:val="20"/>
        </w:rPr>
        <w:t>• Where are the acquiring, gateway, card-present, digital-wallet, and cross-border gaps?</w:t>
      </w:r>
    </w:p>
    <w:p>
      <w:pPr>
        <w:spacing w:after="0"/>
        <w:ind w:left="403" w:hanging="230"/>
      </w:pPr>
      <w:r>
        <w:rPr>
          <w:sz w:val="20"/>
        </w:rPr>
        <w:t>• Which commercial and settlement decisions are centralized versus franchisee-controlled?</w:t>
      </w:r>
    </w:p>
    <w:p>
      <w:pPr>
        <w:spacing w:after="0"/>
        <w:ind w:left="403" w:hanging="230"/>
      </w:pPr>
      <w:r>
        <w:rPr>
          <w:sz w:val="20"/>
        </w:rPr>
        <w:t>• What specifically prevents the Worldpay relationship from being profitable today?</w:t>
      </w:r>
    </w:p>
    <w:p>
      <w:pPr>
        <w:pStyle w:val="Heading2"/>
        <w:spacing w:before="80" w:after="20"/>
      </w:pPr>
      <w:r>
        <w:rPr>
          <w:sz w:val="23"/>
        </w:rPr>
        <w:t>Business and Buying Process</w:t>
      </w:r>
    </w:p>
    <w:p>
      <w:pPr>
        <w:spacing w:after="0"/>
        <w:ind w:left="403" w:hanging="230"/>
      </w:pPr>
      <w:r>
        <w:rPr>
          <w:sz w:val="20"/>
        </w:rPr>
        <w:t>• What are Fitzpatrick’s and Perlmutter’s first-year priorities for technology, operations, and franchisee profitability?</w:t>
      </w:r>
    </w:p>
    <w:p>
      <w:pPr>
        <w:spacing w:after="0"/>
        <w:ind w:left="403" w:hanging="230"/>
      </w:pPr>
      <w:r>
        <w:rPr>
          <w:sz w:val="20"/>
        </w:rPr>
        <w:t>• How are Roark and Subway balancing global standards with regional and franchisee autonomy?</w:t>
      </w:r>
    </w:p>
    <w:p>
      <w:pPr>
        <w:spacing w:after="0"/>
        <w:ind w:left="403" w:hanging="230"/>
      </w:pPr>
      <w:r>
        <w:rPr>
          <w:sz w:val="20"/>
        </w:rPr>
        <w:t>• Which decisions sit with corporate, regional presidents, master franchisees, purchasing cooperatives, or operators?</w:t>
      </w:r>
    </w:p>
    <w:p>
      <w:pPr>
        <w:spacing w:after="0"/>
        <w:ind w:left="403" w:hanging="230"/>
      </w:pPr>
      <w:r>
        <w:rPr>
          <w:sz w:val="20"/>
        </w:rPr>
        <w:t>• What funding, ROI, and deployment thresholds must a new platform meet?</w:t>
      </w:r>
    </w:p>
    <w:p>
      <w:pPr>
        <w:pStyle w:val="Heading2"/>
        <w:spacing w:before="80" w:after="20"/>
      </w:pPr>
      <w:r>
        <w:rPr>
          <w:sz w:val="23"/>
        </w:rPr>
        <w:t>Modernization and Expansion</w:t>
      </w:r>
    </w:p>
    <w:p>
      <w:pPr>
        <w:spacing w:after="0"/>
        <w:ind w:left="403" w:hanging="230"/>
      </w:pPr>
      <w:r>
        <w:rPr>
          <w:sz w:val="20"/>
        </w:rPr>
        <w:t>• Which Fresh Forward 2.0 components are mandatory, optional, piloted, or region-specific?</w:t>
      </w:r>
    </w:p>
    <w:p>
      <w:pPr>
        <w:spacing w:after="0"/>
        <w:ind w:left="403" w:hanging="230"/>
      </w:pPr>
      <w:r>
        <w:rPr>
          <w:sz w:val="20"/>
        </w:rPr>
        <w:t>• How are kiosks, mobile ordering, loyalty, KDS, and digital menu boards being standardized?</w:t>
      </w:r>
    </w:p>
    <w:p>
      <w:pPr>
        <w:spacing w:after="0"/>
        <w:ind w:left="403" w:hanging="230"/>
      </w:pPr>
      <w:r>
        <w:rPr>
          <w:sz w:val="20"/>
        </w:rPr>
        <w:t>• Where do master franchise agreements create near-term openings for technology or payments change?</w:t>
      </w:r>
    </w:p>
    <w:p>
      <w:pPr>
        <w:pStyle w:val="Heading1"/>
        <w:spacing w:before="200" w:after="80"/>
      </w:pPr>
      <w:r>
        <w:rPr>
          <w:sz w:val="34"/>
        </w:rPr>
        <w:t>Risks and Cautions</w:t>
      </w:r>
    </w:p>
    <w:p>
      <w:pPr>
        <w:spacing w:after="0"/>
        <w:ind w:left="403" w:hanging="230"/>
      </w:pPr>
      <w:r>
        <w:rPr>
          <w:sz w:val="20"/>
        </w:rPr>
        <w:t>• Do not position Subway as a generic POS displacement target until the proprietary-POS and Oracle evidence is reconciled.</w:t>
      </w:r>
    </w:p>
    <w:p>
      <w:pPr>
        <w:spacing w:after="0"/>
        <w:ind w:left="403" w:hanging="230"/>
      </w:pPr>
      <w:r>
        <w:rPr>
          <w:sz w:val="20"/>
        </w:rPr>
        <w:t>• Do not treat a KDS selection as proof of completed deployment, payments scope, or broad Genius adoption.</w:t>
      </w:r>
    </w:p>
    <w:p>
      <w:pPr>
        <w:spacing w:after="0"/>
        <w:ind w:left="403" w:hanging="230"/>
      </w:pPr>
      <w:r>
        <w:rPr>
          <w:sz w:val="20"/>
        </w:rPr>
        <w:t>• Regional and franchisee variation may materially change buyers, economics, integrations, and vendors.</w:t>
      </w:r>
    </w:p>
    <w:p>
      <w:pPr>
        <w:spacing w:after="0"/>
        <w:ind w:left="403" w:hanging="230"/>
      </w:pPr>
      <w:r>
        <w:rPr>
          <w:sz w:val="20"/>
        </w:rPr>
        <w:t>• The Worldpay relationship is strategically important but reportedly not yet profitable; understand the economics before proposing expansion.</w:t>
      </w:r>
    </w:p>
    <w:p>
      <w:pPr>
        <w:spacing w:after="0"/>
        <w:ind w:left="403" w:hanging="230"/>
      </w:pPr>
      <w:r>
        <w:rPr>
          <w:sz w:val="20"/>
        </w:rPr>
        <w:t>• Leadership transition creates access opportunities but also changing priorities and internal ownership ambiguity.</w:t>
      </w:r>
    </w:p>
    <w:p>
      <w:pPr>
        <w:spacing w:after="0"/>
        <w:ind w:left="403" w:hanging="230"/>
      </w:pPr>
      <w:r>
        <w:rPr>
          <w:sz w:val="20"/>
        </w:rPr>
        <w:t>• Several technology records are historical or internally reported and require fresh customer-side verification.</w:t>
      </w:r>
    </w:p>
    <w:p>
      <w:pPr>
        <w:pStyle w:val="Heading1"/>
        <w:spacing w:before="200" w:after="80"/>
      </w:pPr>
      <w:r>
        <w:rPr>
          <w:sz w:val="34"/>
        </w:rPr>
        <w:t>Recommended Engagement Strategy</w:t>
      </w:r>
    </w:p>
    <w:p>
      <w:pPr/>
      <w:r>
        <w:t>Lead with the installed Genius KDS relationship and a disciplined fact-finding motion. First align internally on ownership, deployment scope, relationship history, economics, support performance, and customer commitments. Then use the Worldpay relationship to seek a coordinated conversation with the appropriate Subway technology and regional stakeholders.</w:t>
      </w:r>
    </w:p>
    <w:p>
      <w:pPr/>
      <w:r>
        <w:t>Focus the customer narrative on franchisee profitability and operational consistency: fewer integration points, reliable execution, measurable labor or throughput improvement, and payments economics that can reduce modernization cost. Keep the posture problem-led and region-aware. Earn the right to discuss adjacent capabilities through evidence from the KDS rollout rather than a broad replacement thesis.</w:t>
      </w:r>
    </w:p>
    <w:p>
      <w:pPr>
        <w:pStyle w:val="Heading1"/>
        <w:spacing w:before="200" w:after="80"/>
      </w:pPr>
      <w:r>
        <w:rPr>
          <w:sz w:val="34"/>
        </w:rPr>
        <w:t>Immediate Actions</w:t>
      </w:r>
    </w:p>
    <w:p>
      <w:pPr>
        <w:spacing w:after="0"/>
        <w:ind w:left="403" w:hanging="230"/>
      </w:pPr>
      <w:r>
        <w:rPr>
          <w:sz w:val="20"/>
        </w:rPr>
        <w:t>• Convene an internal Subway reconciliation with the Worldpay relationship owner, Ryan Hildebrand, and the Genius KDS owner.</w:t>
      </w:r>
    </w:p>
    <w:p>
      <w:pPr>
        <w:spacing w:after="0"/>
        <w:ind w:left="403" w:hanging="230"/>
      </w:pPr>
      <w:r>
        <w:rPr>
          <w:sz w:val="20"/>
        </w:rPr>
        <w:t>• Produce a one-page deployment fact base: contracted and live locations, markets, sponsors, integrations, hardware, support, outcomes, and commitments.</w:t>
      </w:r>
    </w:p>
    <w:p>
      <w:pPr>
        <w:spacing w:after="0"/>
        <w:ind w:left="403" w:hanging="230"/>
      </w:pPr>
      <w:r>
        <w:rPr>
          <w:sz w:val="20"/>
        </w:rPr>
        <w:t>• Resolve the proprietary POS versus Oracle MICROS contradiction by region.</w:t>
      </w:r>
    </w:p>
    <w:p>
      <w:pPr>
        <w:spacing w:after="0"/>
        <w:ind w:left="403" w:hanging="230"/>
      </w:pPr>
      <w:r>
        <w:rPr>
          <w:sz w:val="20"/>
        </w:rPr>
        <w:t>• Map payments by region and channel, including the roles of Worldpay/Global Payments and Adyen.</w:t>
      </w:r>
    </w:p>
    <w:p>
      <w:pPr>
        <w:spacing w:after="0"/>
        <w:ind w:left="403" w:hanging="230"/>
      </w:pPr>
      <w:r>
        <w:rPr>
          <w:sz w:val="20"/>
        </w:rPr>
        <w:t>• Build a stakeholder map centered on Fitzpatrick, Perlmutter, Harmon, the regional presidents, and KDS operational owners.</w:t>
      </w:r>
    </w:p>
    <w:p>
      <w:pPr>
        <w:spacing w:after="0"/>
        <w:ind w:left="403" w:hanging="230"/>
      </w:pPr>
      <w:r>
        <w:rPr>
          <w:sz w:val="20"/>
        </w:rPr>
        <w:t>• Define the first customer-facing hypothesis around one measurable KDS, payments, or modernization problem—not a full-platform pitch.</w:t>
      </w:r>
    </w:p>
    <w:p>
      <w:pPr>
        <w:pStyle w:val="Heading1"/>
        <w:spacing w:before="200" w:after="80"/>
      </w:pPr>
      <w:r>
        <w:rPr>
          <w:sz w:val="34"/>
        </w:rPr>
        <w:t>Bottom Line</w:t>
      </w:r>
    </w:p>
    <w:p>
      <w:pPr/>
      <w:r>
        <w:t>Subway is strategically important because Global Payments already has a meaningful Genius KDS entry point inside one of the world’s largest and most complex franchise systems. The near-term job is not to force a POS pursuit. It is to turn the KDS deployment into verified proof, reconcile the technology and payments estate, and use Worldpay access to identify a specific problem where Global Payments can improve franchisee economics or execution. With that clarity, Subway can become a major multi-product opportunity; without it, broad outreach risks confusion and credibility loss.</w:t>
      </w:r>
    </w:p>
    <w:p>
      <w:pPr>
        <w:pStyle w:val="Heading1"/>
        <w:spacing w:before="200" w:after="80"/>
      </w:pPr>
      <w:r>
        <w:rPr>
          <w:sz w:val="34"/>
        </w:rPr>
        <w:t>Research and Internal Intelligence Sources</w:t>
      </w:r>
    </w:p>
    <w:p>
      <w:pPr>
        <w:spacing w:after="0"/>
        <w:ind w:left="403" w:hanging="230"/>
      </w:pPr>
      <w:r>
        <w:rPr>
          <w:sz w:val="20"/>
        </w:rPr>
        <w:t>• Subway Newsroom — Leadership and biographies: https://newsroom.subway.com/Leadership</w:t>
      </w:r>
    </w:p>
    <w:p>
      <w:pPr>
        <w:spacing w:after="0"/>
        <w:ind w:left="403" w:hanging="230"/>
      </w:pPr>
      <w:r>
        <w:rPr>
          <w:sz w:val="20"/>
        </w:rPr>
        <w:t>• Subway Newsroom — “Subway Sale to Roark is Complete,” April 30, 2024: https://newsroom.subway.com/2024-04-30-Subway-R-Sale-to-Roark-is-Complete</w:t>
      </w:r>
    </w:p>
    <w:p>
      <w:pPr>
        <w:spacing w:after="0"/>
        <w:ind w:left="403" w:hanging="230"/>
      </w:pPr>
      <w:r>
        <w:rPr>
          <w:sz w:val="20"/>
        </w:rPr>
        <w:t>• Subway Newsroom — Asher Perlmutter biography: https://newsroom.subway.com/Asher-Perlmutter</w:t>
      </w:r>
    </w:p>
    <w:p>
      <w:pPr>
        <w:spacing w:after="0"/>
        <w:ind w:left="403" w:hanging="230"/>
      </w:pPr>
      <w:r>
        <w:rPr>
          <w:sz w:val="20"/>
        </w:rPr>
        <w:t>• Subway Newsroom — 2026 global company profile: https://newsroom.subway.com/</w:t>
      </w:r>
    </w:p>
    <w:p>
      <w:pPr>
        <w:spacing w:after="0"/>
        <w:ind w:left="403" w:hanging="230"/>
      </w:pPr>
      <w:r>
        <w:rPr>
          <w:sz w:val="20"/>
        </w:rPr>
        <w:t>• Subway Newsroom — Panama growth and modernization agreement, March 5, 2026: https://newsroom.subway.com/Press-Releases?item=122565</w:t>
      </w:r>
    </w:p>
    <w:p>
      <w:pPr>
        <w:spacing w:after="0"/>
        <w:ind w:left="403" w:hanging="230"/>
      </w:pPr>
      <w:r>
        <w:rPr>
          <w:sz w:val="20"/>
        </w:rPr>
        <w:t>• Subway EMEA Newsroom — integrated digital experience and kiosks, May 21, 2024: https://emea.newsroom.subway.com/Press-Releases?item=122591</w:t>
      </w:r>
    </w:p>
    <w:p>
      <w:pPr>
        <w:spacing w:after="0"/>
        <w:ind w:left="403" w:hanging="230"/>
      </w:pPr>
      <w:r>
        <w:rPr>
          <w:sz w:val="20"/>
        </w:rPr>
        <w:t>• Subway Newsroom — U.S. franchise development strategy, May 26, 2022: https://newsroom.subway.com/2022-05-26-Subway-Focuses-on-New-U-S-Franchise-Development-Strategy-as-Part-of-Multi-Year-Transformation-Journey</w:t>
      </w:r>
    </w:p>
    <w:p>
      <w:pPr>
        <w:spacing w:after="0"/>
        <w:ind w:left="403" w:hanging="230"/>
      </w:pPr>
      <w:r>
        <w:rPr>
          <w:sz w:val="20"/>
        </w:rPr>
        <w:t>• Retained Global Payments earnings evidence — Genius KDS selection for approximately 2,500 locations.</w:t>
      </w:r>
    </w:p>
    <w:p>
      <w:pPr>
        <w:spacing w:after="0"/>
        <w:ind w:left="403" w:hanging="230"/>
      </w:pPr>
      <w:r>
        <w:rPr>
          <w:sz w:val="20"/>
        </w:rPr>
        <w:t>• Adyen announcement, January 28, 2020: https://www.prnewswire.com/news-releases/subway-restaurants-partners-with-adyen-to-advance-its-payment-experience-in-north-america-locations-300994192.html</w:t>
      </w:r>
    </w:p>
    <w:p>
      <w:pPr>
        <w:spacing w:after="0"/>
        <w:ind w:left="403" w:hanging="230"/>
      </w:pPr>
      <w:r>
        <w:rPr>
          <w:sz w:val="20"/>
        </w:rPr>
        <w:t>• Schoox announcement and retained evidence: https://www.schoox.com/news-press/subway-new-training-university-launched-globally/</w:t>
      </w:r>
    </w:p>
    <w:p>
      <w:pPr>
        <w:spacing w:after="0"/>
        <w:ind w:left="403" w:hanging="230"/>
      </w:pPr>
      <w:r>
        <w:rPr>
          <w:sz w:val="20"/>
        </w:rPr>
        <w:t>• Internal account intelligence dated July 23 and July 28, 2026.</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3C423" w14:textId="77777777" w:rsidR="0008156C" w:rsidRDefault="0008156C">
      <w:r>
        <w:separator/>
      </w:r>
    </w:p>
  </w:endnote>
  <w:endnote w:type="continuationSeparator" w:id="0">
    <w:p w14:paraId="17666B94" w14:textId="77777777" w:rsidR="0008156C" w:rsidRDefault="0008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D0537"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11,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6E4AD" w14:textId="77777777" w:rsidR="0008156C" w:rsidRDefault="0008156C">
      <w:r>
        <w:separator/>
      </w:r>
    </w:p>
  </w:footnote>
  <w:footnote w:type="continuationSeparator" w:id="0">
    <w:p w14:paraId="08337347" w14:textId="77777777" w:rsidR="0008156C" w:rsidRDefault="0008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1FB19" w14:textId="77777777" w:rsidR="00784C58" w:rsidRDefault="00000000">
    <w:pPr>
      <w:pBdr>
        <w:bottom w:val="single" w:sz="4" w:space="4" w:color="D9E2F3"/>
      </w:pBdr>
    </w:pPr>
    <w:r>
      <w:rPr>
        <w:b/>
        <w:bCs/>
        <w:color w:val="666666"/>
        <w:sz w:val="16"/>
        <w:szCs w:val="16"/>
      </w:rPr>
      <w:t xml:space="preserve">SUBWAY  |</w:t>
    </w:r>
    <w:proofErr w:type="gramStart"/>
    <w:r>
      <w:rPr>
        <w:b/>
        <w:bCs/>
        <w:color w:val="666666"/>
        <w:sz w:val="16"/>
        <w:szCs w:val="16"/>
      </w:rPr>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08156C"/>
    <w:rsid w:val="00242726"/>
    <w:rsid w:val="003C1500"/>
    <w:rsid w:val="003E64AB"/>
    <w:rsid w:val="00784C58"/>
    <w:rsid w:val="00791D7A"/>
    <w:rsid w:val="009D7188"/>
    <w:rsid w:val="00A43432"/>
    <w:rsid w:val="00D3032F"/>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6C2280"/>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Del Taco Background Brief</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Background Brief</dc:title>
  <dc:creator>Todd Vahlsing</dc:creator>
  <dc:description/>
  <cp:lastModifiedBy>Vahlsing, Todd</cp:lastModifiedBy>
  <cp:revision>4</cp:revision>
  <dcterms:created xsi:type="dcterms:W3CDTF">2026-09-04T14:57:00Z</dcterms:created>
  <dcterms:modified xsi:type="dcterms:W3CDTF">2026-09-04T15:33:00Z</dcterms:modified>
  <dc:subject>Account background and discovery preparation</dc:subject>
</cp:coreProperties>
</file>