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Subway Account Background Brief</w:t>
      </w:r>
    </w:p>
    <w:p>
      <w:pPr/>
      <w:r>
        <w:t>Date: September 15, 2026</w:t>
      </w:r>
    </w:p>
    <w:p>
      <w:pPr/>
      <w:r>
        <w:t>Audience: Internal account and RFP team</w:t>
      </w:r>
    </w:p>
    <w:p>
      <w:pPr/>
      <w:r>
        <w:t>Purpose: Account background and RFP preparation</w:t>
      </w:r>
    </w:p>
    <w:p>
      <w:pPr>
        <w:pStyle w:val="Heading1"/>
      </w:pPr>
      <w:r>
        <w:t>Executive Summary</w:t>
      </w:r>
    </w:p>
    <w:p>
      <w:pPr/>
      <w:r>
        <w:t xml:space="preserve">Subway is a major global restaurant system with more than 35,000 independently operated locations. The commercial opportunity is large, but the buying system is complex: Subway headquarters sets many U.S. technology standards, thousands of franchisees operate the stores and bear costs, and international master franchisees may control regional rollout. The most important question for any technology proposal is who chooses the standard, who pays the bill, and which store-level problem the investment solves. </w:t>
      </w:r>
      <w:hyperlink r:id="rId11">
        <w:r>
          <w:rPr>
            <w:color w:val="365F91"/>
            <w:u w:val="single"/>
          </w:rPr>
          <w:t>Subway company profile</w:t>
        </w:r>
      </w:hyperlink>
      <w:r>
        <w:t xml:space="preserve">; </w:t>
      </w:r>
      <w:hyperlink r:id="rId12">
        <w:r>
          <w:rPr>
            <w:color w:val="365F91"/>
            <w:u w:val="single"/>
          </w:rPr>
          <w:t>Subway 2024 U.S. FDD</w:t>
        </w:r>
      </w:hyperlink>
      <w:r>
        <w:t>.</w:t>
      </w:r>
    </w:p>
    <w:p>
      <w:pPr/>
      <w:r>
        <w:t xml:space="preserve">The September 2026 North America Connected Restaurant Technology Program RFP permits partial bids across kiosk/KDS hardware and software, installation and managed services, and digital menu boards. The Kiosk/KDS workbook gives a planning ceiling of 5,000 U.S. restaurants and three kiosks per restaurant; its 2026 phasing differs between a requirement row (approximately 25 stores) and the instructions (approximately 200), while both point to approximately 4,800 in 2027. This discrepancy needs formal clarification. The response deadline is September 22, 2026, and vendor questions are due through Subway's prescribed form by 4:00 p.m. ET on September 15. The account team characterizes Subway as highly price sensitive. Public economics support a careful per-store commercial model: the U.S. estate has contracted, QSR estimates average sales per unit at about $490,000 in 2025, and Subway's U.S. franchise document requires a combined 12.5% royalty and advertising charge on gross sales before store operating costs. The franchisor itself can remain profitable while operators face pressure. Subway RFP Enclosures 1–3 and 5, September 2026; </w:t>
      </w:r>
      <w:hyperlink r:id="rId13">
        <w:r>
          <w:rPr>
            <w:color w:val="365F91"/>
            <w:u w:val="single"/>
          </w:rPr>
          <w:t>QSR 50 2026</w:t>
        </w:r>
      </w:hyperlink>
      <w:r>
        <w:t xml:space="preserve">; </w:t>
      </w:r>
      <w:hyperlink r:id="rId12">
        <w:r>
          <w:rPr>
            <w:color w:val="365F91"/>
            <w:u w:val="single"/>
          </w:rPr>
          <w:t>Subway 2024 U.S. FDD</w:t>
        </w:r>
      </w:hyperlink>
      <w:r>
        <w:t>.</w:t>
      </w:r>
    </w:p>
    <w:p>
      <w:pPr/>
      <w:r>
        <w:t xml:space="preserve">The prior internal account brief reported that Subway selected Genius kitchen-management software for approximately 2,500 locations. The signed, installed, live, and referenceable counts remain unverified. Internal account history indicates that PAR lost a major Subway hardware business around 2000–01, when Dave Richards was reportedly told at Subway headquarters that PAR was out; Subway used its own software. HP has been recalled as a possible winner, but that outcome has not been verified. Later PAR filings show Subway-related hardware, services, and POS-product business, so the history needs a chronology rather than a simple incumbent label. </w:t>
      </w:r>
      <w:r>
        <w:t>Archived internal Subway brief</w:t>
      </w:r>
      <w:r>
        <w:t xml:space="preserve">; </w:t>
      </w:r>
      <w:hyperlink r:id="rId14">
        <w:r>
          <w:rPr>
            <w:color w:val="365F91"/>
            <w:u w:val="single"/>
          </w:rPr>
          <w:t>PAR 2014 Form 10-K</w:t>
        </w:r>
      </w:hyperlink>
      <w:r>
        <w:t xml:space="preserve">; </w:t>
      </w:r>
      <w:hyperlink r:id="rId15">
        <w:r>
          <w:rPr>
            <w:color w:val="365F91"/>
            <w:u w:val="single"/>
          </w:rPr>
          <w:t>PAR 2018 Form 10-K</w:t>
        </w:r>
      </w:hyperlink>
      <w:r>
        <w:t>.</w:t>
      </w:r>
    </w:p>
    <w:p>
      <w:pPr>
        <w:pStyle w:val="Heading1"/>
      </w:pPr>
      <w:r>
        <w:t>Brand Profile</w:t>
      </w:r>
    </w:p>
    <w:p>
      <w:pPr/>
      <w:r>
        <w:t xml:space="preserve">Subway was founded in 1965 and maintains dual headquarters in Shelton, Connecticut, and Miami, Florida. Affiliates of Roark completed their acquisition on April 30, 2024. Subway says its restaurants are independently owned and operated by thousands of franchisees in more than 100 countries and territories. Its current company profile describes more than 35,000 locations worldwide. The international development strategy increasingly uses master-franchise partners. A December 2025 Subway announcement said more than 25 agreements signed in four years represented over 10,000 future restaurant commitments; commitments should not be treated as open stores or near-term equipment orders. </w:t>
      </w:r>
      <w:hyperlink r:id="rId16">
        <w:r>
          <w:rPr>
            <w:color w:val="365F91"/>
            <w:u w:val="single"/>
          </w:rPr>
          <w:t>Subway sale announcement</w:t>
        </w:r>
      </w:hyperlink>
      <w:r>
        <w:t xml:space="preserve">; </w:t>
      </w:r>
      <w:hyperlink r:id="rId11">
        <w:r>
          <w:rPr>
            <w:color w:val="365F91"/>
            <w:u w:val="single"/>
          </w:rPr>
          <w:t>Subway company profile</w:t>
        </w:r>
      </w:hyperlink>
      <w:r>
        <w:t xml:space="preserve">; </w:t>
      </w:r>
      <w:hyperlink r:id="rId17">
        <w:r>
          <w:rPr>
            <w:color w:val="365F91"/>
            <w:u w:val="single"/>
          </w:rPr>
          <w:t>Subway Qatar announcement</w:t>
        </w:r>
      </w:hyperlink>
      <w:r>
        <w:t>.</w:t>
      </w:r>
    </w:p>
    <w:p>
      <w:pPr>
        <w:pStyle w:val="Heading1"/>
      </w:pPr>
      <w:r>
        <w:t>Current Business Situation</w:t>
      </w:r>
    </w:p>
    <w:p>
      <w:pPr/>
      <w:r>
        <w:t xml:space="preserve">Subway is trying to restore value and improve franchisee economics while modernizing restaurants and expanding internationally. Its April 2026 nationwide Fresh Value Menu offered 15 entrees under $5. That announcement demonstrates a strong consumer-value posture; it does not reveal store-level profit on those items or the price weight of this technology RFP. </w:t>
      </w:r>
      <w:hyperlink r:id="rId18">
        <w:r>
          <w:rPr>
            <w:color w:val="365F91"/>
            <w:u w:val="single"/>
          </w:rPr>
          <w:t>Subway value-menu release</w:t>
        </w:r>
      </w:hyperlink>
      <w:r>
        <w:t>.</w:t>
      </w:r>
    </w:p>
    <w:p>
      <w:pPr/>
      <w:r>
        <w:t xml:space="preserve">The U.S. footprint moved from 20,576 franchised outlets at the start of 2023 to 18,773 at the end of 2025, according to published transcriptions of the 2026 FDD's Item 20. Net losses were 443, 631, and 729 stores in 2023, 2024, and 2025. QSR estimated $9.2 billion in 2025 U.S. system sales and $490,000 average sales per unit, versus $9.653 billion in its 2024 ranking. These point to domestic contraction and lower estimated system sales; neither tells us the margin distribution among surviving stores. The Wisconsin regulator confirms the 2026 FDD registration. The raw full PDF has not yet been obtained for this brief, so the 2026 figures should be checked there before they become customer-facing commitments. </w:t>
      </w:r>
      <w:hyperlink r:id="rId19">
        <w:r>
          <w:rPr>
            <w:color w:val="365F91"/>
            <w:u w:val="single"/>
          </w:rPr>
          <w:t>Wisconsin filing record</w:t>
        </w:r>
      </w:hyperlink>
      <w:r>
        <w:t xml:space="preserve">; </w:t>
      </w:r>
      <w:hyperlink r:id="rId20">
        <w:r>
          <w:rPr>
            <w:color w:val="365F91"/>
            <w:u w:val="single"/>
          </w:rPr>
          <w:t>Item 20 transcription</w:t>
        </w:r>
      </w:hyperlink>
      <w:r>
        <w:t xml:space="preserve">; </w:t>
      </w:r>
      <w:hyperlink r:id="rId13">
        <w:r>
          <w:rPr>
            <w:color w:val="365F91"/>
            <w:u w:val="single"/>
          </w:rPr>
          <w:t>QSR 50 2026</w:t>
        </w:r>
      </w:hyperlink>
      <w:r>
        <w:t xml:space="preserve">; </w:t>
      </w:r>
      <w:hyperlink r:id="rId21">
        <w:r>
          <w:rPr>
            <w:color w:val="365F91"/>
            <w:u w:val="single"/>
          </w:rPr>
          <w:t>QSR 50 2025</w:t>
        </w:r>
      </w:hyperlink>
      <w:r>
        <w:t>.</w:t>
      </w:r>
    </w:p>
    <w:p>
      <w:pPr/>
      <w:r>
        <w:t xml:space="preserve">The franchisor and operators have different economics. Restaurant Business, reporting from the 2026 FDD, puts 2025 franchisor net income at approximately $689 million on $925 million in revenue, while franchise royalty revenue fell about 10% across two years. Restaurant Dive reported total franchise revenue falling from $818 million in 2024 to $767 million in 2025. Those are corporate or franchise-system figures, not a measure of a typical store's cash flow. They suggest headquarters can have investment capacity even when operators resist another required fee. </w:t>
      </w:r>
      <w:hyperlink r:id="rId22">
        <w:r>
          <w:rPr>
            <w:color w:val="365F91"/>
            <w:u w:val="single"/>
          </w:rPr>
          <w:t>Restaurant Business FDD analysis</w:t>
        </w:r>
      </w:hyperlink>
      <w:r>
        <w:t xml:space="preserve">; </w:t>
      </w:r>
      <w:hyperlink r:id="rId23">
        <w:r>
          <w:rPr>
            <w:color w:val="365F91"/>
            <w:u w:val="single"/>
          </w:rPr>
          <w:t>Restaurant Dive</w:t>
        </w:r>
      </w:hyperlink>
      <w:r>
        <w:t>.</w:t>
      </w:r>
    </w:p>
    <w:p>
      <w:pPr>
        <w:pStyle w:val="Heading1"/>
      </w:pPr>
      <w:r>
        <w:t>Leadership</w:t>
      </w:r>
    </w:p>
    <w:p>
      <w:pPr>
        <w:pStyle w:val="Heading2"/>
      </w:pPr>
      <w:r>
        <w:t>Confirmed by Subway</w:t>
      </w:r>
    </w:p>
    <w:p>
      <w:pPr>
        <w:pStyle w:val="ListParagraph"/>
      </w:pPr>
      <w:r>
        <w:t>• Jonathan Fitzpatrick — Chief Executive Officer.</w:t>
      </w:r>
    </w:p>
    <w:p>
      <w:pPr>
        <w:pStyle w:val="ListParagraph"/>
      </w:pPr>
      <w:r>
        <w:t>• Asher Perlmutter — Chief Technology and Commercial Officer; his stated remit covers global technology, digital, data, and commercial strategies tied to franchisee profitability and guest experience.</w:t>
      </w:r>
    </w:p>
    <w:p>
      <w:pPr>
        <w:pStyle w:val="ListParagraph"/>
      </w:pPr>
      <w:r>
        <w:t>• Damien Harmon — President, North America.</w:t>
      </w:r>
    </w:p>
    <w:p>
      <w:pPr>
        <w:pStyle w:val="ListParagraph"/>
      </w:pPr>
      <w:r>
        <w:t>• Tracy Gehlan — President, Europe, the Middle East and Africa.</w:t>
      </w:r>
    </w:p>
    <w:p>
      <w:pPr>
        <w:pStyle w:val="ListParagraph"/>
      </w:pPr>
      <w:r>
        <w:t>• Joseph Hsu — President, Asia Pacific.</w:t>
      </w:r>
    </w:p>
    <w:p>
      <w:pPr>
        <w:pStyle w:val="ListParagraph"/>
      </w:pPr>
      <w:r>
        <w:t>• Artemio Garza — President, Latin America and Caribbean.</w:t>
      </w:r>
    </w:p>
    <w:p>
      <w:pPr>
        <w:pStyle w:val="ListParagraph"/>
      </w:pPr>
      <w:r>
        <w:t>• Ben Selden — Chief Financial Officer.</w:t>
      </w:r>
    </w:p>
    <w:p>
      <w:pPr/>
      <w:hyperlink r:id="rId24">
        <w:r>
          <w:rPr>
            <w:color w:val="365F91"/>
            <w:u w:val="single"/>
          </w:rPr>
          <w:t>Subway leadership roster</w:t>
        </w:r>
      </w:hyperlink>
      <w:r>
        <w:t xml:space="preserve">; </w:t>
      </w:r>
      <w:hyperlink r:id="rId25">
        <w:r>
          <w:rPr>
            <w:color w:val="365F91"/>
            <w:u w:val="single"/>
          </w:rPr>
          <w:t>Asher Perlmutter biography</w:t>
        </w:r>
      </w:hyperlink>
      <w:r>
        <w:t>.</w:t>
      </w:r>
    </w:p>
    <w:p>
      <w:pPr>
        <w:pStyle w:val="Heading2"/>
      </w:pPr>
      <w:r>
        <w:t>Reported internal access</w:t>
      </w:r>
    </w:p>
    <w:p>
      <w:pPr/>
      <w:r>
        <w:t xml:space="preserve">Internal July 2026 notes identify the Worldpay relationship manager as an account intelligence and access channel and describe the relationship as fractured, global, relationship-sensitive, and not yet profitable for Worldpay. The September 15 Worldpay call identifies the relationship manager as Stacey; her surname, current role, and account scope need verification. The prior account brief identifies Ryan Hildebrand as a source for the Genius KDS and proprietary-POS reports. The team should identify the current RFP owner, Genius deployment owner, and commercial decision owner before assigning stakeholder roles or customer access paths. </w:t>
      </w:r>
      <w:r>
        <w:t>Internal Worldpay account notes</w:t>
      </w:r>
      <w:r>
        <w:t xml:space="preserve">; </w:t>
      </w:r>
      <w:r>
        <w:t>Prior Subway brief</w:t>
      </w:r>
      <w:r>
        <w:t>.</w:t>
      </w:r>
    </w:p>
    <w:p>
      <w:pPr>
        <w:pStyle w:val="Heading1"/>
      </w:pPr>
      <w:r>
        <w:t>Technology Environment</w:t>
      </w:r>
    </w:p>
    <w:p>
      <w:pPr/>
      <w:r>
        <w:t xml:space="preserve">The strongest direct evidence for the </w:t>
      </w:r>
      <w:r>
        <w:rPr>
          <w:b/>
        </w:rPr>
        <w:t>U.S. franchise stack in 2024</w:t>
      </w:r>
      <w:r>
        <w:t xml:space="preserve"> is Subway's FDD. It said Subway-affiliate SubwayPOS was the only approved POS software; HP was the approved POS hardware-as-a-service supplier; Subway Payment Manager software was required; Adyen was then the only approved acquirer and processor; designated payment terminals, loyalty, gift-card, and remote-ordering participation were required. Franchisees had to transmit detailed POS and operating data to Subway and connect to near-real-time LiveIQ reporting. Subway could change standards, suppliers, and upgrade dates. These clauses show substantial headquarters control; the September 2026 RFP provides a more current baseline for the products it covers, while the full approved vendor list still needs direct verification. </w:t>
      </w:r>
      <w:hyperlink r:id="rId12">
        <w:r>
          <w:rPr>
            <w:color w:val="365F91"/>
            <w:u w:val="single"/>
          </w:rPr>
          <w:t>Subway 2024 FDD, Items 8 and 11</w:t>
        </w:r>
      </w:hyperlink>
      <w:r>
        <w:t>.</w:t>
      </w:r>
    </w:p>
    <w:p>
      <w:pPr/>
      <w:r>
        <w:t xml:space="preserve">The 2024 FDD listed an approximately $75 monthly restaurant-technology fee and $57 monthly HP base hardware package. Digital menu boards were then optional at an estimated $8,000–$14,000 installed or $155 monthly under a hardware-as-a-service option, though Subway reserved the right to require them later. Required technology can therefore combine central standard-setting with store-level payment obligations. </w:t>
      </w:r>
      <w:hyperlink r:id="rId12">
        <w:r>
          <w:rPr>
            <w:color w:val="365F91"/>
            <w:u w:val="single"/>
          </w:rPr>
          <w:t>Subway 2024 FDD, Items 5–6 and 11</w:t>
        </w:r>
      </w:hyperlink>
      <w:r>
        <w:t>.</w:t>
      </w:r>
    </w:p>
    <w:p>
      <w:pPr/>
      <w:r>
        <w:t xml:space="preserve">The prior internal brief reports a Genius KDS selection for approximately 2,500 locations, with actual deployment and market scope unresolved. It also contains an Oracle MICROS POS relationship from legacy ecosystem evidence. That Oracle claim should be treated as historical, market-specific, or unverified against the direct U.S. FDD requirement for SubwayPOS. Global payments and technology may differ by region and master franchisee; this U.S. FDD does not govern every international contract. </w:t>
      </w:r>
      <w:r>
        <w:t>Prior Subway brief</w:t>
      </w:r>
      <w:r>
        <w:t xml:space="preserve">; </w:t>
      </w:r>
      <w:hyperlink r:id="rId12">
        <w:r>
          <w:rPr>
            <w:color w:val="365F91"/>
            <w:u w:val="single"/>
          </w:rPr>
          <w:t>Subway 2024 FDD</w:t>
        </w:r>
      </w:hyperlink>
      <w:r>
        <w:t>.</w:t>
      </w:r>
    </w:p>
    <w:p>
      <w:pPr/>
      <w:r>
        <w:t xml:space="preserve">PAR's relationship should be mapped by period and layer. The reported 2000–01 account loss was primarily hardware tied to Subway's proprietary software. PAR's 2014 filing described an expanding hardware-and-services base with Subway, and its 2018 filing named Subway among users of PAR POS products and related services. The 2024 U.S. FDD named HP for the approved hardware program. None of these sources establish PAR's current position in the RFP, or conclusively identify the winner of the 2000–01 decision. </w:t>
      </w:r>
      <w:hyperlink r:id="rId14">
        <w:r>
          <w:rPr>
            <w:color w:val="365F91"/>
            <w:u w:val="single"/>
          </w:rPr>
          <w:t>PAR 2014 10-K</w:t>
        </w:r>
      </w:hyperlink>
      <w:r>
        <w:t xml:space="preserve">; </w:t>
      </w:r>
      <w:hyperlink r:id="rId15">
        <w:r>
          <w:rPr>
            <w:color w:val="365F91"/>
            <w:u w:val="single"/>
          </w:rPr>
          <w:t>PAR 2018 10-K</w:t>
        </w:r>
      </w:hyperlink>
      <w:r>
        <w:t xml:space="preserve">; </w:t>
      </w:r>
      <w:hyperlink r:id="rId12">
        <w:r>
          <w:rPr>
            <w:color w:val="365F91"/>
            <w:u w:val="single"/>
          </w:rPr>
          <w:t>Subway 2024 FDD</w:t>
        </w:r>
      </w:hyperlink>
      <w:r>
        <w:t>.</w:t>
      </w:r>
    </w:p>
    <w:p>
      <w:pPr>
        <w:pStyle w:val="Heading1"/>
      </w:pPr>
      <w:r>
        <w:t>Relationship and Access Map</w:t>
      </w:r>
    </w:p>
    <w:p>
      <w:pPr/>
      <w:r>
        <w:t xml:space="preserve">Subway corporate appears able to approve and mandate core U.S. standards, while franchisees implement them and often pay. The Subway Franchisee Advisory Council includes elected U.S. franchisees and technology representation, which gives an operator-informed path for testing deployment and economics assumptions. International master franchisees may hold regional buying and operating authority; their agreements need separate review. The account team should reconcile Worldpay account ownership, Genius KDS implementation ownership, RFP leadership, product leads, technical architecture, and pricing approval before representing one coordinated view. </w:t>
      </w:r>
      <w:hyperlink r:id="rId11">
        <w:r>
          <w:rPr>
            <w:color w:val="365F91"/>
            <w:u w:val="single"/>
          </w:rPr>
          <w:t>Subway company profile and advisory council</w:t>
        </w:r>
      </w:hyperlink>
      <w:r>
        <w:t xml:space="preserve">; </w:t>
      </w:r>
      <w:hyperlink r:id="rId12">
        <w:r>
          <w:rPr>
            <w:color w:val="365F91"/>
            <w:u w:val="single"/>
          </w:rPr>
          <w:t>Subway 2024 FDD</w:t>
        </w:r>
      </w:hyperlink>
      <w:r>
        <w:t xml:space="preserve">; </w:t>
      </w:r>
      <w:r>
        <w:t>Internal Worldpay account notes</w:t>
      </w:r>
      <w:r>
        <w:t>.</w:t>
      </w:r>
    </w:p>
    <w:p>
      <w:pPr>
        <w:pStyle w:val="Heading1"/>
      </w:pPr>
      <w:r>
        <w:t>RFP Status and Response Assessment</w:t>
      </w:r>
    </w:p>
    <w:p>
      <w:pPr/>
      <w:r>
        <w:t>Two September 15 internal calls establish the immediate team context. The Genius-side discussion characterized the RFP as covering connected restaurant technology except POS; Nick was leading the bid and additional account support was requested, with a desired internal draft by Friday before the September 22 deadline. A later Worldpay team call identified Stacey as Subway relationship manager and noted that the team had only just learned of the RFP; a Subway meeting the prior day was mentioned without details. The first call also reported two unanswered outreach attempts to a newly appointed Subway technology leader with RBI history, said a prior Subway contact had left, and mentioned NCR as possibly pursuing the account. It raised a later PAR loss recalled as roughly five or six years ago, separate from the reported 2000–01 hardware loss and not yet corroborated. The bid discussion singled out pricing and the current-versus-next-generation kiosk choice; Nick was described as joining daily RFP calls with a Friday internal draft target. None of the contact or competitive statements establishes a current buying influence or RFP bidder. These calls support urgent internal alignment but do not verify Worldpay’s current commercial footprint, customer sponsor, or RFP buying influence. JPR call transcripts, September 15, 2026, 7:39 and 10:00 a.m.; name attributions require confirmation.</w:t>
      </w:r>
    </w:p>
    <w:p>
      <w:pPr/>
      <w:r>
        <w:t>The current RFP establishes a newer U.S. operating baseline than the 2024 FDD. It names SubwayPOS version 8.4.428.50 or higher, Subway Payment Manager version 9.12.6 or higher, FreedomPay in-store version 5.3.8.13 or higher, Ingenico Lane/3600 payment devices, Canopy MDM, Splashtop via Canopy, and Subway's Fresh Connect APIs. The current response says SPOS already integrates to Genius KDS APIs, but a kiosk-to-SPOS integration does not currently exist and could be developed. Kiosk payment pairing, MDM enrollment, network compatibility, accessibility and counter fit, and Fresh Connect integration remain incomplete or marked for response in the workbook. Subway RFP Enclosure 1, Integration &amp; Environment tab, September 2026.</w:t>
      </w:r>
    </w:p>
    <w:p>
      <w:pPr/>
      <w:r>
        <w:t>The draft response package is not submission-ready. Its completion trackers mark Kiosk/KDS at 24 of 215 responses completed, installation and managed services at 14 of 143, and DMB at 58 of 189. The consolidated tracker uses a different installation-pricing denominator than the installation workbook, so tracker totals require reconciliation. Hardware and all three pricing sections are especially exposed. The executive summary leads with a POS modernization narrative and broad platform benefits even though the named RFP scopes are kiosk/KDS, installation/managed services, and DMB. The submission should lead with compliance, integration to Subway's baseline, capacity, and a credible operator cost model. Draft Global Payments RFP response workbooks and executive summary, September 2026.</w:t>
      </w:r>
    </w:p>
    <w:p>
      <w:pPr/>
      <w:r>
        <w:t>Subway's Rules of Engagement prohibit RFP-related contact with Subway employees outside the named event team and require questions through the vendor question form. Existing vendor meetings with Subway during the event must be disclosed in advance to the event contacts and may not discuss the RFP. The Worldpay relationship is valuable for internal account alignment, while customer-facing RFP communication must remain within the formal channel. The rules require complete responses, bid-team roles and transition details, 120-day proposal validity, and authorization for any third party receiving event materials. The draft rules document still has empty bid-team roles and a dated sign-off. Subway RFP Enclosure 5, September 8, 2026.</w:t>
      </w:r>
    </w:p>
    <w:p>
      <w:pPr>
        <w:pStyle w:val="Heading1"/>
      </w:pPr>
      <w:r>
        <w:t>Opportunity Assessment</w:t>
      </w:r>
    </w:p>
    <w:p>
      <w:pPr/>
      <w:r>
        <w:t xml:space="preserve">The existing reported Genius KDS selection offers a potential proof point, but only after confirming contracted, installed, live, supported, and referenceable locations and measurable outcomes. Subway's centrally controlled U.S. stack creates an enterprise approval path for new products, yet an approved standard alone does not guarantee fast operator adoption if the charge or implementation burden lands at store level. International master franchises may create distinct regional opportunities. The RFP now defines the target scopes, but product fit remains unproven until integration, capacity, and pricing responses are validated. </w:t>
      </w:r>
      <w:r>
        <w:t>Prior Subway brief</w:t>
      </w:r>
      <w:r>
        <w:t xml:space="preserve">; </w:t>
      </w:r>
      <w:hyperlink r:id="rId12">
        <w:r>
          <w:rPr>
            <w:color w:val="365F91"/>
            <w:u w:val="single"/>
          </w:rPr>
          <w:t>Subway 2024 FDD</w:t>
        </w:r>
      </w:hyperlink>
      <w:r>
        <w:t>.</w:t>
      </w:r>
    </w:p>
    <w:p>
      <w:pPr/>
      <w:r>
        <w:t xml:space="preserve">The economics argue for showing incremental, displaced, and avoided costs separately. At QSR's estimated $490,000 sales per U.S. unit, the 12.5% royalty-plus-advertising charge is approximately $61,250 annually before food, labor, occupancy, repairs, debt service, and owner pay. Each additional $100 monthly fee is $1,200 annually or roughly 0.245 percentage points of sales. Because Subway's FDD has no Item 19 store-profit representation, this brief does not claim a typical operating margin. A lower-volume location will feel the same nominal fee more sharply than a larger operator. </w:t>
      </w:r>
      <w:hyperlink r:id="rId12">
        <w:r>
          <w:rPr>
            <w:color w:val="365F91"/>
            <w:u w:val="single"/>
          </w:rPr>
          <w:t>Subway 2024 FDD, Items 6 and 19</w:t>
        </w:r>
      </w:hyperlink>
      <w:r>
        <w:t xml:space="preserve">; </w:t>
      </w:r>
      <w:hyperlink r:id="rId13">
        <w:r>
          <w:rPr>
            <w:color w:val="365F91"/>
            <w:u w:val="single"/>
          </w:rPr>
          <w:t>QSR 50 2026</w:t>
        </w:r>
      </w:hyperlink>
      <w:r>
        <w:t>.</w:t>
      </w:r>
    </w:p>
    <w:p>
      <w:pPr>
        <w:pStyle w:val="Heading1"/>
      </w:pPr>
      <w:r>
        <w:t>Key Discovery Questions</w:t>
      </w:r>
    </w:p>
    <w:p>
      <w:pPr>
        <w:pStyle w:val="ListParagraph"/>
      </w:pPr>
      <w:r>
        <w:t>1. Which of the three permitted bid scopes can be fully supported and priced? How will Subway confirm the 25-versus-200-store 2026 phasing conflict, and what is the funding structure?</w:t>
      </w:r>
    </w:p>
    <w:p>
      <w:pPr>
        <w:pStyle w:val="ListParagraph"/>
      </w:pPr>
      <w:r>
        <w:t>2. For each product, does Subway intend to replace a mandated vendor, approve an alternate, or add a separate capability? Which current contracts or standards constrain it?</w:t>
      </w:r>
    </w:p>
    <w:p>
      <w:pPr>
        <w:pStyle w:val="ListParagraph"/>
      </w:pPr>
      <w:r>
        <w:t>3. Who pays hardware, installation, licensing, support, payment fees, and migration costs? Who captures the economic or operational benefit?</w:t>
      </w:r>
    </w:p>
    <w:p>
      <w:pPr>
        <w:pStyle w:val="ListParagraph"/>
      </w:pPr>
      <w:r>
        <w:t>4. What is the current 2026 U.S. approved vendor list, and where do master-franchise contracts differ?</w:t>
      </w:r>
    </w:p>
    <w:p>
      <w:pPr>
        <w:pStyle w:val="ListParagraph"/>
      </w:pPr>
      <w:r>
        <w:t>5. How many Genius KDS locations are signed, installed, live, supported, and referenceable? What verified operating outcome exists?</w:t>
      </w:r>
    </w:p>
    <w:p>
      <w:pPr>
        <w:pStyle w:val="ListParagraph"/>
      </w:pPr>
      <w:r>
        <w:t>6. What exactly did PAR supply at each point in the relationship, and what does it supply today? Can the 2000–01 hardware decision and HP recollection be corroborated?</w:t>
      </w:r>
    </w:p>
    <w:p>
      <w:pPr>
        <w:pStyle w:val="ListParagraph"/>
      </w:pPr>
      <w:r>
        <w:t>7. What is the distribution of store sales and investment capacity across low-volume stores, multi-unit owners, and regional master franchisees? Which cohorts can fund modernization without a subsidy?</w:t>
      </w:r>
    </w:p>
    <w:p>
      <w:pPr>
        <w:pStyle w:val="Heading1"/>
      </w:pPr>
      <w:r>
        <w:t>Risks and Cautions</w:t>
      </w:r>
    </w:p>
    <w:p>
      <w:pPr/>
      <w:r>
        <w:t xml:space="preserve">The 2024 FDD is an authoritative historical statement for U.S. franchise terms, not proof of today's vendors. The 2026 FDD is registered, but the raw full document has not yet been obtained and reviewed for this brief. QSR sales and AUV are estimates; Subway's Item 19 does not disclose a typical store profit. The PAR and informal-installation accounts are historical reported intelligence, not current systemwide facts. An old PAR filing cannot establish RFP incumbency. The reported Genius KDS selection cannot establish deployment completion. Domestic contraction, operator stress, and store-level charges make an unfunded rollout or an added fee a material adoption risk. </w:t>
      </w:r>
      <w:hyperlink r:id="rId19">
        <w:r>
          <w:rPr>
            <w:color w:val="365F91"/>
            <w:u w:val="single"/>
          </w:rPr>
          <w:t>Wisconsin 2026 registration</w:t>
        </w:r>
      </w:hyperlink>
      <w:r>
        <w:t xml:space="preserve">; </w:t>
      </w:r>
      <w:hyperlink r:id="rId12">
        <w:r>
          <w:rPr>
            <w:color w:val="365F91"/>
            <w:u w:val="single"/>
          </w:rPr>
          <w:t>Subway 2024 FDD</w:t>
        </w:r>
      </w:hyperlink>
      <w:r>
        <w:t>.</w:t>
      </w:r>
    </w:p>
    <w:p>
      <w:pPr>
        <w:pStyle w:val="Heading1"/>
      </w:pPr>
      <w:r>
        <w:t>Recommended Engagement Strategy</w:t>
      </w:r>
    </w:p>
    <w:p>
      <w:pPr/>
      <w:r>
        <w:t>Engagement should begin through the active RFP team with a fact-finding posture. First reconcile the current relationship owner, Genius deployment record, historical PAR and HP chronology, approved standards, and the customer-side decision map. Then evaluate each proposed product against a restaurant-level cost bridge: current cost, new incremental cost, displaced cost, installation and transition cost, and demonstrable benefit. Low-volume operators, larger franchise groups, and international master franchisees may need different rollout and funding models. The team should seek evidence that a proposed capability can meet Subway's control and data requirements while improving operator economics or execution.</w:t>
      </w:r>
    </w:p>
    <w:p>
      <w:pPr>
        <w:pStyle w:val="Heading1"/>
      </w:pPr>
      <w:r>
        <w:t>Immediate Actions</w:t>
      </w:r>
    </w:p>
    <w:p>
      <w:pPr>
        <w:pStyle w:val="ListParagraph"/>
      </w:pPr>
      <w:r>
        <w:t>• Reconcile the three RFP workbooks and addenda into a product-by-product compliance, ownership, and pricing map before the September 22 submission.</w:t>
      </w:r>
    </w:p>
    <w:p>
      <w:pPr>
        <w:pStyle w:val="ListParagraph"/>
      </w:pPr>
      <w:r>
        <w:t>• Resolve the 25-versus-200-store 2026 phasing discrepancy through the prescribed vendor question process, if the September 15 question window remains open.</w:t>
      </w:r>
    </w:p>
    <w:p>
      <w:pPr>
        <w:pStyle w:val="ListParagraph"/>
      </w:pPr>
      <w:r>
        <w:t>• Confirm kiosk-to-SubwayPOS integration scope and delivery timing, payment pairing, Canopy MDM compatibility, Fresh Connect API approach, accessibility, and installation capacity.</w:t>
      </w:r>
    </w:p>
    <w:p>
      <w:pPr>
        <w:pStyle w:val="ListParagraph"/>
      </w:pPr>
      <w:r>
        <w:t>• Complete hardware, DMB, and installation pricing with a franchisee-level cost bridge and authorized commercial sign-off.</w:t>
      </w:r>
    </w:p>
    <w:p>
      <w:pPr>
        <w:pStyle w:val="ListParagraph"/>
      </w:pPr>
      <w:r>
        <w:t>• Complete the Rules of Engagement bid-team roster, final sign-off, and bid-to-account-team transition plan.</w:t>
      </w:r>
    </w:p>
    <w:p>
      <w:pPr>
        <w:pStyle w:val="ListParagraph"/>
      </w:pPr>
      <w:r>
        <w:t>• Obtain the raw 2026 FDD and current Subway technology standards for the relevant U.S. products; obtain master-franchise rules for relevant international markets.</w:t>
      </w:r>
    </w:p>
    <w:p>
      <w:pPr>
        <w:pStyle w:val="ListParagraph"/>
      </w:pPr>
      <w:r>
        <w:t>• Align with bid lead Nicholas Hulayew and Worldpay relationship manager Stacey (surname to confirm); identify the Genius KDS owner, technical architect, services capacity owner, legal lead, and pricing approver.</w:t>
      </w:r>
    </w:p>
    <w:p>
      <w:pPr>
        <w:pStyle w:val="ListParagraph"/>
      </w:pPr>
      <w:r>
        <w:t>• Reconcile contracted versus live Genius locations, support history, outcome data, and customer commitments.</w:t>
      </w:r>
    </w:p>
    <w:p>
      <w:pPr>
        <w:pStyle w:val="ListParagraph"/>
      </w:pPr>
      <w:r>
        <w:t>• Build a PAR and HP timeline from internal account records and customer contacts, keeping the 2000–01 loss separate from later PAR business.</w:t>
      </w:r>
    </w:p>
    <w:p>
      <w:pPr>
        <w:pStyle w:val="ListParagraph"/>
      </w:pPr>
      <w:r>
        <w:t>• Model pricing for low-, middle-, and high-volume stores, identifying who funds each charge and whether it replaces an incumbent cost.</w:t>
      </w:r>
    </w:p>
    <w:p>
      <w:pPr>
        <w:pStyle w:val="Heading1"/>
      </w:pPr>
      <w:r>
        <w:t>Bottom Line</w:t>
      </w:r>
    </w:p>
    <w:p>
      <w:pPr/>
      <w:r>
        <w:t>Subway is a large but economically uneven prospect. Corporate controls much of the U.S. technology standard; operators often fund the mandated stack; and international master franchisees add regional variation. The prior Genius relationship provides a potential entry point, while the reported active RFP creates a timely reason to reconcile the account. A credible proposal must be precise about the required product fit and prove what it costs and delivers at the store level. The RFP is now visible, but the draft responses have significant completeness and fit gaps. The immediate priority is a compliant, scoped, fully priced submission that can be installed at the stated scale and funded by operators.</w:t>
      </w:r>
    </w:p>
    <w:p>
      <w:pPr>
        <w:pStyle w:val="Heading1"/>
      </w:pPr>
      <w:r>
        <w:t>Research and Internal Intelligence Sources</w:t>
      </w:r>
    </w:p>
    <w:p>
      <w:pPr>
        <w:pStyle w:val="ListParagraph"/>
      </w:pPr>
      <w:r>
        <w:t>• Internal account updates on September 15, 2026: active multi-product RFP, price sensitivity, PAR loss around 2000–01, possible HP outcome, and informal-installation stories. Reported internal knowledge; not independently documented in public sources.</w:t>
      </w:r>
    </w:p>
    <w:p>
      <w:pPr>
        <w:pStyle w:val="ListParagraph"/>
      </w:pPr>
      <w:r>
        <w:t>• Subway newsroom: company profile, leadership, Roark sale, April 2026 value menu, and international master-franchise development, linked throughout.</w:t>
      </w:r>
    </w:p>
    <w:p>
      <w:pPr>
        <w:pStyle w:val="ListParagraph"/>
      </w:pPr>
      <w:r>
        <w:t>• Subway U.S. 2024 Franchise Disclosure Document, Items 5, 6, 8, 11, and 19; primary source for historical U.S. technology and fee terms, linked throughout.</w:t>
      </w:r>
    </w:p>
    <w:p>
      <w:pPr>
        <w:pStyle w:val="ListParagraph"/>
      </w:pPr>
      <w:r>
        <w:t>• Wisconsin regulator's 2026 Subway franchise-registration record; filing existence confirmed, full raw PDF not yet reviewed.</w:t>
      </w:r>
    </w:p>
    <w:p>
      <w:pPr>
        <w:pStyle w:val="ListParagraph"/>
      </w:pPr>
      <w:r>
        <w:t>• QSR 50 2025 and 2026; industry estimates of U.S. system sales and average unit volume.</w:t>
      </w:r>
    </w:p>
    <w:p>
      <w:pPr>
        <w:pStyle w:val="ListParagraph"/>
      </w:pPr>
      <w:r>
        <w:t>• Restaurant Business and Restaurant Dive reporting from the 2026 FDD; secondary analysis of corporate economics, franchise revenue, and unit contraction.</w:t>
      </w:r>
    </w:p>
    <w:p>
      <w:pPr>
        <w:pStyle w:val="ListParagraph"/>
      </w:pPr>
      <w:r>
        <w:t>• PAR Technology 2014 and 2018 SEC Forms 10-K; historical PAR relationship evidence.</w:t>
      </w:r>
    </w:p>
    <w:p>
      <w:pPr>
        <w:pStyle w:val="ListParagraph"/>
      </w:pPr>
      <w:r>
        <w:t>• Internal Worldpay July 2026 account notes and the archived September 2026 Subway background brief; internal reporting that requires present-day reconciliation.</w:t>
      </w:r>
    </w:p>
    <w:p>
      <w:pPr>
        <w:pStyle w:val="ListParagraph"/>
      </w:pPr>
      <w:r>
        <w:t>• Subway NA Connected Restaurant Technology Program RFP Enclosures 1–3 and 5, and the Global Payments draft executive summary and response workbooks, provided internally September 15, 2026.</w:t>
      </w:r>
    </w:p>
    <w:p>
      <w:pPr>
        <w:pStyle w:val="ListParagraph"/>
      </w:pPr>
      <w:r>
        <w:t>• Just Press Record internal call transcripts, September 15, 2026, 7:39 a.m. and 10:00 a.m.; account-team statements and attribution are reported intelligence, with recording transcription errors possible.</w:t>
      </w:r>
    </w:p>
    <w:sectPr w:rsidR="00784C5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B3C423" w14:textId="77777777" w:rsidR="0008156C" w:rsidRDefault="0008156C">
      <w:r>
        <w:separator/>
      </w:r>
    </w:p>
  </w:endnote>
  <w:endnote w:type="continuationSeparator" w:id="0">
    <w:p w14:paraId="17666B94" w14:textId="77777777" w:rsidR="0008156C" w:rsidRDefault="00081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CD0537" w14:textId="77777777" w:rsidR="00784C58" w:rsidRDefault="00000000">
    <w:pPr>
      <w:jc w:val="right"/>
    </w:pPr>
    <w:proofErr w:type="gramStart"/>
    <w:r>
      <w:rPr>
        <w:color w:val="666666"/>
        <w:sz w:val="16"/>
        <w:szCs w:val="16"/>
      </w:rPr>
      <w:t>Confidential  •</w:t>
    </w:r>
    <w:proofErr w:type="gramEnd"/>
    <w:r>
      <w:rPr>
        <w:color w:val="666666"/>
        <w:sz w:val="16"/>
        <w:szCs w:val="16"/>
      </w:rPr>
      <w:t xml:space="preserve">  September 15, </w:t>
    </w:r>
    <w:proofErr w:type="gramStart"/>
    <w:r>
      <w:rPr>
        <w:color w:val="666666"/>
        <w:sz w:val="16"/>
        <w:szCs w:val="16"/>
      </w:rPr>
      <w:t>2026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DD2D2C">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C6E4AD" w14:textId="77777777" w:rsidR="0008156C" w:rsidRDefault="0008156C">
      <w:r>
        <w:separator/>
      </w:r>
    </w:p>
  </w:footnote>
  <w:footnote w:type="continuationSeparator" w:id="0">
    <w:p w14:paraId="08337347" w14:textId="77777777" w:rsidR="0008156C" w:rsidRDefault="00081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E1FB19" w14:textId="77777777" w:rsidR="00784C58" w:rsidRDefault="00000000">
    <w:pPr>
      <w:pBdr>
        <w:bottom w:val="single" w:sz="4" w:space="4" w:color="D9E2F3"/>
      </w:pBdr>
    </w:pPr>
    <w:r>
      <w:rPr>
        <w:b/>
        <w:bCs/>
        <w:color w:val="666666"/>
        <w:sz w:val="16"/>
        <w:szCs w:val="16"/>
      </w:rPr>
      <w:t xml:space="preserve">SUB</w:t>
    </w:r>
    <w:proofErr w:type="gramStart"/>
    <w:r>
      <w:rPr>
        <w:b/>
        <w:bCs/>
        <w:color w:val="666666"/>
        <w:sz w:val="16"/>
        <w:szCs w:val="16"/>
      </w:rPr>
      <w:t>WAY  |</w:t>
    </w:r>
    <w:proofErr w:type="gramEnd"/>
    <w:r>
      <w:rPr>
        <w:b/>
        <w:bCs/>
        <w:color w:val="666666"/>
        <w:sz w:val="16"/>
        <w:szCs w:val="16"/>
      </w:rPr>
      <w:t xml:space="preserve">  ACCOUNT BACKGROUND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C946F0"/>
    <w:multiLevelType w:val="hybridMultilevel"/>
    <w:tmpl w:val="5228421C"/>
    <w:lvl w:ilvl="0" w:tplc="AA4C9AB2">
      <w:start w:val="1"/>
      <w:numFmt w:val="decimal"/>
      <w:lvlText w:val="%1."/>
      <w:lvlJc w:val="left"/>
      <w:pPr>
        <w:ind w:left="540" w:hanging="270"/>
      </w:pPr>
    </w:lvl>
    <w:lvl w:ilvl="1" w:tplc="2AB25AE4">
      <w:numFmt w:val="decimal"/>
      <w:lvlText w:val=""/>
      <w:lvlJc w:val="left"/>
    </w:lvl>
    <w:lvl w:ilvl="2" w:tplc="502074BC">
      <w:numFmt w:val="decimal"/>
      <w:lvlText w:val=""/>
      <w:lvlJc w:val="left"/>
    </w:lvl>
    <w:lvl w:ilvl="3" w:tplc="D61EFB9C">
      <w:numFmt w:val="decimal"/>
      <w:lvlText w:val=""/>
      <w:lvlJc w:val="left"/>
    </w:lvl>
    <w:lvl w:ilvl="4" w:tplc="412C84A4">
      <w:numFmt w:val="decimal"/>
      <w:lvlText w:val=""/>
      <w:lvlJc w:val="left"/>
    </w:lvl>
    <w:lvl w:ilvl="5" w:tplc="F2C660AE">
      <w:numFmt w:val="decimal"/>
      <w:lvlText w:val=""/>
      <w:lvlJc w:val="left"/>
    </w:lvl>
    <w:lvl w:ilvl="6" w:tplc="8B7C8E90">
      <w:numFmt w:val="decimal"/>
      <w:lvlText w:val=""/>
      <w:lvlJc w:val="left"/>
    </w:lvl>
    <w:lvl w:ilvl="7" w:tplc="97645716">
      <w:numFmt w:val="decimal"/>
      <w:lvlText w:val=""/>
      <w:lvlJc w:val="left"/>
    </w:lvl>
    <w:lvl w:ilvl="8" w:tplc="3A00A09A">
      <w:numFmt w:val="decimal"/>
      <w:lvlText w:val=""/>
      <w:lvlJc w:val="left"/>
    </w:lvl>
  </w:abstractNum>
  <w:abstractNum w:abstractNumId="1" w15:restartNumberingAfterBreak="0">
    <w:nsid w:val="40820B5D"/>
    <w:multiLevelType w:val="hybridMultilevel"/>
    <w:tmpl w:val="2BC81DDC"/>
    <w:lvl w:ilvl="0" w:tplc="CB4CCDD4">
      <w:start w:val="1"/>
      <w:numFmt w:val="bullet"/>
      <w:lvlText w:val="•"/>
      <w:lvlJc w:val="left"/>
      <w:pPr>
        <w:ind w:left="540" w:hanging="270"/>
      </w:pPr>
    </w:lvl>
    <w:lvl w:ilvl="1" w:tplc="F25659DA">
      <w:numFmt w:val="decimal"/>
      <w:lvlText w:val=""/>
      <w:lvlJc w:val="left"/>
    </w:lvl>
    <w:lvl w:ilvl="2" w:tplc="7862B1E4">
      <w:numFmt w:val="decimal"/>
      <w:lvlText w:val=""/>
      <w:lvlJc w:val="left"/>
    </w:lvl>
    <w:lvl w:ilvl="3" w:tplc="0D665A06">
      <w:numFmt w:val="decimal"/>
      <w:lvlText w:val=""/>
      <w:lvlJc w:val="left"/>
    </w:lvl>
    <w:lvl w:ilvl="4" w:tplc="164225D0">
      <w:numFmt w:val="decimal"/>
      <w:lvlText w:val=""/>
      <w:lvlJc w:val="left"/>
    </w:lvl>
    <w:lvl w:ilvl="5" w:tplc="E2B24F6A">
      <w:numFmt w:val="decimal"/>
      <w:lvlText w:val=""/>
      <w:lvlJc w:val="left"/>
    </w:lvl>
    <w:lvl w:ilvl="6" w:tplc="2C5C48C4">
      <w:numFmt w:val="decimal"/>
      <w:lvlText w:val=""/>
      <w:lvlJc w:val="left"/>
    </w:lvl>
    <w:lvl w:ilvl="7" w:tplc="1578ECAE">
      <w:numFmt w:val="decimal"/>
      <w:lvlText w:val=""/>
      <w:lvlJc w:val="left"/>
    </w:lvl>
    <w:lvl w:ilvl="8" w:tplc="98B01BB0">
      <w:numFmt w:val="decimal"/>
      <w:lvlText w:val=""/>
      <w:lvlJc w:val="left"/>
    </w:lvl>
  </w:abstractNum>
  <w:abstractNum w:abstractNumId="2" w15:restartNumberingAfterBreak="0">
    <w:nsid w:val="7DFF7A82"/>
    <w:multiLevelType w:val="hybridMultilevel"/>
    <w:tmpl w:val="609EE4EA"/>
    <w:lvl w:ilvl="0" w:tplc="686C6A12">
      <w:start w:val="1"/>
      <w:numFmt w:val="bullet"/>
      <w:lvlText w:val="●"/>
      <w:lvlJc w:val="left"/>
      <w:pPr>
        <w:ind w:left="720" w:hanging="360"/>
      </w:pPr>
    </w:lvl>
    <w:lvl w:ilvl="1" w:tplc="8B023B24">
      <w:start w:val="1"/>
      <w:numFmt w:val="bullet"/>
      <w:lvlText w:val="○"/>
      <w:lvlJc w:val="left"/>
      <w:pPr>
        <w:ind w:left="1440" w:hanging="360"/>
      </w:pPr>
    </w:lvl>
    <w:lvl w:ilvl="2" w:tplc="4F387FEE">
      <w:start w:val="1"/>
      <w:numFmt w:val="bullet"/>
      <w:lvlText w:val="■"/>
      <w:lvlJc w:val="left"/>
      <w:pPr>
        <w:ind w:left="2160" w:hanging="360"/>
      </w:pPr>
    </w:lvl>
    <w:lvl w:ilvl="3" w:tplc="4EDCC06A">
      <w:start w:val="1"/>
      <w:numFmt w:val="bullet"/>
      <w:lvlText w:val="●"/>
      <w:lvlJc w:val="left"/>
      <w:pPr>
        <w:ind w:left="2880" w:hanging="360"/>
      </w:pPr>
    </w:lvl>
    <w:lvl w:ilvl="4" w:tplc="24485E6C">
      <w:start w:val="1"/>
      <w:numFmt w:val="bullet"/>
      <w:lvlText w:val="○"/>
      <w:lvlJc w:val="left"/>
      <w:pPr>
        <w:ind w:left="3600" w:hanging="360"/>
      </w:pPr>
    </w:lvl>
    <w:lvl w:ilvl="5" w:tplc="B7BC4FBE">
      <w:start w:val="1"/>
      <w:numFmt w:val="bullet"/>
      <w:lvlText w:val="■"/>
      <w:lvlJc w:val="left"/>
      <w:pPr>
        <w:ind w:left="4320" w:hanging="360"/>
      </w:pPr>
    </w:lvl>
    <w:lvl w:ilvl="6" w:tplc="8EF0318C">
      <w:start w:val="1"/>
      <w:numFmt w:val="bullet"/>
      <w:lvlText w:val="●"/>
      <w:lvlJc w:val="left"/>
      <w:pPr>
        <w:ind w:left="5040" w:hanging="360"/>
      </w:pPr>
    </w:lvl>
    <w:lvl w:ilvl="7" w:tplc="46B64A72">
      <w:start w:val="1"/>
      <w:numFmt w:val="bullet"/>
      <w:lvlText w:val="●"/>
      <w:lvlJc w:val="left"/>
      <w:pPr>
        <w:ind w:left="5760" w:hanging="360"/>
      </w:pPr>
    </w:lvl>
    <w:lvl w:ilvl="8" w:tplc="6F1625E8">
      <w:start w:val="1"/>
      <w:numFmt w:val="bullet"/>
      <w:lvlText w:val="●"/>
      <w:lvlJc w:val="left"/>
      <w:pPr>
        <w:ind w:left="6480" w:hanging="360"/>
      </w:pPr>
    </w:lvl>
  </w:abstractNum>
  <w:num w:numId="1" w16cid:durableId="1061559264">
    <w:abstractNumId w:val="2"/>
    <w:lvlOverride w:ilvl="0">
      <w:startOverride w:val="1"/>
    </w:lvlOverride>
  </w:num>
  <w:num w:numId="2" w16cid:durableId="189145145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C58"/>
    <w:rsid w:val="0008156C"/>
    <w:rsid w:val="00242726"/>
    <w:rsid w:val="003C1500"/>
    <w:rsid w:val="003E64AB"/>
    <w:rsid w:val="00784C58"/>
    <w:rsid w:val="00791D7A"/>
    <w:rsid w:val="009D7188"/>
    <w:rsid w:val="00A43432"/>
    <w:rsid w:val="00D3032F"/>
    <w:rsid w:val="00D359B5"/>
    <w:rsid w:val="00DD2D2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E6C2280"/>
  <w15:docId w15:val="{A9428C38-1325-734B-ACCB-EFF0FAAB8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202020"/>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D9EAF7"/>
      </w:pBdr>
      <w:spacing w:before="280" w:after="100"/>
      <w:outlineLvl w:val="0"/>
    </w:pPr>
    <w:rPr>
      <w:rFonts w:ascii="Aptos Display" w:eastAsia="Aptos Display" w:hAnsi="Aptos Display" w:cs="Aptos Display"/>
      <w:b/>
      <w:bCs/>
      <w:color w:val="17365D"/>
      <w:sz w:val="29"/>
      <w:szCs w:val="29"/>
    </w:rPr>
  </w:style>
  <w:style w:type="paragraph" w:styleId="Heading2">
    <w:name w:val="heading 2"/>
    <w:uiPriority w:val="9"/>
    <w:unhideWhenUsed/>
    <w:qFormat/>
    <w:pPr>
      <w:keepNext/>
      <w:spacing w:before="200" w:after="80"/>
      <w:outlineLvl w:val="1"/>
    </w:pPr>
    <w:rPr>
      <w:b/>
      <w:bCs/>
      <w:color w:val="2F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outlineLvl w:val="0"/>
    </w:pPr>
    <w:rPr>
      <w:rFonts w:ascii="Aptos Display" w:eastAsia="Aptos Display" w:hAnsi="Aptos Display" w:cs="Aptos Display"/>
      <w:b/>
      <w:bCs/>
      <w:color w:val="17365D"/>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yperlink" Target="https://newsroom.subway.com/About-Subway" TargetMode="External"/><Relationship Id="rId12" Type="http://schemas.openxmlformats.org/officeDocument/2006/relationships/hyperlink" Target="https://storage.googleapis.com/wefranch-files/media/098057a4-577a-42d1-83c4-41ec959541a2/fdd_orig-636253_20240624.pdf" TargetMode="External"/><Relationship Id="rId13" Type="http://schemas.openxmlformats.org/officeDocument/2006/relationships/hyperlink" Target="https://www.qsrmagazine.com/story/qsr-50-2026-top-fast-food-sandwich-chains-ranked-by-sales/" TargetMode="External"/><Relationship Id="rId14" Type="http://schemas.openxmlformats.org/officeDocument/2006/relationships/hyperlink" Target="https://www.sec.gov/Archives/edgar/data/708821/000114036115013699/form10k.htm" TargetMode="External"/><Relationship Id="rId15" Type="http://schemas.openxmlformats.org/officeDocument/2006/relationships/hyperlink" Target="https://www.sec.gov/Archives/edgar/data/708821/000070882119000017/par12311810-k.htm" TargetMode="External"/><Relationship Id="rId16" Type="http://schemas.openxmlformats.org/officeDocument/2006/relationships/hyperlink" Target="https://newsroom.subway.com/2024-04-30-Subway-R-Sale-to-Roark-is-Complete" TargetMode="External"/><Relationship Id="rId17" Type="http://schemas.openxmlformats.org/officeDocument/2006/relationships/hyperlink" Target="https://newsroom.subway.com/Press-Releases?item=122557" TargetMode="External"/><Relationship Id="rId18" Type="http://schemas.openxmlformats.org/officeDocument/2006/relationships/hyperlink" Target="https://newsroom.subway.com/2026-04-28-Subway-R-Introduces-Its-First-Ever-Value-Menu-with-15-Entrees-Under-5" TargetMode="External"/><Relationship Id="rId19" Type="http://schemas.openxmlformats.org/officeDocument/2006/relationships/hyperlink" Target="https://apps.dfi.wi.gov/apps/FranchiseSearch/details.aspx?hash=1703189294&amp;id=641453&amp;search=external&amp;type=GENERAL" TargetMode="External"/><Relationship Id="rId20" Type="http://schemas.openxmlformats.org/officeDocument/2006/relationships/hyperlink" Target="https://fddindex.com/brand/subway/" TargetMode="External"/><Relationship Id="rId21" Type="http://schemas.openxmlformats.org/officeDocument/2006/relationships/hyperlink" Target="https://www.qsrmagazine.com/wp-content/uploads/2025/07/QSR_QSR50_AUGUST2025.pdf" TargetMode="External"/><Relationship Id="rId22" Type="http://schemas.openxmlformats.org/officeDocument/2006/relationships/hyperlink" Target="https://www.restaurantbusinessonline.com/financing/subways-corporate-profit-has-taken-under-roark-capital" TargetMode="External"/><Relationship Id="rId23" Type="http://schemas.openxmlformats.org/officeDocument/2006/relationships/hyperlink" Target="https://www.restaurantdive.com/news/subway-closes-3k-units-since-2021/819216/" TargetMode="External"/><Relationship Id="rId24" Type="http://schemas.openxmlformats.org/officeDocument/2006/relationships/hyperlink" Target="https://newsroom.subway.com/Leadership" TargetMode="External"/><Relationship Id="rId25" Type="http://schemas.openxmlformats.org/officeDocument/2006/relationships/hyperlink" Target="https://newsroom.subway.com/Asher-Perlmut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1760</Words>
  <Characters>10037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Del Taco Background Brief</vt:lpstr>
    </vt:vector>
  </TitlesOfParts>
  <Company/>
  <LinksUpToDate>false</LinksUpToDate>
  <CharactersWithSpaces>11774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Subway Account Background Brief</dc:title>
  <dc:creator>Global Payments Account Team</dc:creator>
  <dc:description>Internal account background and discovery preparation</dc:description>
  <cp:lastModifiedBy>Vahlsing, Todd</cp:lastModifiedBy>
  <cp:revision>4</cp:revision>
  <dcterms:created xsi:type="dcterms:W3CDTF">2026-09-04T14:57:00Z</dcterms:created>
  <dcterms:modified xsi:type="dcterms:W3CDTF">2026-09-04T15:33:00Z</dcterms:modified>
  <dc:subject>Internal account background and engagement preparation</dc:subject>
</cp:coreProperties>
</file>