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Subway Account and RFP Plan</w:t>
      </w:r>
    </w:p>
    <w:p>
      <w:pPr>
        <w:keepLines/>
      </w:pPr>
      <w:r>
        <w:t>Date: September 15, 2026</w:t>
      </w:r>
    </w:p>
    <w:p>
      <w:pPr>
        <w:keepLines/>
      </w:pPr>
      <w:r>
        <w:t>Audience: Global Payments/Genius and Worldpay internal account and bid teams</w:t>
      </w:r>
    </w:p>
    <w:p>
      <w:pPr>
        <w:keepLines/>
      </w:pPr>
      <w:r>
        <w:t>Status: Working plan; response ownership and customer facts require confirmation</w:t>
      </w:r>
    </w:p>
    <w:p>
      <w:pPr>
        <w:pStyle w:val="Heading1"/>
        <w:keepNext/>
        <w:keepLines/>
      </w:pPr>
      <w:r>
        <w:t>Sales objective and current posture</w:t>
      </w:r>
    </w:p>
    <w:p>
      <w:pPr>
        <w:keepLines/>
      </w:pPr>
      <w:r>
        <w:t>Win the applicable scope of Subway's North America Connected Restaurant Technology Program RFP—kiosk/KDS, installation and managed services, and/or DMB—through a compliant September 22 response that proves integration to Subway's operating baseline, rollout capacity, and store-level affordability. Subway permits partial bids; the team should select scope based on provable capability and economics, rather than assuming a single-provider award. The account relationship and Worldpay footprint should be reconciled internally before customer-facing positioning is finalized.</w:t>
      </w:r>
    </w:p>
    <w:p>
      <w:pPr>
        <w:pStyle w:val="Heading1"/>
        <w:keepNext/>
        <w:keepLines/>
      </w:pPr>
      <w:r>
        <w:t>Decision environment</w:t>
      </w:r>
    </w:p>
    <w:p>
      <w:pPr>
        <w:keepLines/>
      </w:pPr>
      <w:r>
        <w:t>Subway Procurement's Brian Bancroft is the primary event contact; Amanda Havens is the technical/Q&amp;A contact, and Suyog Sutar is an additional procurement contact. All RFP questions must use the vendor question form by 4:00 p.m. ET September 15, 2026. The workbook lists September 17 for Q&amp;A responses and September 22 for the RFP deadline. Existing Subway meetings during the event require advance notice to the event contacts and no RFP discussion. The bid team must not use the Worldpay relationship to bypass those rules. Confirm the account-side buyer, product owners, franchisee advisory role, funding authority, and contract decision path after the formal event permits it. Source: Subway RFP Enclosures 1 and 5.</w:t>
      </w:r>
    </w:p>
    <w:p>
      <w:pPr>
        <w:pStyle w:val="Heading1"/>
        <w:keepNext/>
        <w:keepLines/>
      </w:pPr>
      <w:r>
        <w:t>What the RFP asks for</w:t>
      </w:r>
    </w:p>
    <w:p>
      <w:pPr>
        <w:keepLines/>
      </w:pPr>
      <w:r>
        <w:t>The planned U.S. program ceiling is 5,000 restaurants, priced on three kiosks per store, with approximately 4,800 stores referenced for 2027. The Kiosk/KDS workbook conflicts on 2026 phasing: approximately 25 stores in Market Coverage requirement 10 versus approximately 200 in the instructions. Kiosk/KDS scope includes tabletop and pedestal form factors, guest-ordering software or compatibility with Subway/third-party software, KDS, POS-adjacent peripherals, ADA compliance, security, and integration. Subway's current baseline names SubwayPOS, Subway Payment Manager, FreedomPay, Ingenico Lane/3600, Canopy MDM, Splashtop, Fresh Connect APIs, and a specified store network and mounting/counter environment. Source: Subway RFP Enclosure 1.</w:t>
      </w:r>
    </w:p>
    <w:p>
      <w:pPr>
        <w:pStyle w:val="Heading1"/>
        <w:keepNext/>
        <w:keepLines/>
      </w:pPr>
      <w:r>
        <w:t>Additional account intelligence from the first call</w:t>
      </w:r>
    </w:p>
    <w:p>
      <w:pPr>
        <w:keepLines/>
      </w:pPr>
      <w:r>
        <w:t>The 7:39 call reported unsuccessful outreach to a new Subway technology leader formerly at RBI and the loss of another Subway contact; names and role details are unclear in the recording. NCR was mentioned as potentially active at Subway, without confirmation of an RFP bid. The PAR discussion recalled a further account loss roughly five or six years ago, which may be a different event from the reported 2000–01 hardware loss and requires a documented chronology. The team viewed price and the choice of current versus next-generation kiosk hardware/software as key bid decisions, and said Nick was on daily RFP calls. The desired internal draft target is Friday, September 18, ahead of the September 22 submission. These observations need internal validation and must not drive off-channel customer outreach. Source: JPR 07:39 call, September 15, 2026.</w:t>
      </w:r>
    </w:p>
    <w:p>
      <w:pPr>
        <w:pStyle w:val="Heading1"/>
        <w:keepNext/>
        <w:keepLines/>
      </w:pPr>
      <w:r>
        <w:t>Response status and critical path</w:t>
      </w:r>
    </w:p>
    <w:p>
      <w:pPr>
        <w:keepLines/>
      </w:pPr>
      <w:r>
        <w:t>The workbook completion trackers show Kiosk/KDS 24/215, installation/managed services 14/143, and DMB 58/189 completed. These are draft tracker figures, not independently validated response quality. The consolidated tracker counts installation pricing as 15 items, while its source workbook counts 21; reconcile before using any percentage as a management metric. Pricing is entirely incomplete in the tracked hardware, installation, and DMB grids. Hardware shows 0/105 completed in the tracker; Integration &amp; Environment shows 0/19 completed with 18 needing response and one double-check. DMB General Questions has 70 double-check flags. Installation qualitative has 49 needing response and 59 double-check flags.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Priority</w:t>
            </w:r>
          </w:p>
        </w:tc>
        <w:tc>
          <w:tcPr>
            <w:tcW w:type="dxa" w:w="2484"/>
          </w:tcPr>
          <w:p>
            <w:r>
              <w:t>Decision or deliverable</w:t>
            </w:r>
          </w:p>
        </w:tc>
        <w:tc>
          <w:tcPr>
            <w:tcW w:type="dxa" w:w="2484"/>
          </w:tcPr>
          <w:p>
            <w:r>
              <w:t>Accountable team lead</w:t>
            </w:r>
          </w:p>
        </w:tc>
        <w:tc>
          <w:tcPr>
            <w:tcW w:type="dxa" w:w="2484"/>
          </w:tcPr>
          <w:p>
            <w:r>
              <w:t>Completion evidence</w:t>
            </w:r>
          </w:p>
        </w:tc>
      </w:tr>
      <w:tr>
        <w:tc>
          <w:tcPr>
            <w:tcW w:type="dxa" w:w="2484"/>
          </w:tcPr>
          <w:p>
            <w:r>
              <w:t>P0</w:t>
            </w:r>
          </w:p>
        </w:tc>
        <w:tc>
          <w:tcPr>
            <w:tcW w:type="dxa" w:w="2484"/>
          </w:tcPr>
          <w:p>
            <w:r>
              <w:t>Confirm bid scopes, submission date/time, and whether the question form went in before the September 15 cutoff</w:t>
            </w:r>
          </w:p>
        </w:tc>
        <w:tc>
          <w:tcPr>
            <w:tcW w:type="dxa" w:w="2484"/>
          </w:tcPr>
          <w:p>
            <w:r>
              <w:t>Bid lead: Nicholas Hulayew; confirm</w:t>
            </w:r>
          </w:p>
        </w:tc>
        <w:tc>
          <w:tcPr>
            <w:tcW w:type="dxa" w:w="2484"/>
          </w:tcPr>
          <w:p>
            <w:r>
              <w:t>Scope decision, received Q&amp;A confirmation, response calendar</w:t>
            </w:r>
          </w:p>
        </w:tc>
      </w:tr>
      <w:tr>
        <w:tc>
          <w:tcPr>
            <w:tcW w:type="dxa" w:w="2484"/>
          </w:tcPr>
          <w:p>
            <w:r>
              <w:t>P0</w:t>
            </w:r>
          </w:p>
        </w:tc>
        <w:tc>
          <w:tcPr>
            <w:tcW w:type="dxa" w:w="2484"/>
          </w:tcPr>
          <w:p>
            <w:r>
              <w:t>Resolve 25 vs 200 stores for 2026, rollout capacity, and realistic 2027 throughput</w:t>
            </w:r>
          </w:p>
        </w:tc>
        <w:tc>
          <w:tcPr>
            <w:tcW w:type="dxa" w:w="2484"/>
          </w:tcPr>
          <w:p>
            <w:r>
              <w:t>Services/operations lead: assign</w:t>
            </w:r>
          </w:p>
        </w:tc>
        <w:tc>
          <w:tcPr>
            <w:tcW w:type="dxa" w:w="2484"/>
          </w:tcPr>
          <w:p>
            <w:r>
              <w:t>Formal clarification or documented planning assumption; quantified capacity model</w:t>
            </w:r>
          </w:p>
        </w:tc>
      </w:tr>
      <w:tr>
        <w:tc>
          <w:tcPr>
            <w:tcW w:type="dxa" w:w="2484"/>
          </w:tcPr>
          <w:p>
            <w:r>
              <w:t>P0</w:t>
            </w:r>
          </w:p>
        </w:tc>
        <w:tc>
          <w:tcPr>
            <w:tcW w:type="dxa" w:w="2484"/>
          </w:tcPr>
          <w:p>
            <w:r>
              <w:t>Prove SPOS kiosk integration path, Fresh Connect approach, payment pairing, Canopy/Splashtop compatibility, ADA/counter fit</w:t>
            </w:r>
          </w:p>
        </w:tc>
        <w:tc>
          <w:tcPr>
            <w:tcW w:type="dxa" w:w="2484"/>
          </w:tcPr>
          <w:p>
            <w:r>
              <w:t>Product and technical leads: Andy Grindstaff plus assigned kiosk/integration owner</w:t>
            </w:r>
          </w:p>
        </w:tc>
        <w:tc>
          <w:tcPr>
            <w:tcW w:type="dxa" w:w="2484"/>
          </w:tcPr>
          <w:p>
            <w:r>
              <w:t>Requirement-by-requirement compliance evidence, dates, partner dependencies</w:t>
            </w:r>
          </w:p>
        </w:tc>
      </w:tr>
      <w:tr>
        <w:tc>
          <w:tcPr>
            <w:tcW w:type="dxa" w:w="2484"/>
          </w:tcPr>
          <w:p>
            <w:r>
              <w:t>P0</w:t>
            </w:r>
          </w:p>
        </w:tc>
        <w:tc>
          <w:tcPr>
            <w:tcW w:type="dxa" w:w="2484"/>
          </w:tcPr>
          <w:p>
            <w:r>
              <w:t>Complete hardware, installation, and DMB pricing and operator cost bridge</w:t>
            </w:r>
          </w:p>
        </w:tc>
        <w:tc>
          <w:tcPr>
            <w:tcW w:type="dxa" w:w="2484"/>
          </w:tcPr>
          <w:p>
            <w:r>
              <w:t>Commercial lead: assign; workbook pricing owner Michael</w:t>
            </w:r>
          </w:p>
        </w:tc>
        <w:tc>
          <w:tcPr>
            <w:tcW w:type="dxa" w:w="2484"/>
          </w:tcPr>
          <w:p>
            <w:r>
              <w:t>Filled grids, per-store total, volume bands, 120-day validity, signed pricing review</w:t>
            </w:r>
          </w:p>
        </w:tc>
      </w:tr>
      <w:tr>
        <w:tc>
          <w:tcPr>
            <w:tcW w:type="dxa" w:w="2484"/>
          </w:tcPr>
          <w:p>
            <w:r>
              <w:t>P0</w:t>
            </w:r>
          </w:p>
        </w:tc>
        <w:tc>
          <w:tcPr>
            <w:tcW w:type="dxa" w:w="2484"/>
          </w:tcPr>
          <w:p>
            <w:r>
              <w:t>Complete bid roster, signatory authority, partner NDA checks, and bid-to-account-team transition attachment</w:t>
            </w:r>
          </w:p>
        </w:tc>
        <w:tc>
          <w:tcPr>
            <w:tcW w:type="dxa" w:w="2484"/>
          </w:tcPr>
          <w:p>
            <w:r>
              <w:t>Bid lead, legal lead Joana Mangum, account lead: assign</w:t>
            </w:r>
          </w:p>
        </w:tc>
        <w:tc>
          <w:tcPr>
            <w:tcW w:type="dxa" w:w="2484"/>
          </w:tcPr>
          <w:p>
            <w:r>
              <w:t>Completed Enclosure 5 and attachments, signed approval</w:t>
            </w:r>
          </w:p>
        </w:tc>
      </w:tr>
      <w:tr>
        <w:tc>
          <w:tcPr>
            <w:tcW w:type="dxa" w:w="2484"/>
          </w:tcPr>
          <w:p>
            <w:r>
              <w:t>P1</w:t>
            </w:r>
          </w:p>
        </w:tc>
        <w:tc>
          <w:tcPr>
            <w:tcW w:type="dxa" w:w="2484"/>
          </w:tcPr>
          <w:p>
            <w:r>
              <w:t>Rework executive summary to lead with the three bid scopes and the existing Subway stack rather than a broad POS replacement</w:t>
            </w:r>
          </w:p>
        </w:tc>
        <w:tc>
          <w:tcPr>
            <w:tcW w:type="dxa" w:w="2484"/>
          </w:tcPr>
          <w:p>
            <w:r>
              <w:t>Bid lead and product marketing</w:t>
            </w:r>
          </w:p>
        </w:tc>
        <w:tc>
          <w:tcPr>
            <w:tcW w:type="dxa" w:w="2484"/>
          </w:tcPr>
          <w:p>
            <w:r>
              <w:t>Scoped cover letter tied to actual compliance and financial model</w:t>
            </w:r>
          </w:p>
        </w:tc>
      </w:tr>
      <w:tr>
        <w:tc>
          <w:tcPr>
            <w:tcW w:type="dxa" w:w="2484"/>
          </w:tcPr>
          <w:p>
            <w:r>
              <w:t>P1</w:t>
            </w:r>
          </w:p>
        </w:tc>
        <w:tc>
          <w:tcPr>
            <w:tcW w:type="dxa" w:w="2484"/>
          </w:tcPr>
          <w:p>
            <w:r>
              <w:t>Verify Genius KDS contracted/live/referenceable count and outcomes before using it as a proof point</w:t>
            </w:r>
          </w:p>
        </w:tc>
        <w:tc>
          <w:tcPr>
            <w:tcW w:type="dxa" w:w="2484"/>
          </w:tcPr>
          <w:p>
            <w:r>
              <w:t>Genius account/product owner: assign</w:t>
            </w:r>
          </w:p>
        </w:tc>
        <w:tc>
          <w:tcPr>
            <w:tcW w:type="dxa" w:w="2484"/>
          </w:tcPr>
          <w:p>
            <w:r>
              <w:t>Contract and deployment records; approved reference language</w:t>
            </w:r>
          </w:p>
        </w:tc>
      </w:tr>
      <w:tr>
        <w:tc>
          <w:tcPr>
            <w:tcW w:type="dxa" w:w="2484"/>
          </w:tcPr>
          <w:p>
            <w:r>
              <w:t>P1</w:t>
            </w:r>
          </w:p>
        </w:tc>
        <w:tc>
          <w:tcPr>
            <w:tcW w:type="dxa" w:w="2484"/>
          </w:tcPr>
          <w:p>
            <w:r>
              <w:t>Reconcile Worldpay's Subway relationship, the lost contact, unanswered technology-leader outreach, current profitability/footprint, stakeholders and account ownership</w:t>
            </w:r>
          </w:p>
        </w:tc>
        <w:tc>
          <w:tcPr>
            <w:tcW w:type="dxa" w:w="2484"/>
          </w:tcPr>
          <w:p>
            <w:r>
              <w:t>Worldpay relationship owner: identify</w:t>
            </w:r>
          </w:p>
        </w:tc>
        <w:tc>
          <w:tcPr>
            <w:tcW w:type="dxa" w:w="2484"/>
          </w:tcPr>
          <w:p>
            <w:r>
              <w:t>Internal relationship map, risks, common account posture</w:t>
            </w:r>
          </w:p>
        </w:tc>
      </w:tr>
    </w:tbl>
    <w:p>
      <w:pPr>
        <w:pStyle w:val="Heading1"/>
        <w:keepNext/>
        <w:keepLines/>
      </w:pPr>
      <w:r>
        <w:t>Commercial and rollout test</w:t>
      </w:r>
    </w:p>
    <w:p>
      <w:pPr>
        <w:keepLines/>
      </w:pPr>
      <w:r>
        <w:t>Separate upfront hardware, kiosk software, KDS, DMB, installation, survey/staging, managed support, payment integration, and maintenance by store and by payer. Compare new costs with displaced costs and identify the corporate/franchisee share. At QSR's estimated 2025 U.S. average unit sales of $490,000, a $100 monthly store fee equals $1,200 annually, roughly 0.245% of sales; this is a sensitivity illustration, not an operating-margin estimate. Show low-volume and multi-unit cases, financing options only if approved and priced, and a credible survey/installation model that does not presume every operator will buy a premium professional install. Pilot, production, and 2027 capacity should be checked against labor, subcontractors, inventory, freight, site readiness, and support staffing. Sources: Subway 2024 U.S. FDD; QSR 50 2026; RFP Enclosures 1–3.</w:t>
      </w:r>
    </w:p>
    <w:p>
      <w:pPr>
        <w:pStyle w:val="Heading1"/>
        <w:keepNext/>
        <w:keepLines/>
      </w:pPr>
      <w:r>
        <w:t>Team alignment</w:t>
      </w:r>
    </w:p>
    <w:p>
      <w:pPr>
        <w:keepLines/>
      </w:pPr>
      <w:r>
        <w:t>Use the Worldpay meeting to establish one internal account narrative: what Worldpay sells or supports at Subway today, named relationship holders and their access, current relationship health, renewal/contract exposure, and where its payments expertise improves the bid. Separately confirm the Genius KDS relationship and the bid team's owners. Route all event-related customer communication through Subway's named RFP contacts and form. One designated account manager should own the post-award handoff across Genius and Worldpay; the Rules of Engagement explicitly asks for this role and transition timing.</w:t>
      </w:r>
    </w:p>
    <w:p>
      <w:pPr>
        <w:pStyle w:val="Heading1"/>
        <w:keepNext/>
        <w:keepLines/>
      </w:pPr>
      <w:r>
        <w:t>Submission gates</w:t>
      </w:r>
    </w:p>
    <w:p>
      <w:pPr>
        <w:keepLines/>
      </w:pPr>
      <w:r>
        <w:t>Before submission, verify every applicable question is answered or marked N/A with a reason; all requirement codes have evidence; all pricing grids and summary links are complete; subcontractors are named and authorized; all claims in the executive summary are documented; the MSA/legal position is reviewed; the Enclosure 5 roster, authorized signatory, account manager, and transition attachment are complete; and the final native Excel files are opened and checked for blanks and formula errors. Do not submit partial or late responses: Enclosure 5 says they are rejected.</w:t>
      </w:r>
    </w:p>
    <w:p>
      <w:pPr>
        <w:pStyle w:val="Heading1"/>
        <w:keepNext/>
        <w:keepLines/>
      </w:pPr>
      <w:r>
        <w:t>Evidence limits</w:t>
      </w:r>
    </w:p>
    <w:p>
      <w:pPr>
        <w:keepLines/>
      </w:pPr>
      <w:r>
        <w:t>The RFP package provided for this plan omits the vendor question form, MSA, invitation email, cover letter, and addenda. The September 15 7:39 Genius-side and 10:00 Worldpay calls were reviewed. They confirm Nick-led bid coordination and Stacey as the named Worldpay relationship manager, while current Worldpay commercial status, customer meeting details, and stakeholder access remain unverified. No customer answer or formal relationship reconciliation has yet been reviewed for this plan. The draft response workbooks show internal commentary/status values, which are not proof of technical capability or final approval. PAR's 2000–01 loss and the HP outcome remain historical reported intelligence; later PAR filings show subsequent Subway business and do not establish the current bid competition.</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 Internal team • September 15,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SUBWAY | ACCOUNT AND RFP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Account and RFP Plan</dc:title>
  <dc:subject/>
  <dc:creator>Global Payments Account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