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DE9E0D" w14:textId="77777777" w:rsidR="00784C58" w:rsidRDefault="00000000">
      <w:pPr>
        <w:pStyle w:val="Title"/>
      </w:pPr>
      <w:r>
        <w:t>Del Taco Background Brief</w:t>
      </w:r>
    </w:p>
    <w:p w14:paraId="7E622106" w14:textId="77777777" w:rsidR="00784C58" w:rsidRDefault="00000000">
      <w:pPr>
        <w:spacing w:after="120" w:line="276" w:lineRule="auto"/>
      </w:pPr>
      <w:r>
        <w:t>Prepared for: Todd Vahlsing</w:t>
      </w:r>
    </w:p>
    <w:p w14:paraId="1599EE40" w14:textId="77777777" w:rsidR="00784C58" w:rsidRDefault="00000000">
      <w:pPr>
        <w:spacing w:after="120" w:line="276" w:lineRule="auto"/>
      </w:pPr>
      <w:r>
        <w:t>Purpose: Account background and discovery preparation</w:t>
      </w:r>
    </w:p>
    <w:p w14:paraId="4D55C585" w14:textId="77777777" w:rsidR="00784C58" w:rsidRDefault="00000000">
      <w:pPr>
        <w:spacing w:after="120" w:line="276" w:lineRule="auto"/>
      </w:pPr>
      <w:r>
        <w:t>Current posture: pre-engagement research — not yet a confirmed active opportunity</w:t>
      </w:r>
    </w:p>
    <w:p w14:paraId="6E8768F6" w14:textId="77777777" w:rsidR="00784C58" w:rsidRDefault="00000000">
      <w:pPr>
        <w:pStyle w:val="Heading1"/>
      </w:pPr>
      <w:r>
        <w:t>Executive Summary</w:t>
      </w:r>
    </w:p>
    <w:p w14:paraId="5BD2A9EA" w14:textId="77777777" w:rsidR="00784C58" w:rsidRDefault="00000000">
      <w:pPr>
        <w:pStyle w:val="Heading1"/>
      </w:pPr>
      <w:r>
        <w:t>Brand Profile</w:t>
      </w:r>
    </w:p>
    <w:p w14:paraId="06E85480" w14:textId="77777777" w:rsidR="00784C58" w:rsidRDefault="00000000">
      <w:pPr>
        <w:pStyle w:val="Title"/>
      </w:pPr>
      <w:r>
        <w:t>Del Taco — Executive Summary</w:t>
      </w:r>
    </w:p>
    <w:p w14:paraId="19FE751D" w14:textId="77777777" w:rsidR="00784C58" w:rsidRDefault="00000000">
      <w:pPr>
        <w:spacing w:after="120" w:line="276" w:lineRule="auto"/>
      </w:pPr>
      <w:r>
        <w:t xml:space="preserve">Del Taco is now a Yadav Enterprises-owned, predominantly franchised Mexican QSR executing an 18-month post-acquisition turnaround called </w:t>
      </w:r>
      <w:r>
        <w:rPr>
          <w:b/>
          <w:bCs/>
        </w:rPr>
        <w:t>Project Sunrise</w:t>
      </w:r>
      <w:r>
        <w:t>. Yadav acquired the brand from Jack in the Box in late 2025; the announced purchase price was $115 million, and Jack in the Box later reported $119 million after customary adjustments. At fiscal year-end September 28, 2025, Del Taco had 576 restaurants—132 company-operated and 444 franchised—and generated $918.8 million in systemwide sales. That inherited baseline was under pressure: FY2025 system same-store sales declined 3.7%, company-store transactions declined 6.9% despite about 5.5% menu pricing, 14 restaurants opened, 32 closed, and reported restaurant-level margin was 11.1%. Company restaurant sales fell 25.3%, driven primarily by a lower average restaurant count and weaker transactions.</w:t>
      </w:r>
    </w:p>
    <w:p w14:paraId="51DF9F5E" w14:textId="77777777" w:rsidR="00784C58" w:rsidRDefault="00000000">
      <w:pPr>
        <w:spacing w:after="120" w:line="276" w:lineRule="auto"/>
      </w:pPr>
      <w:r>
        <w:t xml:space="preserve">Yadav's January 2026 leadership reset signals an active transformation agenda. Confirmed leaders include Anil Yadav, CEO of Yadav Enterprises; </w:t>
      </w:r>
      <w:proofErr w:type="spellStart"/>
      <w:r>
        <w:t>Ulyses</w:t>
      </w:r>
      <w:proofErr w:type="spellEnd"/>
      <w:r>
        <w:t xml:space="preserve"> Camacho, Chief Transformation Officer supporting the Del Taco acquisition while continuing as Taco Cabana president and COO; Noah Chillingworth, Del Taco Chief Marketing Officer; and Ellen Sasada, Vice President of Supply Chain, Food Safety, and Quality Assurance. Camacho's mandate includes unit-level execution, cost optimization, and modernization of systems and processes. Chillingworth owns brand strategy, menu and promotional marketing, digital and loyalty platforms, and guest insight. Project Sunrise is returning legacy products and preparation methods, simplifying where needed, and rebuilding around consistency, quality, value, traffic, and guest trust. A May 2026 value-menu launch with 11 items starting at $1 reinforces value as a central traffic lever.</w:t>
      </w:r>
    </w:p>
    <w:p w14:paraId="0AF1BE15" w14:textId="3B83EDBA" w:rsidR="00784C58" w:rsidRDefault="00000000">
      <w:pPr>
        <w:spacing w:after="120" w:line="276" w:lineRule="auto"/>
      </w:pPr>
      <w:r>
        <w:t xml:space="preserve">The technology picture contains both opportunity and a major qualification requirement. Qu announced in 2024 that Jack in the Box and Del Taco would modernize on its unified commerce platform across POS, drive-thru, kiosk, kitchen, online ordering, and fulfillment. Del Taco also has historical NCR/Radiant Aloha and </w:t>
      </w:r>
      <w:proofErr w:type="spellStart"/>
      <w:r>
        <w:t>MenuLink</w:t>
      </w:r>
      <w:proofErr w:type="spellEnd"/>
      <w:r>
        <w:t xml:space="preserve"> evidence, an Olo loyalty relationship at medium confidence, and a Worldpay payments relationship. Presto announced a drive-thru voice-AI expansion in 2022, but a November 2023 securities filing later disclosed that Del Taco decided not to move forward; Presto must therefore be treated as historical/discontinued unless current evidence proves otherwise. The post-acquisition status of every inherited system—especially Qu—must be validated before positioning Genius.</w:t>
      </w:r>
    </w:p>
    <w:p w14:paraId="7715D270" w14:textId="4D91EC07" w:rsidR="00784C58" w:rsidRDefault="00D359B5">
      <w:pPr>
        <w:spacing w:after="120" w:line="276" w:lineRule="auto"/>
      </w:pPr>
      <w:r>
        <w:t>Conversations</w:t>
      </w:r>
      <w:r w:rsidR="00000000">
        <w:t xml:space="preserve"> with Michael Schwartz</w:t>
      </w:r>
      <w:r>
        <w:t xml:space="preserve"> and Ryan Hildebrand</w:t>
      </w:r>
      <w:r w:rsidR="00000000">
        <w:t xml:space="preserve"> add</w:t>
      </w:r>
      <w:r>
        <w:t>ed</w:t>
      </w:r>
      <w:r w:rsidR="00000000">
        <w:t xml:space="preserve"> timely internal account intelligence. Michael characterized Del Taco as an upcoming opportunity and emphasized strong alignment with Worldpay enterprise stakeholders. Worldpay </w:t>
      </w:r>
      <w:r>
        <w:t>is</w:t>
      </w:r>
      <w:r w:rsidR="00000000">
        <w:t xml:space="preserve"> in the middle of the contract renewal and that this was a good moment to engage, although Maggie Lenhart had been cautious about introducing a competing motion during renewal. </w:t>
      </w:r>
      <w:r>
        <w:t xml:space="preserve">Ryan </w:t>
      </w:r>
      <w:r w:rsidR="00000000">
        <w:t xml:space="preserve">recommended Dan Fideli as a priority connection because of his remaining Del Taco relationships. He described Daniel as Del Taco's day-to-day technology lead and Dean Kimble as Daniel's boss, Yadav's CIO, a </w:t>
      </w:r>
      <w:r w:rsidR="00000000">
        <w:lastRenderedPageBreak/>
        <w:t xml:space="preserve">Genius customer-advisory-board member, and a long-standing relationship from the </w:t>
      </w:r>
      <w:proofErr w:type="spellStart"/>
      <w:r w:rsidR="00000000">
        <w:t>Xpient</w:t>
      </w:r>
      <w:proofErr w:type="spellEnd"/>
      <w:r w:rsidR="00000000">
        <w:t>/IRIS era. He also identified Dana—now on the Jack in the Box side—as a strong former Del Taco technology leader who has already helped make reintroductions. These names and roles are internal reported intelligence and require spelling, title, and decision-authority validation before external use.</w:t>
      </w:r>
    </w:p>
    <w:p w14:paraId="1B371657" w14:textId="4E3C32B3" w:rsidR="00784C58" w:rsidRDefault="00000000">
      <w:pPr>
        <w:spacing w:after="120" w:line="276" w:lineRule="auto"/>
      </w:pPr>
      <w:r>
        <w:t xml:space="preserve">The recommended posture is a relationship-led, discovery-first wedge—not a generic replacement pitch. </w:t>
      </w:r>
      <w:r w:rsidR="00D359B5">
        <w:t>Ryan</w:t>
      </w:r>
      <w:r>
        <w:t xml:space="preserve">'s current field read is that Del Taco's POS direction is uncertain, while digital menu boards may be the nearer-term opening; he said Del Taco is a long-time NCR customer and that DMB may move before POS. Project Sunrise makes store-level execution, value communication, menu accuracy, promotional speed, franchisee economics, reliability, and cost discipline the relevant business outcomes. </w:t>
      </w:r>
    </w:p>
    <w:p w14:paraId="39CA9CBB" w14:textId="77777777" w:rsidR="00784C58" w:rsidRDefault="00000000">
      <w:pPr>
        <w:spacing w:after="120" w:line="276" w:lineRule="auto"/>
      </w:pPr>
      <w:r>
        <w:t xml:space="preserve">Primary sources: Del Taco/Business Wire acquisition release; Jack in the Box FY2025 Form 10-K and SEC sale filings; Del Taco's January 2026 leadership announcement; Qu's April 2024 platform announcement; Presto's Del Taco deployment announcement and subsequent SEC disclosure. Current-industry sources: Restaurant Business and Nation's Restaurant News coverage of Project Sunrise, leadership, and the 2026 value menu. Internal evidence: RB uploaded documents </w:t>
      </w:r>
      <w:r>
        <w:rPr>
          <w:rFonts w:ascii="Aptos Mono" w:eastAsia="Aptos Mono" w:hAnsi="Aptos Mono" w:cs="Aptos Mono"/>
          <w:color w:val="444444"/>
        </w:rPr>
        <w:t>b397f98f7f945d65</w:t>
      </w:r>
      <w:r>
        <w:t xml:space="preserve"> and </w:t>
      </w:r>
      <w:r>
        <w:rPr>
          <w:rFonts w:ascii="Aptos Mono" w:eastAsia="Aptos Mono" w:hAnsi="Aptos Mono" w:cs="Aptos Mono"/>
          <w:color w:val="444444"/>
        </w:rPr>
        <w:t>12039d9290407a7a</w:t>
      </w:r>
      <w:r>
        <w:t xml:space="preserve">, plus processed capture </w:t>
      </w:r>
      <w:r>
        <w:rPr>
          <w:rFonts w:ascii="Aptos Mono" w:eastAsia="Aptos Mono" w:hAnsi="Aptos Mono" w:cs="Aptos Mono"/>
          <w:color w:val="444444"/>
        </w:rPr>
        <w:t>cap-9ac988ff207b0dc3</w:t>
      </w:r>
      <w:r>
        <w:t>.</w:t>
      </w:r>
    </w:p>
    <w:p w14:paraId="4530BF26" w14:textId="77777777" w:rsidR="00784C58" w:rsidRDefault="00000000">
      <w:pPr>
        <w:pStyle w:val="Heading1"/>
      </w:pPr>
      <w:r>
        <w:t>Current Business Situation</w:t>
      </w:r>
    </w:p>
    <w:p w14:paraId="A1B2C301" w14:textId="77777777">
      <w:pPr>
        <w:spacing w:after="120" w:line="276" w:lineRule="auto"/>
      </w:pPr>
      <w:r>
        <w:t>Del Taco entered Yadav Enterprises ownership on December 22, 2025, following a sale by Jack in the Box valued at approximately $119 million after customary adjustments. The inherited operating base comprised 576 restaurants at fiscal year-end 2025, with 444 franchised and 132 company-operated locations. Fiscal 2025 systemwide sales were $918.8 million, but system same-store sales declined 3.7%, company-store transactions declined 6.9%, and restaurant-level margin was 11.1%. Fourteen restaurants opened while 32 closed.</w:t>
      </w:r>
    </w:p>
    <w:p w14:paraId="A1B2C302" w14:textId="77777777">
      <w:pPr>
        <w:spacing w:after="120" w:line="276" w:lineRule="auto"/>
      </w:pPr>
      <w:r>
        <w:t>Management is now executing Project Sunrise, an 18-month turnaround centered on restoring core food quality and consistency, simplifying operations where needed, strengthening value, rebuilding guest trust, accelerating executable menu innovation, expanding catering, and improving loyalty. The plan is not merely a marketing reset: it creates an operating mandate across marketing, R&amp;D, operations, sourcing, franchise relations, and technology. Del Taco expects seven openings in 2026 and has announced development commitments in Indiana and Kentucky while evaluating selected reopenings in Georgia.</w:t>
      </w:r>
    </w:p>
    <w:p w14:paraId="A1B2C303" w14:textId="77777777">
      <w:pPr>
        <w:spacing w:after="120" w:line="276" w:lineRule="auto"/>
      </w:pPr>
      <w:r>
        <w:t>For Genius, the most credible near-term entry point is a discovery-led digital menu board and restaurant-technology conversation tied directly to Project Sunrise outcomes: faster promotional execution, accurate menu and price changes, improved restaurant consistency, lower operating friction, and better franchisee economics. POS should remain a qualified expansion path until Del Taco confirms the post-acquisition status of Qu, the remaining NCR estate, contract timing, deployment cohorts, and ownership of the decision.</w:t>
      </w:r>
    </w:p>
    <w:p w14:paraId="7A21EA85" w14:textId="77777777" w:rsidR="00784C58" w:rsidRDefault="00000000">
      <w:pPr>
        <w:pStyle w:val="Heading1"/>
      </w:pPr>
      <w:r>
        <w:t>Leadership</w:t>
      </w:r>
    </w:p>
    <w:p w14:paraId="022EE8BB" w14:textId="77777777" w:rsidR="00784C58" w:rsidRDefault="00000000">
      <w:pPr>
        <w:pStyle w:val="Heading2"/>
      </w:pPr>
      <w:r>
        <w:t>Confirmed</w:t>
      </w:r>
    </w:p>
    <w:p w14:paraId="A1B2C311" w14:textId="77777777">
      <w:pPr>
        <w:pStyle w:val="ListParagraph"/>
        <w:numPr>
          <w:ilvl w:val="0"/>
          <w:numId w:val="1"/>
        </w:numPr>
        <w:spacing w:after="120" w:line="276" w:lineRule="auto"/>
      </w:pPr>
      <w:r>
        <w:rPr>
          <w:b/>
        </w:rPr>
        <w:t>Anil Yadav — Chief Executive Officer, Yadav Enterprises.</w:t>
      </w:r>
      <w:r>
        <w:t xml:space="preserve"> Buyer guarantor in the Del Taco transaction and the senior owner-executive publicly accountable for the brand’s turnaround. He frames Project Sunrise around restoring Del Taco’s core promise while improving long-term performance and scalability.</w:t>
      </w:r>
    </w:p>
    <w:p w14:paraId="A1B2C312" w14:textId="77777777">
      <w:pPr>
        <w:pStyle w:val="ListParagraph"/>
        <w:numPr>
          <w:ilvl w:val="0"/>
          <w:numId w:val="1"/>
        </w:numPr>
        <w:spacing w:after="120" w:line="276" w:lineRule="auto"/>
      </w:pPr>
      <w:r>
        <w:rPr>
          <w:b/>
        </w:rPr>
        <w:t>Ulyses Camacho — Chief Transformation Officer, Del Taco / Yadav Enterprises.</w:t>
      </w:r>
      <w:r>
        <w:t xml:space="preserve"> Leads enterprise-wide transformation supporting the acquisition, with emphasis on unit-level execution, cost optimization, modernized systems and processes, financial performance, and scalable growth. He concurrently serves as President and COO of Taco Cabana and has nearly 30 years of franchise-restaurant experience.</w:t>
      </w:r>
    </w:p>
    <w:p w14:paraId="A1B2C313" w14:textId="77777777">
      <w:pPr>
        <w:pStyle w:val="ListParagraph"/>
        <w:numPr>
          <w:ilvl w:val="0"/>
          <w:numId w:val="1"/>
        </w:numPr>
        <w:spacing w:after="120" w:line="276" w:lineRule="auto"/>
      </w:pPr>
      <w:r>
        <w:rPr>
          <w:b/>
        </w:rPr>
        <w:t>Noah Chillingworth — Chief Marketing Officer, Del Taco.</w:t>
      </w:r>
      <w:r>
        <w:t xml:space="preserve"> Owns brand strategy, menu and promotional marketing, digital and loyalty platforms, and guest insight. Chillingworth returned after previously serving at Del Taco from 2009 to 2024, most recently as Vice President of Marketing, and is a visible executive sponsor of Project Sunrise.</w:t>
      </w:r>
    </w:p>
    <w:p w14:paraId="A1B2C314" w14:textId="77777777">
      <w:pPr>
        <w:pStyle w:val="ListParagraph"/>
        <w:numPr>
          <w:ilvl w:val="0"/>
          <w:numId w:val="1"/>
        </w:numPr>
        <w:spacing w:after="120" w:line="276" w:lineRule="auto"/>
      </w:pPr>
      <w:r>
        <w:rPr>
          <w:b/>
        </w:rPr>
        <w:t>Ellen Sasada — Vice President, Supply Chain, Food Safety and Quality Assurance, Del Taco.</w:t>
      </w:r>
      <w:r>
        <w:t xml:space="preserve"> Returned to Del Taco after prior leadership responsibility for purchasing, quality assurance, and food safety. Her remit makes her relevant to product consistency, vendor performance, operational standards, and supply-chain execution under Project Sunrise.</w:t>
      </w:r>
    </w:p>
    <w:p w14:paraId="5CA2FD83" w14:textId="77777777" w:rsidR="00784C58" w:rsidRDefault="00000000">
      <w:pPr>
        <w:pStyle w:val="Heading2"/>
      </w:pPr>
      <w:r>
        <w:t>Reported / Requires Validation</w:t>
      </w:r>
    </w:p>
    <w:p w14:paraId="A1B2C321" w14:textId="77777777">
      <w:pPr>
        <w:pStyle w:val="ListParagraph"/>
        <w:numPr>
          <w:ilvl w:val="0"/>
          <w:numId w:val="1"/>
        </w:numPr>
        <w:spacing w:after="120" w:line="276" w:lineRule="auto"/>
      </w:pPr>
      <w:r>
        <w:rPr>
          <w:b/>
        </w:rPr>
        <w:t>Dan Fideli — priority relationship path.</w:t>
      </w:r>
      <w:r>
        <w:t xml:space="preserve"> Michael Schwartz reports that Fideli retains meaningful Del Taco relationships and should be engaged after the holiday. Confirm current employer, title, access, and the most appropriate introduction path.</w:t>
      </w:r>
    </w:p>
    <w:p w14:paraId="A1B2C322" w14:textId="77777777">
      <w:pPr>
        <w:pStyle w:val="ListParagraph"/>
        <w:numPr>
          <w:ilvl w:val="0"/>
          <w:numId w:val="1"/>
        </w:numPr>
        <w:spacing w:after="120" w:line="276" w:lineRule="auto"/>
      </w:pPr>
      <w:r>
        <w:rPr>
          <w:b/>
        </w:rPr>
        <w:t>Daniel — reported day-to-day Del Taco technology lead.</w:t>
      </w:r>
      <w:r>
        <w:t xml:space="preserve"> Internal intelligence identifies Daniel as the operational technology contact. Full name, exact title, reporting line, budget authority, and role in DMB/POS decisions remain unconfirmed.</w:t>
      </w:r>
    </w:p>
    <w:p w14:paraId="A1B2C323" w14:textId="77777777">
      <w:pPr>
        <w:pStyle w:val="ListParagraph"/>
        <w:numPr>
          <w:ilvl w:val="0"/>
          <w:numId w:val="1"/>
        </w:numPr>
        <w:spacing w:after="120" w:line="276" w:lineRule="auto"/>
      </w:pPr>
      <w:r>
        <w:rPr>
          <w:b/>
        </w:rPr>
        <w:t>Dean Kimble — reported Yadav CIO and Daniel’s manager.</w:t>
      </w:r>
      <w:r>
        <w:t xml:space="preserve"> Internal intelligence describes Kimble as influential, a long-standing relationship from the Xpient/IRIS era, and a member of the Genius customer advisory board. Validate spelling, current title, portfolio scope, and formal decision authority before external use.</w:t>
      </w:r>
    </w:p>
    <w:p w14:paraId="A1B2C324" w14:textId="77777777">
      <w:pPr>
        <w:pStyle w:val="ListParagraph"/>
        <w:numPr>
          <w:ilvl w:val="0"/>
          <w:numId w:val="1"/>
        </w:numPr>
        <w:spacing w:after="120" w:line="276" w:lineRule="auto"/>
      </w:pPr>
      <w:r>
        <w:rPr>
          <w:b/>
        </w:rPr>
        <w:t>Dana — former Del Taco technology leader, now reported on the Jack in the Box side.</w:t>
      </w:r>
      <w:r>
        <w:t xml:space="preserve"> Reportedly helped facilitate reintroductions. Confirm full name, current role, residual influence, and whether further involvement is appropriate.</w:t>
      </w:r>
    </w:p>
    <w:p w14:paraId="73E4718A" w14:textId="77777777" w:rsidR="00784C58" w:rsidRDefault="00000000">
      <w:pPr>
        <w:pStyle w:val="Heading1"/>
      </w:pPr>
      <w:r>
        <w:lastRenderedPageBreak/>
        <w:t>Technology Environment</w:t>
      </w:r>
    </w:p>
    <w:p w14:paraId="1DE4C202" w14:textId="77777777" w:rsidR="00784C58" w:rsidRDefault="00000000">
      <w:pPr>
        <w:spacing w:after="120" w:line="276" w:lineRule="auto"/>
      </w:pPr>
      <w:r>
        <w:rPr>
          <w:i/>
          <w:iCs/>
        </w:rPr>
        <w:t>"Unknown" means reliable evidence was not found. It does not mean the account lacks the system.</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800"/>
        <w:gridCol w:w="1700"/>
        <w:gridCol w:w="1700"/>
        <w:gridCol w:w="3180"/>
      </w:tblGrid>
      <w:tr w:rsidR="00784C58" w14:paraId="038A6B4A" w14:textId="77777777">
        <w:tblPrEx>
          <w:tblCellMar>
            <w:top w:w="0" w:type="dxa"/>
            <w:bottom w:w="0" w:type="dxa"/>
          </w:tblCellMar>
        </w:tblPrEx>
        <w:trPr>
          <w:tblHeader/>
        </w:trPr>
        <w:tc>
          <w:tcPr>
            <w:tcW w:w="1700" w:type="dxa"/>
            <w:tcBorders>
              <w:top w:val="single" w:sz="2" w:space="0" w:color="B8C4CE"/>
              <w:left w:val="single" w:sz="2" w:space="0" w:color="B8C4CE"/>
              <w:bottom w:val="single" w:sz="2" w:space="0" w:color="B8C4CE"/>
              <w:right w:val="single" w:sz="2" w:space="0" w:color="B8C4CE"/>
            </w:tcBorders>
            <w:shd w:val="clear" w:color="auto" w:fill="17365D"/>
            <w:tcMar>
              <w:top w:w="90" w:type="dxa"/>
              <w:left w:w="120" w:type="dxa"/>
              <w:bottom w:w="90" w:type="dxa"/>
              <w:right w:w="120" w:type="dxa"/>
            </w:tcMar>
          </w:tcPr>
          <w:p w14:paraId="6BF37867" w14:textId="77777777" w:rsidR="00784C58" w:rsidRDefault="00000000">
            <w:r>
              <w:rPr>
                <w:b/>
                <w:bCs/>
                <w:color w:val="FFFFFF"/>
              </w:rPr>
              <w:t>Layer</w:t>
            </w:r>
          </w:p>
        </w:tc>
        <w:tc>
          <w:tcPr>
            <w:tcW w:w="1800" w:type="dxa"/>
            <w:tcBorders>
              <w:top w:val="single" w:sz="2" w:space="0" w:color="B8C4CE"/>
              <w:left w:val="single" w:sz="2" w:space="0" w:color="B8C4CE"/>
              <w:bottom w:val="single" w:sz="2" w:space="0" w:color="B8C4CE"/>
              <w:right w:val="single" w:sz="2" w:space="0" w:color="B8C4CE"/>
            </w:tcBorders>
            <w:shd w:val="clear" w:color="auto" w:fill="17365D"/>
            <w:tcMar>
              <w:top w:w="90" w:type="dxa"/>
              <w:left w:w="120" w:type="dxa"/>
              <w:bottom w:w="90" w:type="dxa"/>
              <w:right w:w="120" w:type="dxa"/>
            </w:tcMar>
          </w:tcPr>
          <w:p w14:paraId="765EF1AA" w14:textId="77777777" w:rsidR="00784C58" w:rsidRDefault="00000000">
            <w:r>
              <w:rPr>
                <w:b/>
                <w:bCs/>
                <w:color w:val="FFFFFF"/>
              </w:rPr>
              <w:t>Vendor</w:t>
            </w:r>
          </w:p>
        </w:tc>
        <w:tc>
          <w:tcPr>
            <w:tcW w:w="1700" w:type="dxa"/>
            <w:tcBorders>
              <w:top w:val="single" w:sz="2" w:space="0" w:color="B8C4CE"/>
              <w:left w:val="single" w:sz="2" w:space="0" w:color="B8C4CE"/>
              <w:bottom w:val="single" w:sz="2" w:space="0" w:color="B8C4CE"/>
              <w:right w:val="single" w:sz="2" w:space="0" w:color="B8C4CE"/>
            </w:tcBorders>
            <w:shd w:val="clear" w:color="auto" w:fill="17365D"/>
            <w:tcMar>
              <w:top w:w="90" w:type="dxa"/>
              <w:left w:w="120" w:type="dxa"/>
              <w:bottom w:w="90" w:type="dxa"/>
              <w:right w:w="120" w:type="dxa"/>
            </w:tcMar>
          </w:tcPr>
          <w:p w14:paraId="3369F654" w14:textId="77777777" w:rsidR="00784C58" w:rsidRDefault="00000000">
            <w:r>
              <w:rPr>
                <w:b/>
                <w:bCs/>
                <w:color w:val="FFFFFF"/>
              </w:rPr>
              <w:t>Status</w:t>
            </w:r>
          </w:p>
        </w:tc>
        <w:tc>
          <w:tcPr>
            <w:tcW w:w="1700" w:type="dxa"/>
            <w:tcBorders>
              <w:top w:val="single" w:sz="2" w:space="0" w:color="B8C4CE"/>
              <w:left w:val="single" w:sz="2" w:space="0" w:color="B8C4CE"/>
              <w:bottom w:val="single" w:sz="2" w:space="0" w:color="B8C4CE"/>
              <w:right w:val="single" w:sz="2" w:space="0" w:color="B8C4CE"/>
            </w:tcBorders>
            <w:shd w:val="clear" w:color="auto" w:fill="17365D"/>
            <w:tcMar>
              <w:top w:w="90" w:type="dxa"/>
              <w:left w:w="120" w:type="dxa"/>
              <w:bottom w:w="90" w:type="dxa"/>
              <w:right w:w="120" w:type="dxa"/>
            </w:tcMar>
          </w:tcPr>
          <w:p w14:paraId="031BB9D4" w14:textId="77777777" w:rsidR="00784C58" w:rsidRDefault="00000000">
            <w:r>
              <w:rPr>
                <w:b/>
                <w:bCs/>
                <w:color w:val="FFFFFF"/>
              </w:rPr>
              <w:t>Confidence</w:t>
            </w:r>
          </w:p>
        </w:tc>
        <w:tc>
          <w:tcPr>
            <w:tcW w:w="3180" w:type="dxa"/>
            <w:tcBorders>
              <w:top w:val="single" w:sz="2" w:space="0" w:color="B8C4CE"/>
              <w:left w:val="single" w:sz="2" w:space="0" w:color="B8C4CE"/>
              <w:bottom w:val="single" w:sz="2" w:space="0" w:color="B8C4CE"/>
              <w:right w:val="single" w:sz="2" w:space="0" w:color="B8C4CE"/>
            </w:tcBorders>
            <w:shd w:val="clear" w:color="auto" w:fill="17365D"/>
            <w:tcMar>
              <w:top w:w="90" w:type="dxa"/>
              <w:left w:w="120" w:type="dxa"/>
              <w:bottom w:w="90" w:type="dxa"/>
              <w:right w:w="120" w:type="dxa"/>
            </w:tcMar>
          </w:tcPr>
          <w:p w14:paraId="59B4AE2A" w14:textId="77777777" w:rsidR="00784C58" w:rsidRDefault="00000000">
            <w:r>
              <w:rPr>
                <w:b/>
                <w:bCs/>
                <w:color w:val="FFFFFF"/>
              </w:rPr>
              <w:t>As of</w:t>
            </w:r>
          </w:p>
        </w:tc>
      </w:tr>
      <w:tr w:rsidR="00784C58" w14:paraId="5A7B9B54" w14:textId="77777777">
        <w:tblPrEx>
          <w:tblCellMar>
            <w:top w:w="0" w:type="dxa"/>
            <w:bottom w:w="0" w:type="dxa"/>
          </w:tblCellMar>
        </w:tblPrEx>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70429AD2" w14:textId="77777777" w:rsidR="00784C58" w:rsidRDefault="00000000">
            <w:r>
              <w:rPr>
                <w:sz w:val="19"/>
                <w:szCs w:val="19"/>
              </w:rPr>
              <w:t>payments</w:t>
            </w:r>
          </w:p>
        </w:tc>
        <w:tc>
          <w:tcPr>
            <w:tcW w:w="18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463A592F" w14:textId="77777777" w:rsidR="00784C58" w:rsidRDefault="00000000">
            <w:r>
              <w:rPr>
                <w:sz w:val="19"/>
                <w:szCs w:val="19"/>
              </w:rPr>
              <w:t>Worldpay</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477C3352" w14:textId="77777777" w:rsidR="00784C58" w:rsidRDefault="00000000">
            <w:r>
              <w:rPr>
                <w:sz w:val="19"/>
                <w:szCs w:val="19"/>
              </w:rPr>
              <w:t>confirmed</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02C9A310" w14:textId="77777777" w:rsidR="00784C58" w:rsidRDefault="00000000">
            <w:r>
              <w:rPr>
                <w:sz w:val="19"/>
                <w:szCs w:val="19"/>
              </w:rPr>
              <w:t>high</w:t>
            </w:r>
          </w:p>
        </w:tc>
        <w:tc>
          <w:tcPr>
            <w:tcW w:w="318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0C81613A" w14:textId="77777777" w:rsidR="00784C58" w:rsidRDefault="00000000">
            <w:r>
              <w:rPr>
                <w:sz w:val="19"/>
                <w:szCs w:val="19"/>
              </w:rPr>
              <w:t>2026-08-29</w:t>
            </w:r>
          </w:p>
        </w:tc>
      </w:tr>
      <w:tr w:rsidR="00784C58" w14:paraId="12426540" w14:textId="77777777">
        <w:tblPrEx>
          <w:tblCellMar>
            <w:top w:w="0" w:type="dxa"/>
            <w:bottom w:w="0" w:type="dxa"/>
          </w:tblCellMar>
        </w:tblPrEx>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5302CB42" w14:textId="77777777" w:rsidR="00784C58" w:rsidRDefault="00000000">
            <w:r>
              <w:rPr>
                <w:sz w:val="19"/>
                <w:szCs w:val="19"/>
              </w:rPr>
              <w:t>loyalty</w:t>
            </w:r>
          </w:p>
        </w:tc>
        <w:tc>
          <w:tcPr>
            <w:tcW w:w="18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2D3C8728" w14:textId="77777777" w:rsidR="00784C58" w:rsidRDefault="00000000">
            <w:r>
              <w:rPr>
                <w:sz w:val="19"/>
                <w:szCs w:val="19"/>
              </w:rPr>
              <w:t>Olo</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0619DDC1" w14:textId="77777777" w:rsidR="00784C58" w:rsidRDefault="00000000">
            <w:r>
              <w:rPr>
                <w:sz w:val="19"/>
                <w:szCs w:val="19"/>
              </w:rPr>
              <w:t>confirmed</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295CEEE2" w14:textId="77777777" w:rsidR="00784C58" w:rsidRDefault="00000000">
            <w:r>
              <w:rPr>
                <w:sz w:val="19"/>
                <w:szCs w:val="19"/>
              </w:rPr>
              <w:t>medium</w:t>
            </w:r>
          </w:p>
        </w:tc>
        <w:tc>
          <w:tcPr>
            <w:tcW w:w="318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6D452FA9" w14:textId="77777777" w:rsidR="00784C58" w:rsidRDefault="00000000">
            <w:r>
              <w:rPr>
                <w:sz w:val="19"/>
                <w:szCs w:val="19"/>
              </w:rPr>
              <w:t>2026-09-02</w:t>
            </w:r>
          </w:p>
        </w:tc>
      </w:tr>
      <w:tr w:rsidR="00784C58" w14:paraId="305F92AB" w14:textId="77777777">
        <w:tblPrEx>
          <w:tblCellMar>
            <w:top w:w="0" w:type="dxa"/>
            <w:bottom w:w="0" w:type="dxa"/>
          </w:tblCellMar>
        </w:tblPrEx>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18330FA9" w14:textId="77777777" w:rsidR="00784C58" w:rsidRDefault="00000000">
            <w:r>
              <w:rPr>
                <w:sz w:val="19"/>
                <w:szCs w:val="19"/>
              </w:rPr>
              <w:t>pos</w:t>
            </w:r>
          </w:p>
        </w:tc>
        <w:tc>
          <w:tcPr>
            <w:tcW w:w="18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79EC7DD7" w14:textId="77777777" w:rsidR="00784C58" w:rsidRDefault="00000000">
            <w:r>
              <w:rPr>
                <w:sz w:val="19"/>
                <w:szCs w:val="19"/>
              </w:rPr>
              <w:t>Qu</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00A48AD5" w14:textId="77777777" w:rsidR="00784C58" w:rsidRDefault="00000000">
            <w:r>
              <w:rPr>
                <w:sz w:val="19"/>
                <w:szCs w:val="19"/>
              </w:rPr>
              <w:t>confirmed</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436ECC3E" w14:textId="77777777" w:rsidR="00784C58" w:rsidRDefault="00000000">
            <w:r>
              <w:rPr>
                <w:sz w:val="19"/>
                <w:szCs w:val="19"/>
              </w:rPr>
              <w:t>medium</w:t>
            </w:r>
          </w:p>
        </w:tc>
        <w:tc>
          <w:tcPr>
            <w:tcW w:w="318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0C9E4F94" w14:textId="77777777" w:rsidR="00784C58" w:rsidRDefault="00000000">
            <w:r>
              <w:rPr>
                <w:sz w:val="19"/>
                <w:szCs w:val="19"/>
              </w:rPr>
              <w:t>2026-09-04</w:t>
            </w:r>
          </w:p>
        </w:tc>
      </w:tr>
      <w:tr w:rsidR="00784C58" w14:paraId="611D1F21" w14:textId="77777777">
        <w:tblPrEx>
          <w:tblCellMar>
            <w:top w:w="0" w:type="dxa"/>
            <w:bottom w:w="0" w:type="dxa"/>
          </w:tblCellMar>
        </w:tblPrEx>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5D8A82E9" w14:textId="77777777" w:rsidR="00784C58" w:rsidRDefault="00000000">
            <w:proofErr w:type="spellStart"/>
            <w:r>
              <w:rPr>
                <w:sz w:val="19"/>
                <w:szCs w:val="19"/>
              </w:rPr>
              <w:t>voice_ai</w:t>
            </w:r>
            <w:proofErr w:type="spellEnd"/>
          </w:p>
        </w:tc>
        <w:tc>
          <w:tcPr>
            <w:tcW w:w="18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25CD07DA" w14:textId="77777777" w:rsidR="00784C58" w:rsidRDefault="00000000">
            <w:r>
              <w:rPr>
                <w:sz w:val="19"/>
                <w:szCs w:val="19"/>
              </w:rPr>
              <w:t>Presto</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45B2FC8E" w14:textId="77777777" w:rsidR="00784C58" w:rsidRDefault="00000000">
            <w:r>
              <w:rPr>
                <w:sz w:val="19"/>
                <w:szCs w:val="19"/>
              </w:rPr>
              <w:t>confirmed</w:t>
            </w:r>
          </w:p>
        </w:tc>
        <w:tc>
          <w:tcPr>
            <w:tcW w:w="170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7E8F9C90" w14:textId="77777777" w:rsidR="00784C58" w:rsidRDefault="00000000">
            <w:r>
              <w:rPr>
                <w:sz w:val="19"/>
                <w:szCs w:val="19"/>
              </w:rPr>
              <w:t>medium</w:t>
            </w:r>
          </w:p>
        </w:tc>
        <w:tc>
          <w:tcPr>
            <w:tcW w:w="3180" w:type="dxa"/>
            <w:tcBorders>
              <w:top w:val="single" w:sz="2" w:space="0" w:color="B8C4CE"/>
              <w:left w:val="single" w:sz="2" w:space="0" w:color="B8C4CE"/>
              <w:bottom w:val="single" w:sz="2" w:space="0" w:color="B8C4CE"/>
              <w:right w:val="single" w:sz="2" w:space="0" w:color="B8C4CE"/>
            </w:tcBorders>
            <w:tcMar>
              <w:top w:w="90" w:type="dxa"/>
              <w:left w:w="120" w:type="dxa"/>
              <w:bottom w:w="90" w:type="dxa"/>
              <w:right w:w="120" w:type="dxa"/>
            </w:tcMar>
          </w:tcPr>
          <w:p w14:paraId="66763D5E" w14:textId="77777777" w:rsidR="00784C58" w:rsidRDefault="00000000">
            <w:r>
              <w:rPr>
                <w:sz w:val="19"/>
                <w:szCs w:val="19"/>
              </w:rPr>
              <w:t>2026-09-04</w:t>
            </w:r>
          </w:p>
        </w:tc>
      </w:tr>
    </w:tbl>
    <w:p w14:paraId="354028FA" w14:textId="77777777" w:rsidR="00784C58" w:rsidRDefault="00784C58">
      <w:pPr>
        <w:spacing w:after="120"/>
      </w:pPr>
    </w:p>
    <w:p w14:paraId="7970DF8D" w14:textId="77777777" w:rsidR="00784C58" w:rsidRDefault="00000000">
      <w:pPr>
        <w:pStyle w:val="Heading1"/>
      </w:pPr>
      <w:r>
        <w:t>Key Discovery Questions</w:t>
      </w:r>
    </w:p>
    <w:p w14:paraId="7A3D112A" w14:textId="77777777" w:rsidR="00784C58" w:rsidRDefault="00000000">
      <w:pPr>
        <w:pStyle w:val="Heading2"/>
      </w:pPr>
      <w:r>
        <w:t>Business and Operating Priorities</w:t>
      </w:r>
    </w:p>
    <w:p w14:paraId="13C87C82" w14:textId="77777777" w:rsidR="00784C58" w:rsidRDefault="00000000">
      <w:pPr>
        <w:pStyle w:val="ListParagraph"/>
        <w:numPr>
          <w:ilvl w:val="0"/>
          <w:numId w:val="2"/>
        </w:numPr>
        <w:spacing w:after="120" w:line="276" w:lineRule="auto"/>
      </w:pPr>
      <w:r>
        <w:t>What are current leadership's top strategic priorities?</w:t>
      </w:r>
    </w:p>
    <w:p w14:paraId="0D5D51A2" w14:textId="77777777" w:rsidR="00784C58" w:rsidRDefault="00000000">
      <w:pPr>
        <w:pStyle w:val="ListParagraph"/>
        <w:numPr>
          <w:ilvl w:val="0"/>
          <w:numId w:val="2"/>
        </w:numPr>
        <w:spacing w:after="120" w:line="276" w:lineRule="auto"/>
      </w:pPr>
      <w:r>
        <w:t>What operating metrics (comps, traffic, margin) are under the most pressure right now?</w:t>
      </w:r>
    </w:p>
    <w:p w14:paraId="5011757D" w14:textId="77777777" w:rsidR="00784C58" w:rsidRDefault="00000000">
      <w:pPr>
        <w:pStyle w:val="ListParagraph"/>
        <w:numPr>
          <w:ilvl w:val="0"/>
          <w:numId w:val="2"/>
        </w:numPr>
        <w:spacing w:after="120" w:line="276" w:lineRule="auto"/>
      </w:pPr>
      <w:r>
        <w:t>Is there an active turnaround, growth push, or ownership/leadership change underway?</w:t>
      </w:r>
    </w:p>
    <w:p w14:paraId="48D51ABF" w14:textId="77777777" w:rsidR="00784C58" w:rsidRDefault="00000000">
      <w:pPr>
        <w:pStyle w:val="ListParagraph"/>
        <w:numPr>
          <w:ilvl w:val="0"/>
          <w:numId w:val="2"/>
        </w:numPr>
        <w:spacing w:after="120" w:line="276" w:lineRule="auto"/>
      </w:pPr>
      <w:r>
        <w:t>What is driving any current technology or vendor evaluation, if one exists?</w:t>
      </w:r>
    </w:p>
    <w:p w14:paraId="326FDF2A" w14:textId="77777777" w:rsidR="00784C58" w:rsidRDefault="00000000">
      <w:pPr>
        <w:pStyle w:val="Heading2"/>
      </w:pPr>
      <w:r>
        <w:t>Loyalty and Digital</w:t>
      </w:r>
    </w:p>
    <w:p w14:paraId="08D11691" w14:textId="77777777" w:rsidR="00784C58" w:rsidRDefault="00000000">
      <w:pPr>
        <w:pStyle w:val="ListParagraph"/>
        <w:numPr>
          <w:ilvl w:val="0"/>
          <w:numId w:val="2"/>
        </w:numPr>
        <w:spacing w:after="120" w:line="276" w:lineRule="auto"/>
      </w:pPr>
      <w:r>
        <w:t>What loyalty platform is currently in use, if any?</w:t>
      </w:r>
    </w:p>
    <w:p w14:paraId="585B7704" w14:textId="77777777" w:rsidR="00784C58" w:rsidRDefault="00000000">
      <w:pPr>
        <w:pStyle w:val="ListParagraph"/>
        <w:numPr>
          <w:ilvl w:val="0"/>
          <w:numId w:val="2"/>
        </w:numPr>
        <w:spacing w:after="120" w:line="276" w:lineRule="auto"/>
      </w:pPr>
      <w:r>
        <w:t>What percentage of transactions come through loyalty or digital channels?</w:t>
      </w:r>
    </w:p>
    <w:p w14:paraId="47F1B316" w14:textId="77777777" w:rsidR="00784C58" w:rsidRDefault="00000000">
      <w:pPr>
        <w:pStyle w:val="ListParagraph"/>
        <w:numPr>
          <w:ilvl w:val="0"/>
          <w:numId w:val="2"/>
        </w:numPr>
        <w:spacing w:after="120" w:line="276" w:lineRule="auto"/>
      </w:pPr>
      <w:r>
        <w:t xml:space="preserve">What </w:t>
      </w:r>
      <w:proofErr w:type="gramStart"/>
      <w:r>
        <w:t>are</w:t>
      </w:r>
      <w:proofErr w:type="gramEnd"/>
      <w:r>
        <w:t xml:space="preserve"> the current app, online-ordering, and delivery platforms?</w:t>
      </w:r>
    </w:p>
    <w:p w14:paraId="1E703CA5" w14:textId="77777777" w:rsidR="00784C58" w:rsidRDefault="00000000">
      <w:pPr>
        <w:pStyle w:val="ListParagraph"/>
        <w:numPr>
          <w:ilvl w:val="0"/>
          <w:numId w:val="2"/>
        </w:numPr>
        <w:spacing w:after="120" w:line="276" w:lineRule="auto"/>
      </w:pPr>
      <w:r>
        <w:t>Who owns digital engagement and customer data internally?</w:t>
      </w:r>
    </w:p>
    <w:p w14:paraId="52D33DC3" w14:textId="77777777" w:rsidR="00784C58" w:rsidRDefault="00000000">
      <w:pPr>
        <w:pStyle w:val="Heading2"/>
      </w:pPr>
      <w:r>
        <w:t>Payments</w:t>
      </w:r>
    </w:p>
    <w:p w14:paraId="0CF5480C" w14:textId="77777777" w:rsidR="00784C58" w:rsidRDefault="00000000">
      <w:pPr>
        <w:pStyle w:val="ListParagraph"/>
        <w:numPr>
          <w:ilvl w:val="0"/>
          <w:numId w:val="2"/>
        </w:numPr>
        <w:spacing w:after="120" w:line="276" w:lineRule="auto"/>
      </w:pPr>
      <w:r>
        <w:t>Who processes in-store and digital payments today?</w:t>
      </w:r>
    </w:p>
    <w:p w14:paraId="38D99E8B" w14:textId="77777777" w:rsidR="00784C58" w:rsidRDefault="00000000">
      <w:pPr>
        <w:pStyle w:val="ListParagraph"/>
        <w:numPr>
          <w:ilvl w:val="0"/>
          <w:numId w:val="2"/>
        </w:numPr>
        <w:spacing w:after="120" w:line="276" w:lineRule="auto"/>
      </w:pPr>
      <w:r>
        <w:t>Is there a single payments gateway/acquirer, or a fragmented setup across channels?</w:t>
      </w:r>
    </w:p>
    <w:p w14:paraId="0FA41E74" w14:textId="77777777" w:rsidR="00784C58" w:rsidRDefault="00000000">
      <w:pPr>
        <w:pStyle w:val="ListParagraph"/>
        <w:numPr>
          <w:ilvl w:val="0"/>
          <w:numId w:val="2"/>
        </w:numPr>
        <w:spacing w:after="120" w:line="276" w:lineRule="auto"/>
      </w:pPr>
      <w:r>
        <w:t>When do the current payments agreements renew?</w:t>
      </w:r>
    </w:p>
    <w:p w14:paraId="26310775" w14:textId="77777777" w:rsidR="00784C58" w:rsidRDefault="00000000">
      <w:pPr>
        <w:pStyle w:val="ListParagraph"/>
        <w:numPr>
          <w:ilvl w:val="0"/>
          <w:numId w:val="2"/>
        </w:numPr>
        <w:spacing w:after="120" w:line="276" w:lineRule="auto"/>
      </w:pPr>
      <w:r>
        <w:t>Are there known pain points (fees, chargebacks, fraud, reliability)?</w:t>
      </w:r>
    </w:p>
    <w:p w14:paraId="41F7D9A3" w14:textId="77777777" w:rsidR="00784C58" w:rsidRDefault="00000000">
      <w:pPr>
        <w:pStyle w:val="Heading2"/>
      </w:pPr>
      <w:r>
        <w:t>Restaurant Technology</w:t>
      </w:r>
    </w:p>
    <w:p w14:paraId="5C651CA7" w14:textId="77777777" w:rsidR="00784C58" w:rsidRDefault="00000000">
      <w:pPr>
        <w:pStyle w:val="ListParagraph"/>
        <w:numPr>
          <w:ilvl w:val="0"/>
          <w:numId w:val="2"/>
        </w:numPr>
        <w:spacing w:after="120" w:line="276" w:lineRule="auto"/>
      </w:pPr>
      <w:r>
        <w:t>What POS system is currently deployed?</w:t>
      </w:r>
    </w:p>
    <w:p w14:paraId="2E0915B9" w14:textId="77777777" w:rsidR="00784C58" w:rsidRDefault="00000000">
      <w:pPr>
        <w:pStyle w:val="ListParagraph"/>
        <w:numPr>
          <w:ilvl w:val="0"/>
          <w:numId w:val="2"/>
        </w:numPr>
        <w:spacing w:after="120" w:line="276" w:lineRule="auto"/>
      </w:pPr>
      <w:r>
        <w:t>What hardware is installed, and is there a known refresh or support deadline?</w:t>
      </w:r>
    </w:p>
    <w:p w14:paraId="2D9338FE" w14:textId="77777777" w:rsidR="00784C58" w:rsidRDefault="00000000">
      <w:pPr>
        <w:pStyle w:val="ListParagraph"/>
        <w:numPr>
          <w:ilvl w:val="0"/>
          <w:numId w:val="2"/>
        </w:numPr>
        <w:spacing w:after="120" w:line="276" w:lineRule="auto"/>
      </w:pPr>
      <w:r>
        <w:t>What systems handle KDS, back office, inventory, and labor management?</w:t>
      </w:r>
    </w:p>
    <w:p w14:paraId="03FE3980" w14:textId="77777777" w:rsidR="00784C58" w:rsidRDefault="00000000">
      <w:pPr>
        <w:pStyle w:val="ListParagraph"/>
        <w:numPr>
          <w:ilvl w:val="0"/>
          <w:numId w:val="2"/>
        </w:numPr>
        <w:spacing w:after="120" w:line="276" w:lineRule="auto"/>
      </w:pPr>
      <w:r>
        <w:t>Are there known integration or data-quality issues across systems?</w:t>
      </w:r>
    </w:p>
    <w:p w14:paraId="4AF09314" w14:textId="77777777" w:rsidR="00784C58" w:rsidRDefault="00000000">
      <w:pPr>
        <w:pStyle w:val="Heading2"/>
      </w:pPr>
      <w:r>
        <w:t>Decision Process</w:t>
      </w:r>
    </w:p>
    <w:p w14:paraId="0A474D38" w14:textId="77777777" w:rsidR="00784C58" w:rsidRDefault="00000000">
      <w:pPr>
        <w:pStyle w:val="ListParagraph"/>
        <w:numPr>
          <w:ilvl w:val="0"/>
          <w:numId w:val="2"/>
        </w:numPr>
        <w:spacing w:after="120" w:line="276" w:lineRule="auto"/>
      </w:pPr>
      <w:r>
        <w:t>Who owns technology strategy and vendor decisions?</w:t>
      </w:r>
    </w:p>
    <w:p w14:paraId="6C6A26D9" w14:textId="77777777" w:rsidR="00784C58" w:rsidRDefault="00000000">
      <w:pPr>
        <w:pStyle w:val="ListParagraph"/>
        <w:numPr>
          <w:ilvl w:val="0"/>
          <w:numId w:val="2"/>
        </w:numPr>
        <w:spacing w:after="120" w:line="276" w:lineRule="auto"/>
      </w:pPr>
      <w:r>
        <w:lastRenderedPageBreak/>
        <w:t>Who owns loyalty, payments, and digital commerce internally?</w:t>
      </w:r>
    </w:p>
    <w:p w14:paraId="3F6133F1" w14:textId="77777777" w:rsidR="00784C58" w:rsidRDefault="00000000">
      <w:pPr>
        <w:pStyle w:val="ListParagraph"/>
        <w:numPr>
          <w:ilvl w:val="0"/>
          <w:numId w:val="2"/>
        </w:numPr>
        <w:spacing w:after="120" w:line="276" w:lineRule="auto"/>
      </w:pPr>
      <w:r>
        <w:t>Is there an existing Global Payments/Genius relationship or contact?</w:t>
      </w:r>
    </w:p>
    <w:p w14:paraId="0F12679D" w14:textId="77777777" w:rsidR="00784C58" w:rsidRDefault="00000000">
      <w:pPr>
        <w:pStyle w:val="ListParagraph"/>
        <w:numPr>
          <w:ilvl w:val="0"/>
          <w:numId w:val="2"/>
        </w:numPr>
        <w:spacing w:after="120" w:line="276" w:lineRule="auto"/>
      </w:pPr>
      <w:r>
        <w:t xml:space="preserve">What </w:t>
      </w:r>
      <w:proofErr w:type="gramStart"/>
      <w:r>
        <w:t>are</w:t>
      </w:r>
      <w:proofErr w:type="gramEnd"/>
      <w:r>
        <w:t xml:space="preserve"> the next known renewal, budgeting, or vendor-review dates?</w:t>
      </w:r>
    </w:p>
    <w:p w14:paraId="501DBB50" w14:textId="77777777" w:rsidR="00784C58" w:rsidRDefault="00000000">
      <w:pPr>
        <w:pStyle w:val="Heading1"/>
      </w:pPr>
      <w:r>
        <w:t>Risks and Cautions</w:t>
      </w:r>
    </w:p>
    <w:p w14:paraId="A1B2C331" w14:textId="77777777">
      <w:pPr>
        <w:pStyle w:val="ListParagraph"/>
        <w:numPr>
          <w:ilvl w:val="0"/>
          <w:numId w:val="1"/>
        </w:numPr>
        <w:spacing w:after="120" w:line="276" w:lineRule="auto"/>
      </w:pPr>
      <w:r>
        <w:t>Post-acquisition authority is still being established. Former Jack in the Box-era ownership, contracts, and stakeholder assumptions may no longer apply under Yadav.</w:t>
      </w:r>
    </w:p>
    <w:p w14:paraId="A1B2C332" w14:textId="77777777">
      <w:pPr>
        <w:pStyle w:val="ListParagraph"/>
        <w:numPr>
          <w:ilvl w:val="0"/>
          <w:numId w:val="1"/>
        </w:numPr>
        <w:spacing w:after="120" w:line="276" w:lineRule="auto"/>
      </w:pPr>
      <w:r>
        <w:t>The current Worldpay renewal creates both access and sensitivity. Coordinate the engagement path with Maggie Lenhart and avoid introducing a competing motion that could disrupt the renewal.</w:t>
      </w:r>
    </w:p>
    <w:p w14:paraId="A1B2C333" w14:textId="77777777">
      <w:pPr>
        <w:pStyle w:val="ListParagraph"/>
        <w:numPr>
          <w:ilvl w:val="0"/>
          <w:numId w:val="1"/>
        </w:numPr>
        <w:spacing w:after="120" w:line="276" w:lineRule="auto"/>
      </w:pPr>
      <w:r>
        <w:t>Qu announced a broad Del Taco platform modernization in 2024, but deployment status, store coverage, contractual commitments, and Yadav’s intent have not been confirmed. Do not position POS displacement until these facts are known.</w:t>
      </w:r>
    </w:p>
    <w:p w14:paraId="A1B2C334" w14:textId="77777777">
      <w:pPr>
        <w:pStyle w:val="ListParagraph"/>
        <w:numPr>
          <w:ilvl w:val="0"/>
          <w:numId w:val="1"/>
        </w:numPr>
        <w:spacing w:after="120" w:line="276" w:lineRule="auto"/>
      </w:pPr>
      <w:r>
        <w:t>Presto voice AI is historical, not a verified current deployment. A November 2023 securities filing stated that Del Taco decided not to proceed; the technology table should not be interpreted as proof of a live relationship.</w:t>
      </w:r>
    </w:p>
    <w:p w14:paraId="A1B2C335" w14:textId="77777777">
      <w:pPr>
        <w:pStyle w:val="ListParagraph"/>
        <w:numPr>
          <w:ilvl w:val="0"/>
          <w:numId w:val="1"/>
        </w:numPr>
        <w:spacing w:after="120" w:line="276" w:lineRule="auto"/>
      </w:pPr>
      <w:r>
        <w:t>Several internally reported stakeholder names and roles remain unverified. Confirm spelling, employer, title, influence, and decision rights before external outreach or account-plan attribution.</w:t>
      </w:r>
    </w:p>
    <w:p w14:paraId="1FA7DEA1" w14:textId="77777777" w:rsidR="00784C58" w:rsidRDefault="00000000">
      <w:pPr>
        <w:pStyle w:val="Heading1"/>
      </w:pPr>
      <w:r>
        <w:t>Bottom Line</w:t>
      </w:r>
    </w:p>
    <w:p w14:paraId="A1B2C341" w14:textId="77777777">
      <w:pPr>
        <w:spacing w:after="120" w:line="276" w:lineRule="auto"/>
      </w:pPr>
      <w:r>
        <w:t>Del Taco is a strategically attractive but still pre-engagement account: a new owner, a public 18-month transformation mandate, pressured traffic and margins, and a predominantly franchised estate create urgency for technology that improves execution without adding operational burden. The best immediate wedge is digital menu boards framed around Project Sunrise’s needs for menu accuracy, promotional speed, consistency, value communication, and franchisee economics.</w:t>
      </w:r>
    </w:p>
    <w:p w14:paraId="A1B2C342" w14:textId="77777777">
      <w:pPr>
        <w:spacing w:after="120" w:line="276" w:lineRule="auto"/>
      </w:pPr>
      <w:r>
        <w:t>Advance through the existing relationship network: align first with Maggie Lenhart and Worldpay on renewal boundaries and account ownership; connect with Dan Fideli; validate Daniel, Dean Kimble, and Dana; and use Michael Schwartz to escalate through Brendan or Brian if access stalls. Pair that relationship work with a hardware/P&amp;L session and a focused discovery agenda covering the DMB initiative, NCR footprint, Qu deployment and contract status, approval authority, funding, and timing. Treat POS as a second-step expansion opportunity unless discovery establishes a real replacement window.</w:t>
      </w:r>
    </w:p>
    <w:p w14:paraId="A1B2C343" w14:textId="77777777">
      <w:pPr>
        <w:pStyle w:val="Heading2"/>
      </w:pPr>
      <w:r>
        <w:t>Leadership Research Sources</w:t>
      </w:r>
    </w:p>
    <w:p w14:paraId="A1B2C344" w14:textId="77777777">
      <w:pPr>
        <w:spacing w:after="120" w:line="276" w:lineRule="auto"/>
      </w:pPr>
      <w:r>
        <w:t>Confirmed against Del Taco / Business Wire announcements dated January 15 and March 4, 2026; Del Taco’s 2026 news releases; Jack in the Box’s May 13, 2026 SEC-filed earnings release confirming transaction completion; and contemporaneous coverage from Nation’s Restaurant News, Restaurant Business, and Restaurant Dive. Internal stakeholder reporting derives from the September 4, 2026 JPR capture and associated account notes and remains explicitly labeled for validation.</w:t>
      </w:r>
    </w:p>
    <w:p w14:paraId="061495EB" w14:textId="77777777" w:rsidR="00784C58" w:rsidRDefault="00000000">
      <w:pPr>
        <w:spacing w:after="120" w:line="276" w:lineRule="auto"/>
      </w:pPr>
      <w:r>
        <w:rPr>
          <w:i/>
          <w:iCs/>
        </w:rPr>
        <w:t>Updated September 4, 2026 with additional leadership research and completed account assessment sections.</w:t>
      </w:r>
    </w:p>
    <w:sectPr w:rsidR="00784C5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E1655D" w14:textId="77777777" w:rsidR="009D7188" w:rsidRDefault="009D7188">
      <w:r>
        <w:separator/>
      </w:r>
    </w:p>
  </w:endnote>
  <w:endnote w:type="continuationSeparator" w:id="0">
    <w:p w14:paraId="1C38DB87" w14:textId="77777777" w:rsidR="009D7188" w:rsidRDefault="009D7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Mono">
    <w:panose1 w:val="020B0009020202020204"/>
    <w:charset w:val="00"/>
    <w:family w:val="modern"/>
    <w:pitch w:val="fixed"/>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C8F536" w14:textId="77777777" w:rsidR="00784C58" w:rsidRDefault="00000000">
    <w:pPr>
      <w:jc w:val="right"/>
    </w:pPr>
    <w:proofErr w:type="gramStart"/>
    <w:r>
      <w:rPr>
        <w:color w:val="666666"/>
        <w:sz w:val="16"/>
        <w:szCs w:val="16"/>
      </w:rPr>
      <w:t>Confidential  •</w:t>
    </w:r>
    <w:proofErr w:type="gramEnd"/>
    <w:r>
      <w:rPr>
        <w:color w:val="666666"/>
        <w:sz w:val="16"/>
        <w:szCs w:val="16"/>
      </w:rPr>
      <w:t xml:space="preserve">  September 4, </w:t>
    </w:r>
    <w:proofErr w:type="gramStart"/>
    <w:r>
      <w:rPr>
        <w:color w:val="666666"/>
        <w:sz w:val="16"/>
        <w:szCs w:val="16"/>
      </w:rPr>
      <w:t>2026  •</w:t>
    </w:r>
    <w:proofErr w:type="gramEnd"/>
    <w:r>
      <w:rPr>
        <w:color w:val="666666"/>
        <w:sz w:val="16"/>
        <w:szCs w:val="16"/>
      </w:rPr>
      <w:t xml:space="preserve">  Page </w:t>
    </w:r>
    <w:r>
      <w:rPr>
        <w:color w:val="666666"/>
        <w:sz w:val="16"/>
        <w:szCs w:val="16"/>
      </w:rPr>
      <w:fldChar w:fldCharType="begin"/>
    </w:r>
    <w:r>
      <w:rPr>
        <w:color w:val="666666"/>
        <w:sz w:val="16"/>
        <w:szCs w:val="16"/>
      </w:rPr>
      <w:instrText>PAGE</w:instrText>
    </w:r>
    <w:r>
      <w:rPr>
        <w:color w:val="666666"/>
        <w:sz w:val="16"/>
        <w:szCs w:val="16"/>
      </w:rPr>
      <w:fldChar w:fldCharType="separate"/>
    </w:r>
    <w:r w:rsidR="00DD2D2C">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20EA04" w14:textId="77777777" w:rsidR="009D7188" w:rsidRDefault="009D7188">
      <w:r>
        <w:separator/>
      </w:r>
    </w:p>
  </w:footnote>
  <w:footnote w:type="continuationSeparator" w:id="0">
    <w:p w14:paraId="7081B420" w14:textId="77777777" w:rsidR="009D7188" w:rsidRDefault="009D7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8DDF53" w14:textId="77777777" w:rsidR="00784C58" w:rsidRDefault="00000000">
    <w:pPr>
      <w:pBdr>
        <w:bottom w:val="single" w:sz="4" w:space="4" w:color="D9E2F3"/>
      </w:pBdr>
    </w:pPr>
    <w:r>
      <w:rPr>
        <w:b/>
        <w:bCs/>
        <w:color w:val="666666"/>
        <w:sz w:val="16"/>
        <w:szCs w:val="16"/>
      </w:rPr>
      <w:t xml:space="preserve">DEL </w:t>
    </w:r>
    <w:proofErr w:type="gramStart"/>
    <w:r>
      <w:rPr>
        <w:b/>
        <w:bCs/>
        <w:color w:val="666666"/>
        <w:sz w:val="16"/>
        <w:szCs w:val="16"/>
      </w:rPr>
      <w:t>TACO  |</w:t>
    </w:r>
    <w:proofErr w:type="gramEnd"/>
    <w:r>
      <w:rPr>
        <w:b/>
        <w:bCs/>
        <w:color w:val="666666"/>
        <w:sz w:val="16"/>
        <w:szCs w:val="16"/>
      </w:rPr>
      <w:t xml:space="preserve">  ACCOUNT BACKGROUND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C946F0"/>
    <w:multiLevelType w:val="hybridMultilevel"/>
    <w:tmpl w:val="5228421C"/>
    <w:lvl w:ilvl="0" w:tplc="AA4C9AB2">
      <w:start w:val="1"/>
      <w:numFmt w:val="decimal"/>
      <w:lvlText w:val="%1."/>
      <w:lvlJc w:val="left"/>
      <w:pPr>
        <w:ind w:left="540" w:hanging="270"/>
      </w:pPr>
    </w:lvl>
    <w:lvl w:ilvl="1" w:tplc="2AB25AE4">
      <w:numFmt w:val="decimal"/>
      <w:lvlText w:val=""/>
      <w:lvlJc w:val="left"/>
    </w:lvl>
    <w:lvl w:ilvl="2" w:tplc="502074BC">
      <w:numFmt w:val="decimal"/>
      <w:lvlText w:val=""/>
      <w:lvlJc w:val="left"/>
    </w:lvl>
    <w:lvl w:ilvl="3" w:tplc="D61EFB9C">
      <w:numFmt w:val="decimal"/>
      <w:lvlText w:val=""/>
      <w:lvlJc w:val="left"/>
    </w:lvl>
    <w:lvl w:ilvl="4" w:tplc="412C84A4">
      <w:numFmt w:val="decimal"/>
      <w:lvlText w:val=""/>
      <w:lvlJc w:val="left"/>
    </w:lvl>
    <w:lvl w:ilvl="5" w:tplc="F2C660AE">
      <w:numFmt w:val="decimal"/>
      <w:lvlText w:val=""/>
      <w:lvlJc w:val="left"/>
    </w:lvl>
    <w:lvl w:ilvl="6" w:tplc="8B7C8E90">
      <w:numFmt w:val="decimal"/>
      <w:lvlText w:val=""/>
      <w:lvlJc w:val="left"/>
    </w:lvl>
    <w:lvl w:ilvl="7" w:tplc="97645716">
      <w:numFmt w:val="decimal"/>
      <w:lvlText w:val=""/>
      <w:lvlJc w:val="left"/>
    </w:lvl>
    <w:lvl w:ilvl="8" w:tplc="3A00A09A">
      <w:numFmt w:val="decimal"/>
      <w:lvlText w:val=""/>
      <w:lvlJc w:val="left"/>
    </w:lvl>
  </w:abstractNum>
  <w:abstractNum w:abstractNumId="1" w15:restartNumberingAfterBreak="0">
    <w:nsid w:val="40820B5D"/>
    <w:multiLevelType w:val="hybridMultilevel"/>
    <w:tmpl w:val="2BC81DDC"/>
    <w:lvl w:ilvl="0" w:tplc="CB4CCDD4">
      <w:start w:val="1"/>
      <w:numFmt w:val="bullet"/>
      <w:lvlText w:val="•"/>
      <w:lvlJc w:val="left"/>
      <w:pPr>
        <w:ind w:left="540" w:hanging="270"/>
      </w:pPr>
    </w:lvl>
    <w:lvl w:ilvl="1" w:tplc="F25659DA">
      <w:numFmt w:val="decimal"/>
      <w:lvlText w:val=""/>
      <w:lvlJc w:val="left"/>
    </w:lvl>
    <w:lvl w:ilvl="2" w:tplc="7862B1E4">
      <w:numFmt w:val="decimal"/>
      <w:lvlText w:val=""/>
      <w:lvlJc w:val="left"/>
    </w:lvl>
    <w:lvl w:ilvl="3" w:tplc="0D665A06">
      <w:numFmt w:val="decimal"/>
      <w:lvlText w:val=""/>
      <w:lvlJc w:val="left"/>
    </w:lvl>
    <w:lvl w:ilvl="4" w:tplc="164225D0">
      <w:numFmt w:val="decimal"/>
      <w:lvlText w:val=""/>
      <w:lvlJc w:val="left"/>
    </w:lvl>
    <w:lvl w:ilvl="5" w:tplc="E2B24F6A">
      <w:numFmt w:val="decimal"/>
      <w:lvlText w:val=""/>
      <w:lvlJc w:val="left"/>
    </w:lvl>
    <w:lvl w:ilvl="6" w:tplc="2C5C48C4">
      <w:numFmt w:val="decimal"/>
      <w:lvlText w:val=""/>
      <w:lvlJc w:val="left"/>
    </w:lvl>
    <w:lvl w:ilvl="7" w:tplc="1578ECAE">
      <w:numFmt w:val="decimal"/>
      <w:lvlText w:val=""/>
      <w:lvlJc w:val="left"/>
    </w:lvl>
    <w:lvl w:ilvl="8" w:tplc="98B01BB0">
      <w:numFmt w:val="decimal"/>
      <w:lvlText w:val=""/>
      <w:lvlJc w:val="left"/>
    </w:lvl>
  </w:abstractNum>
  <w:abstractNum w:abstractNumId="2" w15:restartNumberingAfterBreak="0">
    <w:nsid w:val="7DFF7A82"/>
    <w:multiLevelType w:val="hybridMultilevel"/>
    <w:tmpl w:val="609EE4EA"/>
    <w:lvl w:ilvl="0" w:tplc="686C6A12">
      <w:start w:val="1"/>
      <w:numFmt w:val="bullet"/>
      <w:lvlText w:val="●"/>
      <w:lvlJc w:val="left"/>
      <w:pPr>
        <w:ind w:left="720" w:hanging="360"/>
      </w:pPr>
    </w:lvl>
    <w:lvl w:ilvl="1" w:tplc="8B023B24">
      <w:start w:val="1"/>
      <w:numFmt w:val="bullet"/>
      <w:lvlText w:val="○"/>
      <w:lvlJc w:val="left"/>
      <w:pPr>
        <w:ind w:left="1440" w:hanging="360"/>
      </w:pPr>
    </w:lvl>
    <w:lvl w:ilvl="2" w:tplc="4F387FEE">
      <w:start w:val="1"/>
      <w:numFmt w:val="bullet"/>
      <w:lvlText w:val="■"/>
      <w:lvlJc w:val="left"/>
      <w:pPr>
        <w:ind w:left="2160" w:hanging="360"/>
      </w:pPr>
    </w:lvl>
    <w:lvl w:ilvl="3" w:tplc="4EDCC06A">
      <w:start w:val="1"/>
      <w:numFmt w:val="bullet"/>
      <w:lvlText w:val="●"/>
      <w:lvlJc w:val="left"/>
      <w:pPr>
        <w:ind w:left="2880" w:hanging="360"/>
      </w:pPr>
    </w:lvl>
    <w:lvl w:ilvl="4" w:tplc="24485E6C">
      <w:start w:val="1"/>
      <w:numFmt w:val="bullet"/>
      <w:lvlText w:val="○"/>
      <w:lvlJc w:val="left"/>
      <w:pPr>
        <w:ind w:left="3600" w:hanging="360"/>
      </w:pPr>
    </w:lvl>
    <w:lvl w:ilvl="5" w:tplc="B7BC4FBE">
      <w:start w:val="1"/>
      <w:numFmt w:val="bullet"/>
      <w:lvlText w:val="■"/>
      <w:lvlJc w:val="left"/>
      <w:pPr>
        <w:ind w:left="4320" w:hanging="360"/>
      </w:pPr>
    </w:lvl>
    <w:lvl w:ilvl="6" w:tplc="8EF0318C">
      <w:start w:val="1"/>
      <w:numFmt w:val="bullet"/>
      <w:lvlText w:val="●"/>
      <w:lvlJc w:val="left"/>
      <w:pPr>
        <w:ind w:left="5040" w:hanging="360"/>
      </w:pPr>
    </w:lvl>
    <w:lvl w:ilvl="7" w:tplc="46B64A72">
      <w:start w:val="1"/>
      <w:numFmt w:val="bullet"/>
      <w:lvlText w:val="●"/>
      <w:lvlJc w:val="left"/>
      <w:pPr>
        <w:ind w:left="5760" w:hanging="360"/>
      </w:pPr>
    </w:lvl>
    <w:lvl w:ilvl="8" w:tplc="6F1625E8">
      <w:start w:val="1"/>
      <w:numFmt w:val="bullet"/>
      <w:lvlText w:val="●"/>
      <w:lvlJc w:val="left"/>
      <w:pPr>
        <w:ind w:left="6480" w:hanging="360"/>
      </w:pPr>
    </w:lvl>
  </w:abstractNum>
  <w:num w:numId="1" w16cid:durableId="1061559264">
    <w:abstractNumId w:val="2"/>
    <w:lvlOverride w:ilvl="0">
      <w:startOverride w:val="1"/>
    </w:lvlOverride>
  </w:num>
  <w:num w:numId="2" w16cid:durableId="189145145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C58"/>
    <w:rsid w:val="00784C58"/>
    <w:rsid w:val="009D7188"/>
    <w:rsid w:val="00A43432"/>
    <w:rsid w:val="00D359B5"/>
    <w:rsid w:val="00DD2D2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083A706"/>
  <w15:docId w15:val="{A9428C38-1325-734B-ACCB-EFF0FAAB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202020"/>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D9EAF7"/>
      </w:pBdr>
      <w:spacing w:before="280" w:after="100"/>
      <w:outlineLvl w:val="0"/>
    </w:pPr>
    <w:rPr>
      <w:rFonts w:ascii="Aptos Display" w:eastAsia="Aptos Display" w:hAnsi="Aptos Display" w:cs="Aptos Display"/>
      <w:b/>
      <w:bCs/>
      <w:color w:val="17365D"/>
      <w:sz w:val="29"/>
      <w:szCs w:val="29"/>
    </w:rPr>
  </w:style>
  <w:style w:type="paragraph" w:styleId="Heading2">
    <w:name w:val="heading 2"/>
    <w:uiPriority w:val="9"/>
    <w:unhideWhenUsed/>
    <w:qFormat/>
    <w:pPr>
      <w:keepNext/>
      <w:spacing w:before="200" w:after="80"/>
      <w:outlineLvl w:val="1"/>
    </w:pPr>
    <w:rPr>
      <w:b/>
      <w:bCs/>
      <w:color w:val="2F559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outlineLvl w:val="0"/>
    </w:pPr>
    <w:rPr>
      <w:rFonts w:ascii="Aptos Display" w:eastAsia="Aptos Display" w:hAnsi="Aptos Display" w:cs="Aptos Display"/>
      <w:b/>
      <w:bCs/>
      <w:color w:val="17365D"/>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 Taco Background Brief</dc:title>
  <dc:creator>Relationship &amp; Business Builder</dc:creator>
  <dc:description>Account background and discovery preparation</dc:description>
  <cp:lastModifiedBy>Vahlsing, Todd</cp:lastModifiedBy>
  <cp:revision>3</cp:revision>
  <dcterms:created xsi:type="dcterms:W3CDTF">2026-09-04T14:43:00Z</dcterms:created>
  <dcterms:modified xsi:type="dcterms:W3CDTF">2026-09-04T14:49:00Z</dcterms:modified>
</cp:coreProperties>
</file>