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Del Taco Background Brief</w:t>
      </w:r>
    </w:p>
    <w:p>
      <w:pPr>
        <w:spacing w:after="120" w:line="276"/>
      </w:pPr>
      <w:r>
        <w:t xml:space="preserve">Prepared for: Todd Vahlsing</w:t>
      </w:r>
    </w:p>
    <w:p>
      <w:pPr>
        <w:spacing w:after="120" w:line="276"/>
      </w:pPr>
      <w:r>
        <w:t xml:space="preserve">Purpose: Account background and discovery preparation</w:t>
      </w:r>
    </w:p>
    <w:p>
      <w:pPr>
        <w:spacing w:after="120" w:line="276"/>
      </w:pPr>
      <w:r>
        <w:t xml:space="preserve">Current posture: pre-engagement research — not yet a confirmed active opportunity</w:t>
      </w:r>
    </w:p>
    <w:p>
      <w:pPr>
        <w:pStyle w:val="Heading1"/>
        <w:keepNext/>
      </w:pPr>
      <w:r>
        <w:t xml:space="preserve">Executive Summary</w:t>
      </w:r>
    </w:p>
    <w:p>
      <w:pPr>
        <w:pStyle w:val="Heading1"/>
        <w:keepNext/>
      </w:pPr>
      <w:r>
        <w:t xml:space="preserve">Brand Profile</w:t>
      </w:r>
    </w:p>
    <w:p>
      <w:pPr>
        <w:pStyle w:val="Heading1"/>
        <w:keepNext/>
      </w:pPr>
      <w:r>
        <w:t xml:space="preserve">Prior Account Intelligence (Todd's Own Research)</w:t>
      </w:r>
    </w:p>
    <w:p>
      <w:pPr>
        <w:spacing w:after="120" w:line="276"/>
      </w:pPr>
      <w:r>
        <w:rPr>
          <w:i/>
          <w:iCs/>
        </w:rPr>
        <w:t xml:space="preserve">Real, previously-authored account research found in system/account_intelligence/ for this brand. Not re-synthesized -- the most recent executive summary is reproduced verbatim below; the other documents are real and available in full on request, not just referenced here.</w:t>
      </w:r>
    </w:p>
    <w:p>
      <w:pPr>
        <w:pStyle w:val="Heading2"/>
        <w:keepNext/>
      </w:pPr>
      <w:r>
        <w:t xml:space="preserve">2026-09-04-del-taco-executive-summary.md (verbatim)</w:t>
      </w:r>
    </w:p>
    <w:p>
      <w:pPr>
        <w:pStyle w:val="Title"/>
        <w:spacing w:after="120"/>
      </w:pPr>
      <w:r>
        <w:t xml:space="preserve">Del Taco — Executive Summary</w:t>
      </w:r>
    </w:p>
    <w:p>
      <w:pPr>
        <w:spacing w:after="120" w:line="276"/>
      </w:pPr>
      <w:r>
        <w:t xml:space="preserve">Del Taco is now a Yadav Enterprises-owned, predominantly franchised Mexican QSR executing an 18-month post-acquisition turnaround called </w:t>
      </w:r>
      <w:r>
        <w:rPr>
          <w:b/>
          <w:bCs/>
        </w:rPr>
        <w:t xml:space="preserve">Project Sunrise</w:t>
      </w:r>
      <w:r>
        <w:t xml:space="preserve">. Yadav acquired the brand from Jack in the Box in late 2025; the announced purchase price was $115 million, and Jack in the Box later reported $119 million after customary adjustments. At fiscal year-end September 28, 2025, Del Taco had 576 restaurants—132 company-operated and 444 franchised—and generated $918.8 million in systemwide sales. That inherited baseline was under pressure: FY2025 system same-store sales declined 3.7%, company-store transactions declined 6.9% despite about 5.5% menu pricing, 14 restaurants opened, 32 closed, and reported restaurant-level margin was 11.1%. Company restaurant sales fell 25.3%, driven primarily by a lower average restaurant count and weaker transactions.</w:t>
      </w:r>
    </w:p>
    <w:p>
      <w:pPr>
        <w:spacing w:after="120" w:line="276"/>
      </w:pPr>
      <w:r>
        <w:t xml:space="preserve">Yadav's January 2026 leadership reset signals an active transformation agenda. Confirmed leaders include Anil Yadav, CEO of Yadav Enterprises; Ulyses Camacho, Chief Transformation Officer supporting the Del Taco acquisition while continuing as Taco Cabana president and COO; Noah Chillingworth, Del Taco Chief Marketing Officer; and Ellen Sasada, Vice President of Supply Chain, Food Safety, and Quality Assurance. Camacho's mandate includes unit-level execution, cost optimization, and modernization of systems and processes. Chillingworth owns brand strategy, menu and promotional marketing, digital and loyalty platforms, and guest insight. Project Sunrise is returning legacy products and preparation methods, simplifying where needed, and rebuilding around consistency, quality, value, traffic, and guest trust. A May 2026 value-menu launch with 11 items starting at $1 reinforces value as a central traffic lever.</w:t>
      </w:r>
    </w:p>
    <w:p>
      <w:pPr>
        <w:spacing w:after="120" w:line="276"/>
      </w:pPr>
      <w:r>
        <w:t xml:space="preserve">The technology picture contains both opportunity and a major qualification requirement. Qu announced in 2024 that Jack in the Box and Del Taco would modernize on its unified commerce platform across POS, drive-thru, kiosk, kitchen, online ordering, and fulfillment. Del Taco also has historical NCR/Radiant Aloha and MenuLink evidence, an RB-carried Olo loyalty relationship at medium confidence, and a high-confidence Worldpay payments relationship. Presto announced a drive-thru voice-AI expansion in 2022, but a November 2023 securities filing later disclosed that Del Taco decided not to move forward; Presto must therefore be treated as historical/discontinued unless current evidence proves otherwise. The post-acquisition status of every inherited system—especially Qu—must be validated before positioning Genius.</w:t>
      </w:r>
    </w:p>
    <w:p>
      <w:pPr>
        <w:spacing w:after="120" w:line="276"/>
      </w:pPr>
      <w:r>
        <w:t xml:space="preserve">Todd's September 2026 chat and September 4 JPR conversation with Michael Schwartz add timely internal account intelligence. Michael characterized Del Taco as an upcoming opportunity and emphasized strong alignment with Worldpay enterprise stakeholders. Todd reported that Worldpay was in the middle of the contract renewal and that this was a good moment to engage, although Maggie Lenhart had been cautious about introducing a competing motion during renewal. Michael recommended Dan Fideli as a priority connection because of his remaining Del Taco relationships. He described Daniel as Del Taco's day-to-day technology lead and Dean Kimble as Daniel's boss, Yadav's CIO, a Genius customer-advisory-board member, and a long-standing relationship from the Xpient/IRIS era. He also identified Dana—now on the Jack in the Box side—as a strong former Del Taco technology leader who has already helped make reintroductions. These names and roles are internal reported intelligence and require spelling, title, and decision-authority validation before external use.</w:t>
      </w:r>
    </w:p>
    <w:p>
      <w:pPr>
        <w:spacing w:after="120" w:line="276"/>
      </w:pPr>
      <w:r>
        <w:t xml:space="preserve">The recommended posture is a relationship-led, discovery-first wedge—not a generic replacement pitch. Michael's current field read is that Del Taco's POS direction is uncertain, while digital menu boards may be the nearer-term opening; he said Del Taco is a long-time NCR customer and that DMB may move before POS. Project Sunrise makes store-level execution, value communication, menu accuracy, promotional speed, franchisee economics, reliability, and cost discipline the relevant business outcomes. First, use Maggie and the Worldpay team to document the exact renewal scope, commercial dates, account ownership, and access path. Second, connect with Dan Fideli and validate the Daniel/Dean/Dana stakeholder map. Third, run the hardware/P&amp;L session and clarify whether DMB can directly support Project Sunrise. Fourth, validate Qu's contract and deployment status by store cohort. A broader POS pursuit should follow only if the inherited stack, Yadav's priorities, and decision process support it.</w:t>
      </w:r>
    </w:p>
    <w:p>
      <w:pPr>
        <w:spacing w:after="120" w:line="276"/>
      </w:pPr>
      <w:r>
        <w:t xml:space="preserve">Today's actions: (1) connect with Dan Fideli after the holiday, or today if available; (2) use the Maggie Lenhart meeting to capture renewal scope, timing, and a safe engagement path; (3) ask Michael Schwartz to help escalate through Brendan or Brian if access remains blocked; (4) schedule the hardware 201/P&amp;L walkthrough; and (5) validate the DMB project, current NCR estate, Qu status, and named Del Taco/Yadav decision-makers before positioning.</w:t>
      </w:r>
    </w:p>
    <w:p>
      <w:pPr>
        <w:spacing w:after="120" w:line="276"/>
      </w:pPr>
      <w:r>
        <w:t xml:space="preserve">Primary sources: Del Taco/Business Wire acquisition release; Jack in the Box FY2025 Form 10-K and SEC sale filings; Del Taco's January 2026 leadership announcement; Qu's April 2024 platform announcement; Presto's Del Taco deployment announcement and subsequent SEC disclosure. Current-industry sources: Restaurant Business and Nation's Restaurant News coverage of Project Sunrise, leadership, and the 2026 value menu. Internal evidence: RB uploaded documents </w:t>
      </w:r>
      <w:r>
        <w:rPr>
          <w:rFonts w:ascii="Aptos Mono" w:cs="Aptos Mono" w:eastAsia="Aptos Mono" w:hAnsi="Aptos Mono"/>
          <w:color w:val="444444"/>
        </w:rPr>
        <w:t xml:space="preserve">b397f98f7f945d65</w:t>
      </w:r>
      <w:r>
        <w:t xml:space="preserve"> and </w:t>
      </w:r>
      <w:r>
        <w:rPr>
          <w:rFonts w:ascii="Aptos Mono" w:cs="Aptos Mono" w:eastAsia="Aptos Mono" w:hAnsi="Aptos Mono"/>
          <w:color w:val="444444"/>
        </w:rPr>
        <w:t xml:space="preserve">12039d9290407a7a</w:t>
      </w:r>
      <w:r>
        <w:t xml:space="preserve">, plus processed capture </w:t>
      </w:r>
      <w:r>
        <w:rPr>
          <w:rFonts w:ascii="Aptos Mono" w:cs="Aptos Mono" w:eastAsia="Aptos Mono" w:hAnsi="Aptos Mono"/>
          <w:color w:val="444444"/>
        </w:rPr>
        <w:t xml:space="preserve">cap-9ac988ff207b0dc3</w:t>
      </w:r>
      <w:r>
        <w:t xml:space="preserve">.</w:t>
      </w:r>
    </w:p>
    <w:p>
      <w:pPr>
        <w:pStyle w:val="Heading2"/>
        <w:keepNext/>
      </w:pPr>
      <w:r>
        <w:t xml:space="preserve">Additional documents available on request</w:t>
      </w:r>
    </w:p>
    <w:p>
      <w:pPr>
        <w:pStyle w:val="ListParagraph"/>
        <w:numPr>
          <w:ilvl w:val="0"/>
          <w:numId w:val="2"/>
        </w:numPr>
        <w:spacing w:after="120" w:line="276"/>
      </w:pPr>
      <w:r>
        <w:rPr>
          <w:rFonts w:ascii="Aptos Mono" w:cs="Aptos Mono" w:eastAsia="Aptos Mono" w:hAnsi="Aptos Mono"/>
          <w:color w:val="444444"/>
        </w:rPr>
        <w:t xml:space="preserve">system/account_intelligence/2026-09-04-del-taco-canonical-research.md</w:t>
      </w:r>
      <w:r>
        <w:t xml:space="preserve"> (2026-09-04, 15KB)</w:t>
      </w:r>
    </w:p>
    <w:p>
      <w:pPr>
        <w:pStyle w:val="Heading1"/>
        <w:keepNext/>
      </w:pPr>
      <w:r>
        <w:t xml:space="preserve">Current Business Situation</w:t>
      </w:r>
    </w:p>
    <w:p>
      <w:pPr>
        <w:pStyle w:val="Heading1"/>
        <w:keepNext/>
      </w:pPr>
      <w:r>
        <w:t xml:space="preserve">Leadership</w:t>
      </w:r>
    </w:p>
    <w:p>
      <w:pPr>
        <w:pStyle w:val="Heading2"/>
        <w:keepNext/>
      </w:pPr>
      <w:r>
        <w:t xml:space="preserve">Confirmed</w:t>
      </w:r>
    </w:p>
    <w:p>
      <w:pPr>
        <w:pStyle w:val="Heading2"/>
        <w:keepNext/>
      </w:pPr>
      <w:r>
        <w:t xml:space="preserve">Reported / Requires Validation</w:t>
      </w:r>
    </w:p>
    <w:p>
      <w:pPr>
        <w:pStyle w:val="Heading1"/>
        <w:keepNext/>
        <w:pageBreakBefore/>
      </w:pPr>
      <w:r>
        <w:t xml:space="preserve">Technology Environment</w:t>
      </w:r>
    </w:p>
    <w:p>
      <w:pPr>
        <w:spacing w:after="120" w:line="276"/>
      </w:pPr>
      <w:r>
        <w:rPr>
          <w:i/>
          <w:iCs/>
        </w:rPr>
        <w:t xml:space="preserve">"Unknown" means reliable evidence was not found. It does not mean the account lacks the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700"/>
        <w:gridCol w:w="1700"/>
        <w:gridCol w:w="3180"/>
      </w:tblGrid>
      <w:tr>
        <w:trPr>
          <w:tblHeader/>
        </w:trPr>
        <w:tc>
          <w:tcPr>
            <w:tcW w:type="dxa" w:w="1700"/>
            <w:tcBorders>
              <w:top w:val="single" w:color="B8C4CE" w:sz="2"/>
              <w:left w:val="single" w:color="B8C4CE" w:sz="2"/>
              <w:bottom w:val="single" w:color="B8C4CE" w:sz="2"/>
              <w:right w:val="single" w:color="B8C4CE" w:sz="2"/>
            </w:tcBorders>
            <w:shd w:fill="17365D" w:val="clear"/>
            <w:tcMar>
              <w:top w:type="dxa" w:w="90"/>
              <w:left w:type="dxa" w:w="120"/>
              <w:bottom w:type="dxa" w:w="90"/>
              <w:right w:type="dxa" w:w="120"/>
            </w:tcMar>
          </w:tcPr>
          <w:p>
            <w:pPr>
              <w:spacing w:after="0"/>
            </w:pPr>
            <w:r>
              <w:rPr>
                <w:b/>
                <w:bCs/>
                <w:color w:val="FFFFFF"/>
              </w:rPr>
              <w:t xml:space="preserve">Layer</w:t>
            </w:r>
          </w:p>
        </w:tc>
        <w:tc>
          <w:tcPr>
            <w:tcW w:type="dxa" w:w="1800"/>
            <w:tcBorders>
              <w:top w:val="single" w:color="B8C4CE" w:sz="2"/>
              <w:left w:val="single" w:color="B8C4CE" w:sz="2"/>
              <w:bottom w:val="single" w:color="B8C4CE" w:sz="2"/>
              <w:right w:val="single" w:color="B8C4CE" w:sz="2"/>
            </w:tcBorders>
            <w:shd w:fill="17365D" w:val="clear"/>
            <w:tcMar>
              <w:top w:type="dxa" w:w="90"/>
              <w:left w:type="dxa" w:w="120"/>
              <w:bottom w:type="dxa" w:w="90"/>
              <w:right w:type="dxa" w:w="120"/>
            </w:tcMar>
          </w:tcPr>
          <w:p>
            <w:pPr>
              <w:spacing w:after="0"/>
            </w:pPr>
            <w:r>
              <w:rPr>
                <w:b/>
                <w:bCs/>
                <w:color w:val="FFFFFF"/>
              </w:rPr>
              <w:t xml:space="preserve">Vendor</w:t>
            </w:r>
          </w:p>
        </w:tc>
        <w:tc>
          <w:tcPr>
            <w:tcW w:type="dxa" w:w="1700"/>
            <w:tcBorders>
              <w:top w:val="single" w:color="B8C4CE" w:sz="2"/>
              <w:left w:val="single" w:color="B8C4CE" w:sz="2"/>
              <w:bottom w:val="single" w:color="B8C4CE" w:sz="2"/>
              <w:right w:val="single" w:color="B8C4CE" w:sz="2"/>
            </w:tcBorders>
            <w:shd w:fill="17365D" w:val="clear"/>
            <w:tcMar>
              <w:top w:type="dxa" w:w="90"/>
              <w:left w:type="dxa" w:w="120"/>
              <w:bottom w:type="dxa" w:w="90"/>
              <w:right w:type="dxa" w:w="120"/>
            </w:tcMar>
          </w:tcPr>
          <w:p>
            <w:pPr>
              <w:spacing w:after="0"/>
            </w:pPr>
            <w:r>
              <w:rPr>
                <w:b/>
                <w:bCs/>
                <w:color w:val="FFFFFF"/>
              </w:rPr>
              <w:t xml:space="preserve">Status</w:t>
            </w:r>
          </w:p>
        </w:tc>
        <w:tc>
          <w:tcPr>
            <w:tcW w:type="dxa" w:w="1700"/>
            <w:tcBorders>
              <w:top w:val="single" w:color="B8C4CE" w:sz="2"/>
              <w:left w:val="single" w:color="B8C4CE" w:sz="2"/>
              <w:bottom w:val="single" w:color="B8C4CE" w:sz="2"/>
              <w:right w:val="single" w:color="B8C4CE" w:sz="2"/>
            </w:tcBorders>
            <w:shd w:fill="17365D" w:val="clear"/>
            <w:tcMar>
              <w:top w:type="dxa" w:w="90"/>
              <w:left w:type="dxa" w:w="120"/>
              <w:bottom w:type="dxa" w:w="90"/>
              <w:right w:type="dxa" w:w="120"/>
            </w:tcMar>
          </w:tcPr>
          <w:p>
            <w:pPr>
              <w:spacing w:after="0"/>
            </w:pPr>
            <w:r>
              <w:rPr>
                <w:b/>
                <w:bCs/>
                <w:color w:val="FFFFFF"/>
              </w:rPr>
              <w:t xml:space="preserve">Confidence</w:t>
            </w:r>
          </w:p>
        </w:tc>
        <w:tc>
          <w:tcPr>
            <w:tcW w:type="dxa" w:w="3180"/>
            <w:tcBorders>
              <w:top w:val="single" w:color="B8C4CE" w:sz="2"/>
              <w:left w:val="single" w:color="B8C4CE" w:sz="2"/>
              <w:bottom w:val="single" w:color="B8C4CE" w:sz="2"/>
              <w:right w:val="single" w:color="B8C4CE" w:sz="2"/>
            </w:tcBorders>
            <w:shd w:fill="17365D" w:val="clear"/>
            <w:tcMar>
              <w:top w:type="dxa" w:w="90"/>
              <w:left w:type="dxa" w:w="120"/>
              <w:bottom w:type="dxa" w:w="90"/>
              <w:right w:type="dxa" w:w="120"/>
            </w:tcMar>
          </w:tcPr>
          <w:p>
            <w:pPr>
              <w:spacing w:after="0"/>
            </w:pPr>
            <w:r>
              <w:rPr>
                <w:b/>
                <w:bCs/>
                <w:color w:val="FFFFFF"/>
              </w:rPr>
              <w:t xml:space="preserve">As of</w:t>
            </w:r>
          </w:p>
        </w:tc>
      </w:tr>
      <w:tr>
        <w:trPr>
          <w:tblHeader w:val="false"/>
        </w:trPr>
        <w:tc>
          <w:tcPr>
            <w:tcW w:type="dxa" w:w="17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payments</w:t>
            </w:r>
          </w:p>
        </w:tc>
        <w:tc>
          <w:tcPr>
            <w:tcW w:type="dxa" w:w="18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Worldpay</w:t>
            </w:r>
          </w:p>
        </w:tc>
        <w:tc>
          <w:tcPr>
            <w:tcW w:type="dxa" w:w="17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confirmed</w:t>
            </w:r>
          </w:p>
        </w:tc>
        <w:tc>
          <w:tcPr>
            <w:tcW w:type="dxa" w:w="17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high</w:t>
            </w:r>
          </w:p>
        </w:tc>
        <w:tc>
          <w:tcPr>
            <w:tcW w:type="dxa" w:w="318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2026-08-29</w:t>
            </w:r>
          </w:p>
        </w:tc>
      </w:tr>
      <w:tr>
        <w:trPr>
          <w:tblHeader w:val="false"/>
        </w:trPr>
        <w:tc>
          <w:tcPr>
            <w:tcW w:type="dxa" w:w="17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loyalty</w:t>
            </w:r>
          </w:p>
        </w:tc>
        <w:tc>
          <w:tcPr>
            <w:tcW w:type="dxa" w:w="18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Olo</w:t>
            </w:r>
          </w:p>
        </w:tc>
        <w:tc>
          <w:tcPr>
            <w:tcW w:type="dxa" w:w="17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confirmed</w:t>
            </w:r>
          </w:p>
        </w:tc>
        <w:tc>
          <w:tcPr>
            <w:tcW w:type="dxa" w:w="17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medium</w:t>
            </w:r>
          </w:p>
        </w:tc>
        <w:tc>
          <w:tcPr>
            <w:tcW w:type="dxa" w:w="318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2026-09-02</w:t>
            </w:r>
          </w:p>
        </w:tc>
      </w:tr>
      <w:tr>
        <w:trPr>
          <w:tblHeader w:val="false"/>
        </w:trPr>
        <w:tc>
          <w:tcPr>
            <w:tcW w:type="dxa" w:w="17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pos</w:t>
            </w:r>
          </w:p>
        </w:tc>
        <w:tc>
          <w:tcPr>
            <w:tcW w:type="dxa" w:w="18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Qu</w:t>
            </w:r>
          </w:p>
        </w:tc>
        <w:tc>
          <w:tcPr>
            <w:tcW w:type="dxa" w:w="17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confirmed</w:t>
            </w:r>
          </w:p>
        </w:tc>
        <w:tc>
          <w:tcPr>
            <w:tcW w:type="dxa" w:w="17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medium</w:t>
            </w:r>
          </w:p>
        </w:tc>
        <w:tc>
          <w:tcPr>
            <w:tcW w:type="dxa" w:w="318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2026-09-04</w:t>
            </w:r>
          </w:p>
        </w:tc>
      </w:tr>
      <w:tr>
        <w:trPr>
          <w:tblHeader w:val="false"/>
        </w:trPr>
        <w:tc>
          <w:tcPr>
            <w:tcW w:type="dxa" w:w="17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voice_ai</w:t>
            </w:r>
          </w:p>
        </w:tc>
        <w:tc>
          <w:tcPr>
            <w:tcW w:type="dxa" w:w="18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Presto</w:t>
            </w:r>
          </w:p>
        </w:tc>
        <w:tc>
          <w:tcPr>
            <w:tcW w:type="dxa" w:w="17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confirmed</w:t>
            </w:r>
          </w:p>
        </w:tc>
        <w:tc>
          <w:tcPr>
            <w:tcW w:type="dxa" w:w="170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medium</w:t>
            </w:r>
          </w:p>
        </w:tc>
        <w:tc>
          <w:tcPr>
            <w:tcW w:type="dxa" w:w="3180"/>
            <w:tcBorders>
              <w:top w:val="single" w:color="B8C4CE" w:sz="2"/>
              <w:left w:val="single" w:color="B8C4CE" w:sz="2"/>
              <w:bottom w:val="single" w:color="B8C4CE" w:sz="2"/>
              <w:right w:val="single" w:color="B8C4CE" w:sz="2"/>
            </w:tcBorders>
            <w:tcMar>
              <w:top w:type="dxa" w:w="90"/>
              <w:left w:type="dxa" w:w="120"/>
              <w:bottom w:type="dxa" w:w="90"/>
              <w:right w:type="dxa" w:w="120"/>
            </w:tcMar>
          </w:tcPr>
          <w:p>
            <w:pPr>
              <w:spacing w:after="0"/>
            </w:pPr>
            <w:r>
              <w:rPr>
                <w:sz w:val="19"/>
                <w:szCs w:val="19"/>
              </w:rPr>
              <w:t xml:space="preserve">2026-09-04</w:t>
            </w:r>
          </w:p>
        </w:tc>
      </w:tr>
    </w:tbl>
    <w:p>
      <w:pPr>
        <w:spacing w:after="120"/>
      </w:pPr>
    </w:p>
    <w:p>
      <w:pPr>
        <w:pStyle w:val="Heading1"/>
        <w:keepNext/>
      </w:pPr>
      <w:r>
        <w:t xml:space="preserve">Key Discovery Questions</w:t>
      </w:r>
    </w:p>
    <w:p>
      <w:pPr>
        <w:pStyle w:val="Heading2"/>
        <w:keepNext/>
      </w:pPr>
      <w:r>
        <w:t xml:space="preserve">Business and Operating Priorities</w:t>
      </w:r>
    </w:p>
    <w:p>
      <w:pPr>
        <w:pStyle w:val="ListParagraph"/>
        <w:numPr>
          <w:ilvl w:val="0"/>
          <w:numId w:val="2"/>
        </w:numPr>
        <w:spacing w:after="120" w:line="276"/>
      </w:pPr>
      <w:r>
        <w:t xml:space="preserve">What are current leadership's top strategic priorities?</w:t>
      </w:r>
    </w:p>
    <w:p>
      <w:pPr>
        <w:pStyle w:val="ListParagraph"/>
        <w:numPr>
          <w:ilvl w:val="0"/>
          <w:numId w:val="2"/>
        </w:numPr>
        <w:spacing w:after="120" w:line="276"/>
      </w:pPr>
      <w:r>
        <w:t xml:space="preserve">What operating metrics (comps, traffic, margin) are under the most pressure right now?</w:t>
      </w:r>
    </w:p>
    <w:p>
      <w:pPr>
        <w:pStyle w:val="ListParagraph"/>
        <w:numPr>
          <w:ilvl w:val="0"/>
          <w:numId w:val="2"/>
        </w:numPr>
        <w:spacing w:after="120" w:line="276"/>
      </w:pPr>
      <w:r>
        <w:t xml:space="preserve">Is there an active turnaround, growth push, or ownership/leadership change underway?</w:t>
      </w:r>
    </w:p>
    <w:p>
      <w:pPr>
        <w:pStyle w:val="ListParagraph"/>
        <w:numPr>
          <w:ilvl w:val="0"/>
          <w:numId w:val="2"/>
        </w:numPr>
        <w:spacing w:after="120" w:line="276"/>
      </w:pPr>
      <w:r>
        <w:t xml:space="preserve">What is driving any current technology or vendor evaluation, if one exists?</w:t>
      </w:r>
    </w:p>
    <w:p>
      <w:pPr>
        <w:pStyle w:val="Heading2"/>
        <w:keepNext/>
      </w:pPr>
      <w:r>
        <w:t xml:space="preserve">Loyalty and Digital</w:t>
      </w:r>
    </w:p>
    <w:p>
      <w:pPr>
        <w:pStyle w:val="ListParagraph"/>
        <w:numPr>
          <w:ilvl w:val="0"/>
          <w:numId w:val="2"/>
        </w:numPr>
        <w:spacing w:after="120" w:line="276"/>
      </w:pPr>
      <w:r>
        <w:t xml:space="preserve">What loyalty platform is currently in use, if any?</w:t>
      </w:r>
    </w:p>
    <w:p>
      <w:pPr>
        <w:pStyle w:val="ListParagraph"/>
        <w:numPr>
          <w:ilvl w:val="0"/>
          <w:numId w:val="2"/>
        </w:numPr>
        <w:spacing w:after="120" w:line="276"/>
      </w:pPr>
      <w:r>
        <w:t xml:space="preserve">What percentage of transactions come through loyalty or digital channels?</w:t>
      </w:r>
    </w:p>
    <w:p>
      <w:pPr>
        <w:pStyle w:val="ListParagraph"/>
        <w:numPr>
          <w:ilvl w:val="0"/>
          <w:numId w:val="2"/>
        </w:numPr>
        <w:spacing w:after="120" w:line="276"/>
      </w:pPr>
      <w:r>
        <w:t xml:space="preserve">What are the current app, online-ordering, and delivery platforms?</w:t>
      </w:r>
    </w:p>
    <w:p>
      <w:pPr>
        <w:pStyle w:val="ListParagraph"/>
        <w:numPr>
          <w:ilvl w:val="0"/>
          <w:numId w:val="2"/>
        </w:numPr>
        <w:spacing w:after="120" w:line="276"/>
      </w:pPr>
      <w:r>
        <w:t xml:space="preserve">Who owns digital engagement and customer data internally?</w:t>
      </w:r>
    </w:p>
    <w:p>
      <w:pPr>
        <w:pStyle w:val="Heading2"/>
        <w:keepNext/>
      </w:pPr>
      <w:r>
        <w:t xml:space="preserve">Payments</w:t>
      </w:r>
    </w:p>
    <w:p>
      <w:pPr>
        <w:pStyle w:val="ListParagraph"/>
        <w:numPr>
          <w:ilvl w:val="0"/>
          <w:numId w:val="2"/>
        </w:numPr>
        <w:spacing w:after="120" w:line="276"/>
      </w:pPr>
      <w:r>
        <w:t xml:space="preserve">Who processes in-store and digital payments today?</w:t>
      </w:r>
    </w:p>
    <w:p>
      <w:pPr>
        <w:pStyle w:val="ListParagraph"/>
        <w:numPr>
          <w:ilvl w:val="0"/>
          <w:numId w:val="2"/>
        </w:numPr>
        <w:spacing w:after="120" w:line="276"/>
      </w:pPr>
      <w:r>
        <w:t xml:space="preserve">Is there a single payments gateway/acquirer, or a fragmented setup across channels?</w:t>
      </w:r>
    </w:p>
    <w:p>
      <w:pPr>
        <w:pStyle w:val="ListParagraph"/>
        <w:numPr>
          <w:ilvl w:val="0"/>
          <w:numId w:val="2"/>
        </w:numPr>
        <w:spacing w:after="120" w:line="276"/>
      </w:pPr>
      <w:r>
        <w:t xml:space="preserve">When do the current payments agreements renew?</w:t>
      </w:r>
    </w:p>
    <w:p>
      <w:pPr>
        <w:pStyle w:val="ListParagraph"/>
        <w:numPr>
          <w:ilvl w:val="0"/>
          <w:numId w:val="2"/>
        </w:numPr>
        <w:spacing w:after="120" w:line="276"/>
      </w:pPr>
      <w:r>
        <w:t xml:space="preserve">Are there known pain points (fees, chargebacks, fraud, reliability)?</w:t>
      </w:r>
    </w:p>
    <w:p>
      <w:pPr>
        <w:pStyle w:val="Heading2"/>
        <w:keepNext/>
      </w:pPr>
      <w:r>
        <w:t xml:space="preserve">Restaurant Technology</w:t>
      </w:r>
    </w:p>
    <w:p>
      <w:pPr>
        <w:pStyle w:val="ListParagraph"/>
        <w:numPr>
          <w:ilvl w:val="0"/>
          <w:numId w:val="2"/>
        </w:numPr>
        <w:spacing w:after="120" w:line="276"/>
      </w:pPr>
      <w:r>
        <w:t xml:space="preserve">What POS system is currently deployed?</w:t>
      </w:r>
    </w:p>
    <w:p>
      <w:pPr>
        <w:pStyle w:val="ListParagraph"/>
        <w:numPr>
          <w:ilvl w:val="0"/>
          <w:numId w:val="2"/>
        </w:numPr>
        <w:spacing w:after="120" w:line="276"/>
      </w:pPr>
      <w:r>
        <w:t xml:space="preserve">What hardware is installed, and is there a known refresh or support deadline?</w:t>
      </w:r>
    </w:p>
    <w:p>
      <w:pPr>
        <w:pStyle w:val="ListParagraph"/>
        <w:numPr>
          <w:ilvl w:val="0"/>
          <w:numId w:val="2"/>
        </w:numPr>
        <w:spacing w:after="120" w:line="276"/>
      </w:pPr>
      <w:r>
        <w:t xml:space="preserve">What systems handle KDS, back office, inventory, and labor management?</w:t>
      </w:r>
    </w:p>
    <w:p>
      <w:pPr>
        <w:pStyle w:val="ListParagraph"/>
        <w:numPr>
          <w:ilvl w:val="0"/>
          <w:numId w:val="2"/>
        </w:numPr>
        <w:spacing w:after="120" w:line="276"/>
      </w:pPr>
      <w:r>
        <w:t xml:space="preserve">Are there known integration or data-quality issues across systems?</w:t>
      </w:r>
    </w:p>
    <w:p>
      <w:pPr>
        <w:pStyle w:val="Heading2"/>
        <w:keepNext/>
      </w:pPr>
      <w:r>
        <w:t xml:space="preserve">Decision Process</w:t>
      </w:r>
    </w:p>
    <w:p>
      <w:pPr>
        <w:pStyle w:val="ListParagraph"/>
        <w:numPr>
          <w:ilvl w:val="0"/>
          <w:numId w:val="2"/>
        </w:numPr>
        <w:spacing w:after="120" w:line="276"/>
      </w:pPr>
      <w:r>
        <w:t xml:space="preserve">Who owns technology strategy and vendor decisions?</w:t>
      </w:r>
    </w:p>
    <w:p>
      <w:pPr>
        <w:pStyle w:val="ListParagraph"/>
        <w:numPr>
          <w:ilvl w:val="0"/>
          <w:numId w:val="2"/>
        </w:numPr>
        <w:spacing w:after="120" w:line="276"/>
      </w:pPr>
      <w:r>
        <w:t xml:space="preserve">Who owns loyalty, payments, and digital commerce internally?</w:t>
      </w:r>
    </w:p>
    <w:p>
      <w:pPr>
        <w:pStyle w:val="ListParagraph"/>
        <w:numPr>
          <w:ilvl w:val="0"/>
          <w:numId w:val="2"/>
        </w:numPr>
        <w:spacing w:after="120" w:line="276"/>
      </w:pPr>
      <w:r>
        <w:t xml:space="preserve">Is there an existing Global Payments/Genius relationship or contact?</w:t>
      </w:r>
    </w:p>
    <w:p>
      <w:pPr>
        <w:pStyle w:val="ListParagraph"/>
        <w:numPr>
          <w:ilvl w:val="0"/>
          <w:numId w:val="2"/>
        </w:numPr>
        <w:spacing w:after="120" w:line="276"/>
      </w:pPr>
      <w:r>
        <w:t xml:space="preserve">What are the next known renewal, budgeting, or vendor-review dates?</w:t>
      </w:r>
    </w:p>
    <w:p>
      <w:pPr>
        <w:pStyle w:val="Heading1"/>
        <w:keepNext/>
      </w:pPr>
      <w:r>
        <w:t xml:space="preserve">Risks and Cautions</w:t>
      </w:r>
    </w:p>
    <w:p>
      <w:pPr>
        <w:pStyle w:val="Heading1"/>
        <w:keepNext/>
      </w:pPr>
      <w:r>
        <w:t xml:space="preserve">Bottom Line</w:t>
      </w:r>
    </w:p>
    <w:p>
      <w:pPr>
        <w:spacing w:after="120" w:line="276"/>
      </w:pPr>
      <w:r>
        <w:rPr>
          <w:i/>
          <w:iCs/>
        </w:rPr>
        <w:t xml:space="preserve">Generated 2026-09-04T14:34:38Z from persisted RBB account intelligence — not re-researched from scratch.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Confidential  •  September 4, 2026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4"/>
      </w:pBdr>
    </w:pPr>
    <w:r>
      <w:rPr>
        <w:b/>
        <w:bCs/>
        <w:color w:val="666666"/>
        <w:sz w:val="16"/>
        <w:szCs w:val="16"/>
      </w:rPr>
      <w:t xml:space="preserve">DEL TACO  |  ACCOUNT BACKGROUND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020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outlineLvl w:val="0"/>
    </w:pPr>
    <w:rPr>
      <w:rFonts w:ascii="Aptos Display" w:cs="Aptos Display" w:eastAsia="Aptos Display" w:hAnsi="Aptos Display"/>
      <w:b/>
      <w:bCs/>
      <w:color w:val="17365D"/>
      <w:sz w:val="40"/>
      <w:szCs w:val="40"/>
    </w:rPr>
  </w:style>
  <w:style w:type="paragraph" w:styleId="Heading1">
    <w:name w:val="Heading 1"/>
    <w:basedOn w:val="Normal"/>
    <w:next w:val="Normal"/>
    <w:qFormat/>
    <w:pPr>
      <w:keepNext/>
      <w:pBdr>
        <w:bottom w:val="single" w:color="D9EAF7" w:sz="6" w:space="4"/>
      </w:pBdr>
      <w:spacing w:after="100" w:before="280"/>
      <w:outlineLvl w:val="0"/>
    </w:pPr>
    <w:rPr>
      <w:rFonts w:ascii="Aptos Display" w:cs="Aptos Display" w:eastAsia="Aptos Display" w:hAnsi="Aptos Display"/>
      <w:b/>
      <w:bCs/>
      <w:color w:val="17365D"/>
      <w:sz w:val="29"/>
      <w:szCs w:val="29"/>
    </w:rPr>
  </w:style>
  <w:style w:type="paragraph" w:styleId="Heading2">
    <w:name w:val="Heading 2"/>
    <w:basedOn w:val="Normal"/>
    <w:next w:val="Normal"/>
    <w:qFormat/>
    <w:pPr>
      <w:keepNext/>
      <w:spacing w:after="80" w:before="200"/>
      <w:outlineLvl w:val="1"/>
    </w:pPr>
    <w:rPr>
      <w:rFonts w:ascii="Aptos" w:cs="Aptos" w:eastAsia="Aptos" w:hAnsi="Aptos"/>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 Taco Background Brief</dc:title>
  <dc:creator>Relationship &amp; Business Builder</dc:creator>
  <dc:description>Account background and discovery preparation</dc:description>
  <cp:lastModifiedBy>Un-named</cp:lastModifiedBy>
  <cp:revision>1</cp:revision>
  <dcterms:created xsi:type="dcterms:W3CDTF">2026-09-04T14:41:18.634Z</dcterms:created>
  <dcterms:modified xsi:type="dcterms:W3CDTF">2026-09-04T14:41:18.643Z</dcterms:modified>
</cp:coreProperties>
</file>

<file path=docProps/custom.xml><?xml version="1.0" encoding="utf-8"?>
<Properties xmlns="http://schemas.openxmlformats.org/officeDocument/2006/custom-properties" xmlns:vt="http://schemas.openxmlformats.org/officeDocument/2006/docPropsVTypes"/>
</file>