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Pollo Campero Existing Display Inventory Addendum</w:t>
      </w:r>
    </w:p>
    <w:p>
      <w:r>
        <w:rPr>
          <w:b/>
        </w:rPr>
        <w:t>Addendum to the Global Payments Genius digital menu board proposal</w:t>
      </w:r>
    </w:p>
    <w:p>
      <w:r>
        <w:t>Prepared for Pollo Campero USA  |  September 30 2026</w:t>
      </w:r>
    </w:p>
    <w:p>
      <w:pPr>
        <w:pStyle w:val="Heading1"/>
      </w:pPr>
      <w:r>
        <w:t>Purpose and Recommendation</w:t>
      </w:r>
    </w:p>
    <w:p>
      <w:r>
        <w:t>This addendum describes how Genius can incorporate Pollo Campero's existing LG digital menu board inventory into the proposed solution. The deployment path for each restaurant will be selected after site survey and functional validation of the existing displays. The lowest expected-cost option uses the display's native system on chip where webOS 6.0 or greater is confirmed. The next scope uses a mix of native SoC and MP30 controllers, followed by controller-only locations. The most extensive option is a full replacement of indoor digital menu boards, drive-thru boards, or both. This approach preserves compatible assets while maintaining a consistent Genius cloud management experience.</w:t>
      </w:r>
    </w:p>
    <w:p>
      <w:pPr>
        <w:pStyle w:val="Heading1"/>
      </w:pPr>
      <w:r>
        <w:t>Location Deployment Footprint</w:t>
      </w:r>
    </w:p>
    <w:p>
      <w:r>
        <w:t>The active inventory contains 127 location records. Two records - the Support Center and ZoneIn - do not appear to be operating restaurants. Excluding those records, the planning footprint contains 125 restaurants. Based on the model and webOS information in the inventory, 38 restaurants can be planned as fully native SoC, 17 as fully controller-based, and 70 as mixed deployments. The unidentified Canoga Park outdoor display is included in the controller-only category using the recommended one-to-one controller assumption.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3240"/>
            <w:shd w:fill="17365D"/>
            <w:tcMar>
              <w:top w:w="100" w:type="dxa"/>
              <w:start w:w="120" w:type="dxa"/>
              <w:bottom w:w="100" w:type="dxa"/>
              <w:end w:w="120" w:type="dxa"/>
            </w:tcMar>
            <w:vAlign w:val="center"/>
          </w:tcPr>
          <w:p>
            <w:pPr>
              <w:jc w:val="center"/>
            </w:pPr>
            <w:r>
              <w:rPr>
                <w:b/>
                <w:color w:val="FFFFFF"/>
              </w:rPr>
              <w:t>Location profile</w:t>
            </w:r>
          </w:p>
        </w:tc>
        <w:tc>
          <w:tcPr>
            <w:tcW w:type="dxa" w:w="1944"/>
            <w:shd w:fill="17365D"/>
            <w:tcMar>
              <w:top w:w="100" w:type="dxa"/>
              <w:start w:w="120" w:type="dxa"/>
              <w:bottom w:w="100" w:type="dxa"/>
              <w:end w:w="120" w:type="dxa"/>
            </w:tcMar>
            <w:vAlign w:val="center"/>
          </w:tcPr>
          <w:p>
            <w:pPr>
              <w:jc w:val="center"/>
            </w:pPr>
            <w:r>
              <w:rPr>
                <w:b/>
                <w:color w:val="FFFFFF"/>
              </w:rPr>
              <w:t>Restaurants</w:t>
            </w:r>
          </w:p>
        </w:tc>
        <w:tc>
          <w:tcPr>
            <w:tcW w:type="dxa" w:w="2088"/>
            <w:shd w:fill="17365D"/>
            <w:tcMar>
              <w:top w:w="100" w:type="dxa"/>
              <w:start w:w="120" w:type="dxa"/>
              <w:bottom w:w="100" w:type="dxa"/>
              <w:end w:w="120" w:type="dxa"/>
            </w:tcMar>
            <w:vAlign w:val="center"/>
          </w:tcPr>
          <w:p>
            <w:pPr>
              <w:jc w:val="center"/>
            </w:pPr>
            <w:r>
              <w:rPr>
                <w:b/>
                <w:color w:val="FFFFFF"/>
              </w:rPr>
              <w:t>Active displays</w:t>
            </w:r>
          </w:p>
        </w:tc>
        <w:tc>
          <w:tcPr>
            <w:tcW w:type="dxa" w:w="3168"/>
            <w:shd w:fill="17365D"/>
            <w:tcMar>
              <w:top w:w="100" w:type="dxa"/>
              <w:start w:w="120" w:type="dxa"/>
              <w:bottom w:w="100" w:type="dxa"/>
              <w:end w:w="120" w:type="dxa"/>
            </w:tcMar>
            <w:vAlign w:val="center"/>
          </w:tcPr>
          <w:p>
            <w:pPr>
              <w:jc w:val="center"/>
            </w:pPr>
            <w:r>
              <w:rPr>
                <w:b/>
                <w:color w:val="FFFFFF"/>
              </w:rPr>
              <w:t>Planning implication</w:t>
            </w:r>
          </w:p>
        </w:tc>
      </w:tr>
      <w:tr>
        <w:tc>
          <w:tcPr>
            <w:tcW w:type="dxa" w:w="3240"/>
            <w:tcMar>
              <w:top w:w="100" w:type="dxa"/>
              <w:start w:w="120" w:type="dxa"/>
              <w:bottom w:w="100" w:type="dxa"/>
              <w:end w:w="120" w:type="dxa"/>
            </w:tcMar>
            <w:vAlign w:val="center"/>
          </w:tcPr>
          <w:p>
            <w:pPr>
              <w:jc w:val="left"/>
            </w:pPr>
            <w:r>
              <w:t>SoC only</w:t>
            </w:r>
          </w:p>
        </w:tc>
        <w:tc>
          <w:tcPr>
            <w:tcW w:type="dxa" w:w="1944"/>
            <w:tcMar>
              <w:top w:w="100" w:type="dxa"/>
              <w:start w:w="120" w:type="dxa"/>
              <w:bottom w:w="100" w:type="dxa"/>
              <w:end w:w="120" w:type="dxa"/>
            </w:tcMar>
            <w:vAlign w:val="center"/>
          </w:tcPr>
          <w:p>
            <w:pPr>
              <w:jc w:val="center"/>
            </w:pPr>
            <w:r>
              <w:t>38</w:t>
            </w:r>
          </w:p>
        </w:tc>
        <w:tc>
          <w:tcPr>
            <w:tcW w:type="dxa" w:w="2088"/>
            <w:tcMar>
              <w:top w:w="100" w:type="dxa"/>
              <w:start w:w="120" w:type="dxa"/>
              <w:bottom w:w="100" w:type="dxa"/>
              <w:end w:w="120" w:type="dxa"/>
            </w:tcMar>
            <w:vAlign w:val="center"/>
          </w:tcPr>
          <w:p>
            <w:pPr>
              <w:jc w:val="center"/>
            </w:pPr>
            <w:r>
              <w:t>283</w:t>
            </w:r>
          </w:p>
        </w:tc>
        <w:tc>
          <w:tcPr>
            <w:tcW w:type="dxa" w:w="3168"/>
            <w:tcMar>
              <w:top w:w="100" w:type="dxa"/>
              <w:start w:w="120" w:type="dxa"/>
              <w:bottom w:w="100" w:type="dxa"/>
              <w:end w:w="120" w:type="dxa"/>
            </w:tcMar>
            <w:vAlign w:val="center"/>
          </w:tcPr>
          <w:p>
            <w:pPr>
              <w:jc w:val="left"/>
            </w:pPr>
            <w:r>
              <w:t>Native Genius DMB on all validated displays</w:t>
            </w:r>
          </w:p>
        </w:tc>
      </w:tr>
      <w:tr>
        <w:tc>
          <w:tcPr>
            <w:tcW w:type="dxa" w:w="3240"/>
            <w:tcMar>
              <w:top w:w="100" w:type="dxa"/>
              <w:start w:w="120" w:type="dxa"/>
              <w:bottom w:w="100" w:type="dxa"/>
              <w:end w:w="120" w:type="dxa"/>
            </w:tcMar>
            <w:vAlign w:val="center"/>
            <w:shd w:fill="F4F7FA"/>
          </w:tcPr>
          <w:p>
            <w:pPr>
              <w:jc w:val="left"/>
            </w:pPr>
            <w:r>
              <w:t>Controller only</w:t>
            </w:r>
          </w:p>
        </w:tc>
        <w:tc>
          <w:tcPr>
            <w:tcW w:type="dxa" w:w="1944"/>
            <w:tcMar>
              <w:top w:w="100" w:type="dxa"/>
              <w:start w:w="120" w:type="dxa"/>
              <w:bottom w:w="100" w:type="dxa"/>
              <w:end w:w="120" w:type="dxa"/>
            </w:tcMar>
            <w:vAlign w:val="center"/>
            <w:shd w:fill="F4F7FA"/>
          </w:tcPr>
          <w:p>
            <w:pPr>
              <w:jc w:val="center"/>
            </w:pPr>
            <w:r>
              <w:t>17</w:t>
            </w:r>
          </w:p>
        </w:tc>
        <w:tc>
          <w:tcPr>
            <w:tcW w:type="dxa" w:w="2088"/>
            <w:tcMar>
              <w:top w:w="100" w:type="dxa"/>
              <w:start w:w="120" w:type="dxa"/>
              <w:bottom w:w="100" w:type="dxa"/>
              <w:end w:w="120" w:type="dxa"/>
            </w:tcMar>
            <w:vAlign w:val="center"/>
            <w:shd w:fill="F4F7FA"/>
          </w:tcPr>
          <w:p>
            <w:pPr>
              <w:jc w:val="center"/>
            </w:pPr>
            <w:r>
              <w:t>101</w:t>
            </w:r>
          </w:p>
        </w:tc>
        <w:tc>
          <w:tcPr>
            <w:tcW w:type="dxa" w:w="3168"/>
            <w:tcMar>
              <w:top w:w="100" w:type="dxa"/>
              <w:start w:w="120" w:type="dxa"/>
              <w:bottom w:w="100" w:type="dxa"/>
              <w:end w:w="120" w:type="dxa"/>
            </w:tcMar>
            <w:vAlign w:val="center"/>
            <w:shd w:fill="F4F7FA"/>
          </w:tcPr>
          <w:p>
            <w:pPr>
              <w:jc w:val="left"/>
            </w:pPr>
            <w:r>
              <w:t>MP30 controller architecture throughout the restaurant</w:t>
            </w:r>
          </w:p>
        </w:tc>
      </w:tr>
      <w:tr>
        <w:tc>
          <w:tcPr>
            <w:tcW w:type="dxa" w:w="3240"/>
            <w:tcMar>
              <w:top w:w="100" w:type="dxa"/>
              <w:start w:w="120" w:type="dxa"/>
              <w:bottom w:w="100" w:type="dxa"/>
              <w:end w:w="120" w:type="dxa"/>
            </w:tcMar>
            <w:vAlign w:val="center"/>
          </w:tcPr>
          <w:p>
            <w:pPr>
              <w:jc w:val="left"/>
            </w:pPr>
            <w:r>
              <w:t>Mixed</w:t>
            </w:r>
          </w:p>
        </w:tc>
        <w:tc>
          <w:tcPr>
            <w:tcW w:type="dxa" w:w="1944"/>
            <w:tcMar>
              <w:top w:w="100" w:type="dxa"/>
              <w:start w:w="120" w:type="dxa"/>
              <w:bottom w:w="100" w:type="dxa"/>
              <w:end w:w="120" w:type="dxa"/>
            </w:tcMar>
            <w:vAlign w:val="center"/>
          </w:tcPr>
          <w:p>
            <w:pPr>
              <w:jc w:val="center"/>
            </w:pPr>
            <w:r>
              <w:t>70</w:t>
            </w:r>
          </w:p>
        </w:tc>
        <w:tc>
          <w:tcPr>
            <w:tcW w:type="dxa" w:w="2088"/>
            <w:tcMar>
              <w:top w:w="100" w:type="dxa"/>
              <w:start w:w="120" w:type="dxa"/>
              <w:bottom w:w="100" w:type="dxa"/>
              <w:end w:w="120" w:type="dxa"/>
            </w:tcMar>
            <w:vAlign w:val="center"/>
          </w:tcPr>
          <w:p>
            <w:pPr>
              <w:jc w:val="center"/>
            </w:pPr>
            <w:r>
              <w:t>519</w:t>
            </w:r>
          </w:p>
        </w:tc>
        <w:tc>
          <w:tcPr>
            <w:tcW w:type="dxa" w:w="3168"/>
            <w:tcMar>
              <w:top w:w="100" w:type="dxa"/>
              <w:start w:w="120" w:type="dxa"/>
              <w:bottom w:w="100" w:type="dxa"/>
              <w:end w:w="120" w:type="dxa"/>
            </w:tcMar>
            <w:vAlign w:val="center"/>
          </w:tcPr>
          <w:p>
            <w:pPr>
              <w:jc w:val="left"/>
            </w:pPr>
            <w:r>
              <w:t>Native SoC and MP30 controllers at the same restaurant</w:t>
            </w:r>
          </w:p>
        </w:tc>
      </w:tr>
      <w:tr>
        <w:tc>
          <w:tcPr>
            <w:tcW w:type="dxa" w:w="3240"/>
            <w:tcMar>
              <w:top w:w="100" w:type="dxa"/>
              <w:start w:w="120" w:type="dxa"/>
              <w:bottom w:w="100" w:type="dxa"/>
              <w:end w:w="120" w:type="dxa"/>
            </w:tcMar>
            <w:vAlign w:val="center"/>
            <w:shd w:fill="F4F7FA"/>
          </w:tcPr>
          <w:p>
            <w:pPr>
              <w:jc w:val="left"/>
            </w:pPr>
            <w:r>
              <w:rPr>
                <w:b/>
              </w:rPr>
              <w:t>Restaurant total</w:t>
            </w:r>
          </w:p>
        </w:tc>
        <w:tc>
          <w:tcPr>
            <w:tcW w:type="dxa" w:w="1944"/>
            <w:tcMar>
              <w:top w:w="100" w:type="dxa"/>
              <w:start w:w="120" w:type="dxa"/>
              <w:bottom w:w="100" w:type="dxa"/>
              <w:end w:w="120" w:type="dxa"/>
            </w:tcMar>
            <w:vAlign w:val="center"/>
            <w:shd w:fill="F4F7FA"/>
          </w:tcPr>
          <w:p>
            <w:pPr>
              <w:jc w:val="center"/>
            </w:pPr>
            <w:r>
              <w:rPr>
                <w:b/>
              </w:rPr>
              <w:t>125</w:t>
            </w:r>
          </w:p>
        </w:tc>
        <w:tc>
          <w:tcPr>
            <w:tcW w:type="dxa" w:w="2088"/>
            <w:tcMar>
              <w:top w:w="100" w:type="dxa"/>
              <w:start w:w="120" w:type="dxa"/>
              <w:bottom w:w="100" w:type="dxa"/>
              <w:end w:w="120" w:type="dxa"/>
            </w:tcMar>
            <w:vAlign w:val="center"/>
            <w:shd w:fill="F4F7FA"/>
          </w:tcPr>
          <w:p>
            <w:pPr>
              <w:jc w:val="center"/>
            </w:pPr>
            <w:r>
              <w:rPr>
                <w:b/>
              </w:rPr>
              <w:t>903</w:t>
            </w:r>
          </w:p>
        </w:tc>
        <w:tc>
          <w:tcPr>
            <w:tcW w:type="dxa" w:w="3168"/>
            <w:tcMar>
              <w:top w:w="100" w:type="dxa"/>
              <w:start w:w="120" w:type="dxa"/>
              <w:bottom w:w="100" w:type="dxa"/>
              <w:end w:w="120" w:type="dxa"/>
            </w:tcMar>
            <w:vAlign w:val="center"/>
            <w:shd w:fill="F4F7FA"/>
          </w:tcPr>
          <w:p>
            <w:pPr>
              <w:jc w:val="left"/>
            </w:pPr>
            <w:r>
              <w:rPr>
                <w:b/>
              </w:rPr>
              <w:t>Excludes Support Center and ZoneIn</w:t>
            </w:r>
          </w:p>
        </w:tc>
      </w:tr>
    </w:tbl>
    <w:p>
      <w:r>
        <w:rPr>
          <w:b/>
        </w:rPr>
        <w:t xml:space="preserve">Planning limitation. </w:t>
      </w:r>
      <w:r>
        <w:t>The location profile is a model-based planning view derived from the active inventory. Final SoC eligibility and the site-level controller bill of materials remain subject to firmware, application, cabling, condition, and field validation.</w:t>
      </w:r>
    </w:p>
    <w:p>
      <w:pPr>
        <w:pStyle w:val="Heading1"/>
      </w:pPr>
      <w:r>
        <w:t>Drive Through Deployment Footprint</w:t>
      </w:r>
    </w:p>
    <w:p>
      <w:r>
        <w:t>The active inventory identifies 307 outdoor drive-through displays across 80 restaurants. Based on the recorded models and webOS platforms, 24 drive-through locations appear fully capable of native SoC deployment, three contain a mix of native-capable and controller-required displays, and 53 require controllers for all inventoried outdoor displays. Each drive-through display that cannot use the native SoC application requires one MP30 controller.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33"/>
        <w:gridCol w:w="2033"/>
        <w:gridCol w:w="2033"/>
        <w:gridCol w:w="2033"/>
        <w:gridCol w:w="2033"/>
      </w:tblGrid>
      <w:tr>
        <w:trPr>
          <w:tblHeader w:val="true"/>
        </w:trPr>
        <w:tc>
          <w:tcPr>
            <w:tcW w:type="dxa" w:w="2808"/>
            <w:shd w:fill="17365D"/>
            <w:tcMar>
              <w:top w:w="100" w:type="dxa"/>
              <w:start w:w="120" w:type="dxa"/>
              <w:bottom w:w="100" w:type="dxa"/>
              <w:end w:w="120" w:type="dxa"/>
            </w:tcMar>
            <w:vAlign w:val="center"/>
          </w:tcPr>
          <w:p>
            <w:pPr>
              <w:jc w:val="center"/>
            </w:pPr>
            <w:r>
              <w:rPr>
                <w:b/>
                <w:color w:val="FFFFFF"/>
              </w:rPr>
              <w:t>Drive-through profile</w:t>
            </w:r>
          </w:p>
        </w:tc>
        <w:tc>
          <w:tcPr>
            <w:tcW w:type="dxa" w:w="1584"/>
            <w:shd w:fill="17365D"/>
            <w:tcMar>
              <w:top w:w="100" w:type="dxa"/>
              <w:start w:w="120" w:type="dxa"/>
              <w:bottom w:w="100" w:type="dxa"/>
              <w:end w:w="120" w:type="dxa"/>
            </w:tcMar>
            <w:vAlign w:val="center"/>
          </w:tcPr>
          <w:p>
            <w:pPr>
              <w:jc w:val="center"/>
            </w:pPr>
            <w:r>
              <w:rPr>
                <w:b/>
                <w:color w:val="FFFFFF"/>
              </w:rPr>
              <w:t>Locations</w:t>
            </w:r>
          </w:p>
        </w:tc>
        <w:tc>
          <w:tcPr>
            <w:tcW w:type="dxa" w:w="1656"/>
            <w:shd w:fill="17365D"/>
            <w:tcMar>
              <w:top w:w="100" w:type="dxa"/>
              <w:start w:w="120" w:type="dxa"/>
              <w:bottom w:w="100" w:type="dxa"/>
              <w:end w:w="120" w:type="dxa"/>
            </w:tcMar>
            <w:vAlign w:val="center"/>
          </w:tcPr>
          <w:p>
            <w:pPr>
              <w:jc w:val="center"/>
            </w:pPr>
            <w:r>
              <w:rPr>
                <w:b/>
                <w:color w:val="FFFFFF"/>
              </w:rPr>
              <w:t>Boards</w:t>
            </w:r>
          </w:p>
        </w:tc>
        <w:tc>
          <w:tcPr>
            <w:tcW w:type="dxa" w:w="2016"/>
            <w:shd w:fill="17365D"/>
            <w:tcMar>
              <w:top w:w="100" w:type="dxa"/>
              <w:start w:w="120" w:type="dxa"/>
              <w:bottom w:w="100" w:type="dxa"/>
              <w:end w:w="120" w:type="dxa"/>
            </w:tcMar>
            <w:vAlign w:val="center"/>
          </w:tcPr>
          <w:p>
            <w:pPr>
              <w:jc w:val="center"/>
            </w:pPr>
            <w:r>
              <w:rPr>
                <w:b/>
                <w:color w:val="FFFFFF"/>
              </w:rPr>
              <w:t>SoC-capable</w:t>
            </w:r>
          </w:p>
        </w:tc>
        <w:tc>
          <w:tcPr>
            <w:tcW w:type="dxa" w:w="2232"/>
            <w:shd w:fill="17365D"/>
            <w:tcMar>
              <w:top w:w="100" w:type="dxa"/>
              <w:start w:w="120" w:type="dxa"/>
              <w:bottom w:w="100" w:type="dxa"/>
              <w:end w:w="120" w:type="dxa"/>
            </w:tcMar>
            <w:vAlign w:val="center"/>
          </w:tcPr>
          <w:p>
            <w:pPr>
              <w:jc w:val="center"/>
            </w:pPr>
            <w:r>
              <w:rPr>
                <w:b/>
                <w:color w:val="FFFFFF"/>
              </w:rPr>
              <w:t>Controllers required</w:t>
            </w:r>
          </w:p>
        </w:tc>
      </w:tr>
      <w:tr>
        <w:tc>
          <w:tcPr>
            <w:tcW w:type="dxa" w:w="2808"/>
            <w:tcMar>
              <w:top w:w="100" w:type="dxa"/>
              <w:start w:w="120" w:type="dxa"/>
              <w:bottom w:w="100" w:type="dxa"/>
              <w:end w:w="120" w:type="dxa"/>
            </w:tcMar>
            <w:vAlign w:val="center"/>
          </w:tcPr>
          <w:p>
            <w:pPr>
              <w:jc w:val="left"/>
            </w:pPr>
            <w:r>
              <w:t>SoC only</w:t>
            </w:r>
          </w:p>
        </w:tc>
        <w:tc>
          <w:tcPr>
            <w:tcW w:type="dxa" w:w="1584"/>
            <w:tcMar>
              <w:top w:w="100" w:type="dxa"/>
              <w:start w:w="120" w:type="dxa"/>
              <w:bottom w:w="100" w:type="dxa"/>
              <w:end w:w="120" w:type="dxa"/>
            </w:tcMar>
            <w:vAlign w:val="center"/>
          </w:tcPr>
          <w:p>
            <w:pPr>
              <w:jc w:val="center"/>
            </w:pPr>
            <w:r>
              <w:t>24</w:t>
            </w:r>
          </w:p>
        </w:tc>
        <w:tc>
          <w:tcPr>
            <w:tcW w:type="dxa" w:w="1656"/>
            <w:tcMar>
              <w:top w:w="100" w:type="dxa"/>
              <w:start w:w="120" w:type="dxa"/>
              <w:bottom w:w="100" w:type="dxa"/>
              <w:end w:w="120" w:type="dxa"/>
            </w:tcMar>
            <w:vAlign w:val="center"/>
          </w:tcPr>
          <w:p>
            <w:pPr>
              <w:jc w:val="center"/>
            </w:pPr>
            <w:r>
              <w:t>95</w:t>
            </w:r>
          </w:p>
        </w:tc>
        <w:tc>
          <w:tcPr>
            <w:tcW w:type="dxa" w:w="2016"/>
            <w:tcMar>
              <w:top w:w="100" w:type="dxa"/>
              <w:start w:w="120" w:type="dxa"/>
              <w:bottom w:w="100" w:type="dxa"/>
              <w:end w:w="120" w:type="dxa"/>
            </w:tcMar>
            <w:vAlign w:val="center"/>
          </w:tcPr>
          <w:p>
            <w:pPr>
              <w:jc w:val="center"/>
            </w:pPr>
            <w:r>
              <w:t>95</w:t>
            </w:r>
          </w:p>
        </w:tc>
        <w:tc>
          <w:tcPr>
            <w:tcW w:type="dxa" w:w="2232"/>
            <w:tcMar>
              <w:top w:w="100" w:type="dxa"/>
              <w:start w:w="120" w:type="dxa"/>
              <w:bottom w:w="100" w:type="dxa"/>
              <w:end w:w="120" w:type="dxa"/>
            </w:tcMar>
            <w:vAlign w:val="center"/>
          </w:tcPr>
          <w:p>
            <w:pPr>
              <w:jc w:val="center"/>
            </w:pPr>
            <w:r>
              <w:t>0</w:t>
            </w:r>
          </w:p>
        </w:tc>
      </w:tr>
      <w:tr>
        <w:tc>
          <w:tcPr>
            <w:tcW w:type="dxa" w:w="2808"/>
            <w:tcMar>
              <w:top w:w="100" w:type="dxa"/>
              <w:start w:w="120" w:type="dxa"/>
              <w:bottom w:w="100" w:type="dxa"/>
              <w:end w:w="120" w:type="dxa"/>
            </w:tcMar>
            <w:vAlign w:val="center"/>
            <w:shd w:fill="F4F7FA"/>
          </w:tcPr>
          <w:p>
            <w:pPr>
              <w:jc w:val="left"/>
            </w:pPr>
            <w:r>
              <w:t>Mixed outdoor</w:t>
            </w:r>
          </w:p>
        </w:tc>
        <w:tc>
          <w:tcPr>
            <w:tcW w:type="dxa" w:w="1584"/>
            <w:tcMar>
              <w:top w:w="100" w:type="dxa"/>
              <w:start w:w="120" w:type="dxa"/>
              <w:bottom w:w="100" w:type="dxa"/>
              <w:end w:w="120" w:type="dxa"/>
            </w:tcMar>
            <w:vAlign w:val="center"/>
            <w:shd w:fill="F4F7FA"/>
          </w:tcPr>
          <w:p>
            <w:pPr>
              <w:jc w:val="center"/>
            </w:pPr>
            <w:r>
              <w:t>3</w:t>
            </w:r>
          </w:p>
        </w:tc>
        <w:tc>
          <w:tcPr>
            <w:tcW w:type="dxa" w:w="1656"/>
            <w:tcMar>
              <w:top w:w="100" w:type="dxa"/>
              <w:start w:w="120" w:type="dxa"/>
              <w:bottom w:w="100" w:type="dxa"/>
              <w:end w:w="120" w:type="dxa"/>
            </w:tcMar>
            <w:vAlign w:val="center"/>
            <w:shd w:fill="F4F7FA"/>
          </w:tcPr>
          <w:p>
            <w:pPr>
              <w:jc w:val="center"/>
            </w:pPr>
            <w:r>
              <w:t>12</w:t>
            </w:r>
          </w:p>
        </w:tc>
        <w:tc>
          <w:tcPr>
            <w:tcW w:type="dxa" w:w="2016"/>
            <w:tcMar>
              <w:top w:w="100" w:type="dxa"/>
              <w:start w:w="120" w:type="dxa"/>
              <w:bottom w:w="100" w:type="dxa"/>
              <w:end w:w="120" w:type="dxa"/>
            </w:tcMar>
            <w:vAlign w:val="center"/>
            <w:shd w:fill="F4F7FA"/>
          </w:tcPr>
          <w:p>
            <w:pPr>
              <w:jc w:val="center"/>
            </w:pPr>
            <w:r>
              <w:t>5</w:t>
            </w:r>
          </w:p>
        </w:tc>
        <w:tc>
          <w:tcPr>
            <w:tcW w:type="dxa" w:w="2232"/>
            <w:tcMar>
              <w:top w:w="100" w:type="dxa"/>
              <w:start w:w="120" w:type="dxa"/>
              <w:bottom w:w="100" w:type="dxa"/>
              <w:end w:w="120" w:type="dxa"/>
            </w:tcMar>
            <w:vAlign w:val="center"/>
            <w:shd w:fill="F4F7FA"/>
          </w:tcPr>
          <w:p>
            <w:pPr>
              <w:jc w:val="center"/>
            </w:pPr>
            <w:r>
              <w:t>7</w:t>
            </w:r>
          </w:p>
        </w:tc>
      </w:tr>
      <w:tr>
        <w:tc>
          <w:tcPr>
            <w:tcW w:type="dxa" w:w="2808"/>
            <w:tcMar>
              <w:top w:w="100" w:type="dxa"/>
              <w:start w:w="120" w:type="dxa"/>
              <w:bottom w:w="100" w:type="dxa"/>
              <w:end w:w="120" w:type="dxa"/>
            </w:tcMar>
            <w:vAlign w:val="center"/>
          </w:tcPr>
          <w:p>
            <w:pPr>
              <w:jc w:val="left"/>
            </w:pPr>
            <w:r>
              <w:t>Controller only</w:t>
            </w:r>
          </w:p>
        </w:tc>
        <w:tc>
          <w:tcPr>
            <w:tcW w:type="dxa" w:w="1584"/>
            <w:tcMar>
              <w:top w:w="100" w:type="dxa"/>
              <w:start w:w="120" w:type="dxa"/>
              <w:bottom w:w="100" w:type="dxa"/>
              <w:end w:w="120" w:type="dxa"/>
            </w:tcMar>
            <w:vAlign w:val="center"/>
          </w:tcPr>
          <w:p>
            <w:pPr>
              <w:jc w:val="center"/>
            </w:pPr>
            <w:r>
              <w:t>53</w:t>
            </w:r>
          </w:p>
        </w:tc>
        <w:tc>
          <w:tcPr>
            <w:tcW w:type="dxa" w:w="1656"/>
            <w:tcMar>
              <w:top w:w="100" w:type="dxa"/>
              <w:start w:w="120" w:type="dxa"/>
              <w:bottom w:w="100" w:type="dxa"/>
              <w:end w:w="120" w:type="dxa"/>
            </w:tcMar>
            <w:vAlign w:val="center"/>
          </w:tcPr>
          <w:p>
            <w:pPr>
              <w:jc w:val="center"/>
            </w:pPr>
            <w:r>
              <w:t>200</w:t>
            </w:r>
          </w:p>
        </w:tc>
        <w:tc>
          <w:tcPr>
            <w:tcW w:type="dxa" w:w="2016"/>
            <w:tcMar>
              <w:top w:w="100" w:type="dxa"/>
              <w:start w:w="120" w:type="dxa"/>
              <w:bottom w:w="100" w:type="dxa"/>
              <w:end w:w="120" w:type="dxa"/>
            </w:tcMar>
            <w:vAlign w:val="center"/>
          </w:tcPr>
          <w:p>
            <w:pPr>
              <w:jc w:val="center"/>
            </w:pPr>
            <w:r>
              <w:t>0</w:t>
            </w:r>
          </w:p>
        </w:tc>
        <w:tc>
          <w:tcPr>
            <w:tcW w:type="dxa" w:w="2232"/>
            <w:tcMar>
              <w:top w:w="100" w:type="dxa"/>
              <w:start w:w="120" w:type="dxa"/>
              <w:bottom w:w="100" w:type="dxa"/>
              <w:end w:w="120" w:type="dxa"/>
            </w:tcMar>
            <w:vAlign w:val="center"/>
          </w:tcPr>
          <w:p>
            <w:pPr>
              <w:jc w:val="center"/>
            </w:pPr>
            <w:r>
              <w:t>200</w:t>
            </w:r>
          </w:p>
        </w:tc>
      </w:tr>
      <w:tr>
        <w:tc>
          <w:tcPr>
            <w:tcW w:type="dxa" w:w="2808"/>
            <w:tcMar>
              <w:top w:w="100" w:type="dxa"/>
              <w:start w:w="120" w:type="dxa"/>
              <w:bottom w:w="100" w:type="dxa"/>
              <w:end w:w="120" w:type="dxa"/>
            </w:tcMar>
            <w:vAlign w:val="center"/>
            <w:shd w:fill="F4F7FA"/>
          </w:tcPr>
          <w:p>
            <w:pPr>
              <w:jc w:val="left"/>
            </w:pPr>
            <w:r>
              <w:rPr>
                <w:b/>
              </w:rPr>
              <w:t>Drive-through total</w:t>
            </w:r>
          </w:p>
        </w:tc>
        <w:tc>
          <w:tcPr>
            <w:tcW w:type="dxa" w:w="1584"/>
            <w:tcMar>
              <w:top w:w="100" w:type="dxa"/>
              <w:start w:w="120" w:type="dxa"/>
              <w:bottom w:w="100" w:type="dxa"/>
              <w:end w:w="120" w:type="dxa"/>
            </w:tcMar>
            <w:vAlign w:val="center"/>
            <w:shd w:fill="F4F7FA"/>
          </w:tcPr>
          <w:p>
            <w:pPr>
              <w:jc w:val="center"/>
            </w:pPr>
            <w:r>
              <w:rPr>
                <w:b/>
              </w:rPr>
              <w:t>80</w:t>
            </w:r>
          </w:p>
        </w:tc>
        <w:tc>
          <w:tcPr>
            <w:tcW w:type="dxa" w:w="1656"/>
            <w:tcMar>
              <w:top w:w="100" w:type="dxa"/>
              <w:start w:w="120" w:type="dxa"/>
              <w:bottom w:w="100" w:type="dxa"/>
              <w:end w:w="120" w:type="dxa"/>
            </w:tcMar>
            <w:vAlign w:val="center"/>
            <w:shd w:fill="F4F7FA"/>
          </w:tcPr>
          <w:p>
            <w:pPr>
              <w:jc w:val="center"/>
            </w:pPr>
            <w:r>
              <w:rPr>
                <w:b/>
              </w:rPr>
              <w:t>307</w:t>
            </w:r>
          </w:p>
        </w:tc>
        <w:tc>
          <w:tcPr>
            <w:tcW w:type="dxa" w:w="2016"/>
            <w:tcMar>
              <w:top w:w="100" w:type="dxa"/>
              <w:start w:w="120" w:type="dxa"/>
              <w:bottom w:w="100" w:type="dxa"/>
              <w:end w:w="120" w:type="dxa"/>
            </w:tcMar>
            <w:vAlign w:val="center"/>
            <w:shd w:fill="F4F7FA"/>
          </w:tcPr>
          <w:p>
            <w:pPr>
              <w:jc w:val="center"/>
            </w:pPr>
            <w:r>
              <w:rPr>
                <w:b/>
              </w:rPr>
              <w:t>100</w:t>
            </w:r>
          </w:p>
        </w:tc>
        <w:tc>
          <w:tcPr>
            <w:tcW w:type="dxa" w:w="2232"/>
            <w:tcMar>
              <w:top w:w="100" w:type="dxa"/>
              <w:start w:w="120" w:type="dxa"/>
              <w:bottom w:w="100" w:type="dxa"/>
              <w:end w:w="120" w:type="dxa"/>
            </w:tcMar>
            <w:vAlign w:val="center"/>
            <w:shd w:fill="F4F7FA"/>
          </w:tcPr>
          <w:p>
            <w:pPr>
              <w:jc w:val="center"/>
            </w:pPr>
            <w:r>
              <w:rPr>
                <w:b/>
              </w:rPr>
              <w:t>207</w:t>
            </w:r>
          </w:p>
        </w:tc>
      </w:tr>
    </w:tbl>
    <w:p>
      <w:r>
        <w:rPr>
          <w:b/>
        </w:rPr>
        <w:t xml:space="preserve">Mixed drive-through locations. </w:t>
      </w:r>
      <w:r>
        <w:t>Richardson has three SoC-capable boards and one controller-required board. East Charleston and Tampa Waters Avenue each have one SoC-capable board and three controller-required boards.</w:t>
      </w:r>
    </w:p>
    <w:p>
      <w:r>
        <w:rPr>
          <w:b/>
        </w:rPr>
        <w:t xml:space="preserve">Validation note. </w:t>
      </w:r>
      <w:r>
        <w:t>Canoga Park includes one outdoor display without a model number and is carried as controller-required pending inspection. The current active inventory produces 207 controller-required outdoor boards; this quantity must be reconciled with the earlier planning estimate before the final bill of materials and RFP pricing are completed.</w:t>
      </w:r>
    </w:p>
    <w:p>
      <w:pPr>
        <w:pStyle w:val="Heading1"/>
      </w:pPr>
      <w:r>
        <w:t>Deployment Scope Options</w:t>
      </w:r>
    </w:p>
    <w:p>
      <w:r>
        <w:t>The options below are presented from the lowest expected deployment cost to the most extensive replacement scope. Final cost and scope will depend on site survey results and the functionality of the installed equipment.</w:t>
      </w:r>
    </w:p>
    <w:p>
      <w:pPr>
        <w:pStyle w:val="Heading2"/>
      </w:pPr>
      <w:r>
        <w:t>Option 1 SoC Only Locations</w:t>
      </w:r>
    </w:p>
    <w:p>
      <w:r>
        <w:rPr>
          <w:b/>
        </w:rPr>
        <w:t xml:space="preserve">Best fit. </w:t>
      </w:r>
      <w:r>
        <w:t>The 38 restaurants where all inventoried displays appear capable of native deployment.</w:t>
      </w:r>
    </w:p>
    <w:p>
      <w:r>
        <w:t>This is the lowest expected-cost deployment path. Genius DMB runs directly on each validated LG display using webOS 6.0 or greater. Legacy controllers and unnecessary controller cabling are removed, the displays are provisioned for Genius DMB and required monitoring services, connectivity is validated, and end-to-end playback is tested. No external media player is required.</w:t>
      </w:r>
    </w:p>
    <w:p>
      <w:pPr>
        <w:pStyle w:val="ListBullet"/>
      </w:pPr>
      <w:r>
        <w:rPr>
          <w:b/>
        </w:rPr>
        <w:t xml:space="preserve">Planning footprint: </w:t>
      </w:r>
      <w:r>
        <w:t>38 restaurants.</w:t>
      </w:r>
    </w:p>
    <w:p>
      <w:pPr>
        <w:pStyle w:val="ListBullet"/>
      </w:pPr>
      <w:r>
        <w:rPr>
          <w:b/>
        </w:rPr>
        <w:t xml:space="preserve">Compatibility threshold: </w:t>
      </w:r>
      <w:r>
        <w:t>webOS 6.0 or greater, subject to model, firmware, application, network, and functional validation.</w:t>
      </w:r>
    </w:p>
    <w:p>
      <w:pPr>
        <w:pStyle w:val="ListBullet"/>
      </w:pPr>
      <w:r>
        <w:rPr>
          <w:b/>
        </w:rPr>
        <w:t xml:space="preserve">Controller requirement: </w:t>
      </w:r>
      <w:r>
        <w:t>No external controller for displays that pass native SoC validation.</w:t>
      </w:r>
    </w:p>
    <w:p>
      <w:pPr>
        <w:pStyle w:val="ListBullet"/>
      </w:pPr>
      <w:r>
        <w:rPr>
          <w:b/>
        </w:rPr>
        <w:t xml:space="preserve">Field scope: </w:t>
      </w:r>
      <w:r>
        <w:t>Remove obsolete controllers where present, provision the native application, validate connectivity, and test content playback and monitoring.</w:t>
      </w:r>
    </w:p>
    <w:p>
      <w:r>
        <w:rPr>
          <w:b/>
        </w:rPr>
        <w:t xml:space="preserve">Important. </w:t>
      </w:r>
      <w:r>
        <w:t>If any display fails functional or compatibility validation, that restaurant may move to the mixed, controller-only, or replacement scope.</w:t>
      </w:r>
    </w:p>
    <w:p>
      <w:pPr>
        <w:pStyle w:val="Heading2"/>
      </w:pPr>
      <w:r>
        <w:t>Option 2 Mixed SoC and Controller Locations</w:t>
      </w:r>
    </w:p>
    <w:p>
      <w:r>
        <w:rPr>
          <w:b/>
        </w:rPr>
        <w:t xml:space="preserve">Best fit. </w:t>
      </w:r>
      <w:r>
        <w:t>The 70 restaurants containing both native-capable displays and older displays that require controllers.</w:t>
      </w:r>
    </w:p>
    <w:p>
      <w:r>
        <w:t>Genius uses the native SoC application on displays that pass the webOS 6.0 or greater requirement and deploys MP30 controllers only where required. This preserves compatible displays while establishing a common Genius DMB experience across the restaurant.</w:t>
      </w:r>
    </w:p>
    <w:p>
      <w:pPr>
        <w:pStyle w:val="ListBullet"/>
      </w:pPr>
      <w:r>
        <w:rPr>
          <w:b/>
        </w:rPr>
        <w:t xml:space="preserve">Planning footprint: </w:t>
      </w:r>
      <w:r>
        <w:t>70 restaurants.</w:t>
      </w:r>
    </w:p>
    <w:p>
      <w:pPr>
        <w:pStyle w:val="ListBullet"/>
      </w:pPr>
      <w:r>
        <w:rPr>
          <w:b/>
        </w:rPr>
        <w:t xml:space="preserve">Indoor controller design: </w:t>
      </w:r>
      <w:r>
        <w:t>Up to one MP30 controller for every two indoor menu boards.</w:t>
      </w:r>
    </w:p>
    <w:p>
      <w:pPr>
        <w:pStyle w:val="ListBullet"/>
      </w:pPr>
      <w:r>
        <w:rPr>
          <w:b/>
        </w:rPr>
        <w:t xml:space="preserve">Drive-thru controller design: </w:t>
      </w:r>
      <w:r>
        <w:t>One MP30 controller for each drive-thru display when a controller is required.</w:t>
      </w:r>
    </w:p>
    <w:p>
      <w:pPr>
        <w:pStyle w:val="ListBullet"/>
      </w:pPr>
      <w:r>
        <w:rPr>
          <w:b/>
        </w:rPr>
        <w:t xml:space="preserve">Field scope: </w:t>
      </w:r>
      <w:r>
        <w:t>Validate each display, remove obsolete controllers, install and configure the required MP30 controllers, reuse qualified cabling and mounting components, and test coordinated playback.</w:t>
      </w:r>
    </w:p>
    <w:p>
      <w:r>
        <w:rPr>
          <w:b/>
        </w:rPr>
        <w:t xml:space="preserve">Important. </w:t>
      </w:r>
      <w:r>
        <w:t>Final controller quantities depend on the verified display mix, physical layout, coordinated-content requirements, and reusable cabling at each restaurant.</w:t>
      </w:r>
    </w:p>
    <w:p>
      <w:pPr>
        <w:pStyle w:val="Heading2"/>
      </w:pPr>
      <w:r>
        <w:t>Option 3 Controller Only Locations</w:t>
      </w:r>
    </w:p>
    <w:p>
      <w:r>
        <w:rPr>
          <w:b/>
        </w:rPr>
        <w:t xml:space="preserve">Best fit. </w:t>
      </w:r>
      <w:r>
        <w:t>The 17 restaurants where the inventoried displays appear serviceable but do not meet the native SoC requirement.</w:t>
      </w:r>
    </w:p>
    <w:p>
      <w:r>
        <w:t>Genius replaces the legacy controller layer with MP30 controllers while retaining existing displays that pass functional and site validation. Indoor displays may share controllers, while each drive-thru display requiring a controller receives a dedicated controller.</w:t>
      </w:r>
    </w:p>
    <w:p>
      <w:pPr>
        <w:pStyle w:val="ListBullet"/>
      </w:pPr>
      <w:r>
        <w:rPr>
          <w:b/>
        </w:rPr>
        <w:t xml:space="preserve">Planning footprint: </w:t>
      </w:r>
      <w:r>
        <w:t>17 restaurants.</w:t>
      </w:r>
    </w:p>
    <w:p>
      <w:pPr>
        <w:pStyle w:val="ListBullet"/>
      </w:pPr>
      <w:r>
        <w:rPr>
          <w:b/>
        </w:rPr>
        <w:t xml:space="preserve">Indoor controller design: </w:t>
      </w:r>
      <w:r>
        <w:t>Up to one MP30 controller for every two indoor menu boards.</w:t>
      </w:r>
    </w:p>
    <w:p>
      <w:pPr>
        <w:pStyle w:val="ListBullet"/>
      </w:pPr>
      <w:r>
        <w:rPr>
          <w:b/>
        </w:rPr>
        <w:t xml:space="preserve">Drive-thru controller design: </w:t>
      </w:r>
      <w:r>
        <w:t>One MP30 controller for each drive-thru display when a controller is required.</w:t>
      </w:r>
    </w:p>
    <w:p>
      <w:pPr>
        <w:pStyle w:val="ListBullet"/>
      </w:pPr>
      <w:r>
        <w:rPr>
          <w:b/>
        </w:rPr>
        <w:t xml:space="preserve">Field scope: </w:t>
      </w:r>
      <w:r>
        <w:t>Remove legacy controllers, install and configure MP30 controllers, validate reusable cabling and connectivity, test content playback, and commission the completed system.</w:t>
      </w:r>
    </w:p>
    <w:p>
      <w:r>
        <w:rPr>
          <w:b/>
        </w:rPr>
        <w:t xml:space="preserve">Important. </w:t>
      </w:r>
      <w:r>
        <w:t>The unidentified Canoga Park outdoor display is carried in this category using a one-controller-per-display assumption until the model and functionality are verified.</w:t>
      </w:r>
    </w:p>
    <w:p>
      <w:pPr>
        <w:pStyle w:val="Heading2"/>
      </w:pPr>
      <w:r>
        <w:t>Option 4 Full Display Replacement</w:t>
      </w:r>
    </w:p>
    <w:p>
      <w:r>
        <w:rPr>
          <w:b/>
        </w:rPr>
        <w:t xml:space="preserve">Best fit. </w:t>
      </w:r>
      <w:r>
        <w:t>Any restaurant where existing indoor menu boards or drive-thru displays fail validation, are near end of life, or are selected for full refresh.</w:t>
      </w:r>
    </w:p>
    <w:p>
      <w:r>
        <w:t>Genius replaces the applicable displays and supporting components with new commercial-grade equipment. The scope may cover indoor digital menu boards, drive-thru boards, presell boards, enclosures, mounts, brackets, cabling, controllers, and related installation components as confirmed by the site survey.</w:t>
      </w:r>
    </w:p>
    <w:p>
      <w:pPr>
        <w:pStyle w:val="ListBullet"/>
      </w:pPr>
      <w:r>
        <w:rPr>
          <w:b/>
        </w:rPr>
        <w:t xml:space="preserve">Planning footprint: </w:t>
      </w:r>
      <w:r>
        <w:t>Determined by site survey results and Pollo Campero replacement decisions.</w:t>
      </w:r>
    </w:p>
    <w:p>
      <w:pPr>
        <w:pStyle w:val="ListBullet"/>
      </w:pPr>
      <w:r>
        <w:rPr>
          <w:b/>
        </w:rPr>
        <w:t xml:space="preserve">Indoor scope: </w:t>
      </w:r>
      <w:r>
        <w:t>Remove the approved existing equipment, install new displays and required mounting components, configure the Genius application, and complete playback testing.</w:t>
      </w:r>
    </w:p>
    <w:p>
      <w:pPr>
        <w:pStyle w:val="ListBullet"/>
      </w:pPr>
      <w:r>
        <w:rPr>
          <w:b/>
        </w:rPr>
        <w:t xml:space="preserve">Drive-thru scope: </w:t>
      </w:r>
      <w:r>
        <w:t>Replace the approved outdoor displays and, where required by the selected hardware architecture, install one controller per drive-thru display.</w:t>
      </w:r>
    </w:p>
    <w:p>
      <w:pPr>
        <w:pStyle w:val="ListBullet"/>
      </w:pPr>
      <w:r>
        <w:rPr>
          <w:b/>
        </w:rPr>
        <w:t xml:space="preserve">Commissioning: </w:t>
      </w:r>
      <w:r>
        <w:t>Validate content, connectivity, monitoring, environmental readiness, and site acceptance for the completed system.</w:t>
      </w:r>
    </w:p>
    <w:p>
      <w:r>
        <w:rPr>
          <w:b/>
        </w:rPr>
        <w:t xml:space="preserve">Important. </w:t>
      </w:r>
      <w:r>
        <w:t>Replacement scope will be defined separately for each restaurant because enclosure condition, structural requirements, electrical readiness, cabling, lane configuration, and access requirements vary by site.</w:t>
      </w:r>
    </w:p>
    <w:p>
      <w:pPr>
        <w:pStyle w:val="Heading1"/>
      </w:pPr>
      <w:r>
        <w:t>Scope Assumptions and Validation Requirements</w:t>
      </w:r>
    </w:p>
    <w:p>
      <w:pPr>
        <w:pStyle w:val="ListBullet"/>
      </w:pPr>
      <w:r>
        <w:t>This addendum defines deployment scope only. Commercial pricing will be provided in the RFP pricing response and related order documents.</w:t>
      </w:r>
    </w:p>
    <w:p>
      <w:pPr>
        <w:pStyle w:val="ListBullet"/>
      </w:pPr>
      <w:r>
        <w:t>Final deployment classification, eligibility, quantities, installation scope, and bill of materials are subject to site survey, the approved store list, functional testing, field validation, and mutual agreement on the deployment plan.</w:t>
      </w:r>
    </w:p>
    <w:p>
      <w:pPr>
        <w:pStyle w:val="ListBullet"/>
      </w:pPr>
      <w:r>
        <w:t>A display identified in the inventory as webOS 6.0 or greater is not guaranteed to support native deployment until its exact model, firmware, application compatibility, network connectivity, physical condition, and operating functionality are validated.</w:t>
      </w:r>
    </w:p>
    <w:p>
      <w:pPr>
        <w:pStyle w:val="ListBullet"/>
      </w:pPr>
      <w:r>
        <w:t>Customer-owned and reused equipment is excluded from Genius hardware warranty coverage. Failures of reused equipment will be handled on a replacement-upon-failure basis unless otherwise agreed in writing.</w:t>
      </w:r>
    </w:p>
    <w:p>
      <w:pPr>
        <w:pStyle w:val="ListBullet"/>
      </w:pPr>
      <w:r>
        <w:t>Reuse assumes serviceable displays, enclosures, mounts, brackets, cabling, power, and network connectivity. Components that fail inspection or testing may require remediation or replacement.</w:t>
      </w:r>
    </w:p>
    <w:p>
      <w:pPr>
        <w:pStyle w:val="ListBullet"/>
      </w:pPr>
      <w:r>
        <w:t>Indoor controller planning assumes up to two indoor menu boards per MP30 controller. Drive-thru planning assumes one MP30 controller per display whenever an external controller is required.</w:t>
      </w:r>
    </w:p>
    <w:p>
      <w:pPr>
        <w:pStyle w:val="ListBullet"/>
      </w:pPr>
      <w:r>
        <w:t>Electrical work, structural work, permits, lifts, after-hours work, remediation, failed access, return trips, freight, disposal, and work outside the approved site-level scope are excluded unless expressly included in the final statement of work.</w:t>
      </w:r>
    </w:p>
    <w:p>
      <w:pPr>
        <w:pStyle w:val="Heading1"/>
      </w:pPr>
      <w:r>
        <w:t>Next Steps</w:t>
      </w:r>
    </w:p>
    <w:p>
      <w:pPr>
        <w:pStyle w:val="ListNumber"/>
      </w:pPr>
      <w:r>
        <w:t>Complete site surveys and functional testing for the existing displays and supporting infrastructure.</w:t>
      </w:r>
    </w:p>
    <w:p>
      <w:pPr>
        <w:pStyle w:val="ListNumber"/>
      </w:pPr>
      <w:r>
        <w:t>Confirm the final SoC-only, mixed, controller-only, and replacement classification for each restaurant.</w:t>
      </w:r>
    </w:p>
    <w:p>
      <w:pPr>
        <w:pStyle w:val="ListNumber"/>
      </w:pPr>
      <w:r>
        <w:t>Validate the unidentified Canoga Park outdoor display and the remaining inventory labeling exceptions.</w:t>
      </w:r>
    </w:p>
    <w:p>
      <w:pPr>
        <w:pStyle w:val="ListNumber"/>
      </w:pPr>
      <w:r>
        <w:t>Finalize the site-level controller quantities, replacement bill of materials, installation scope, and deployment schedule.</w:t>
      </w:r>
    </w:p>
    <w:p>
      <w:pPr>
        <w:pStyle w:val="ListNumber"/>
      </w:pPr>
      <w:r>
        <w:t>Reflect the confirmed scope and installation pricing in the RFP pricing response.</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Global Payments Genius  |  Pollo Campero Existing Inventory Addendum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