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244A67"/>
          <w:sz w:val="40"/>
        </w:rPr>
        <w:t>McDonald's / Global Payments + Genius Executive Summary</w:t>
      </w:r>
    </w:p>
    <w:p>
      <w:r>
        <w:rPr>
          <w:rFonts w:ascii="Arial" w:hAnsi="Arial"/>
          <w:b/>
          <w:color w:val="66717A"/>
          <w:sz w:val="19"/>
        </w:rPr>
        <w:t>Date:</w:t>
      </w:r>
      <w:r>
        <w:rPr>
          <w:rFonts w:ascii="Arial" w:hAnsi="Arial"/>
          <w:b w:val="0"/>
          <w:color w:val="66717A"/>
          <w:sz w:val="19"/>
        </w:rPr>
        <w:t xml:space="preserve"> 2026-08-04  </w:t>
      </w:r>
    </w:p>
    <w:p>
      <w:r>
        <w:rPr>
          <w:rFonts w:ascii="Arial" w:hAnsi="Arial"/>
          <w:b/>
          <w:color w:val="66717A"/>
          <w:sz w:val="19"/>
        </w:rPr>
        <w:t>Owner:</w:t>
      </w:r>
      <w:r>
        <w:rPr>
          <w:rFonts w:ascii="Arial" w:hAnsi="Arial"/>
          <w:b w:val="0"/>
          <w:color w:val="66717A"/>
          <w:sz w:val="19"/>
        </w:rPr>
        <w:t xml:space="preserve"> Todd Vahlsing  </w:t>
      </w:r>
    </w:p>
    <w:p>
      <w:r>
        <w:rPr>
          <w:rFonts w:ascii="Arial" w:hAnsi="Arial"/>
          <w:b/>
          <w:color w:val="66717A"/>
          <w:sz w:val="19"/>
        </w:rPr>
        <w:t>Account:</w:t>
      </w:r>
      <w:r>
        <w:rPr>
          <w:rFonts w:ascii="Arial" w:hAnsi="Arial"/>
          <w:b w:val="0"/>
          <w:color w:val="66717A"/>
          <w:sz w:val="19"/>
        </w:rPr>
        <w:t xml:space="preserve"> McDonald's Corporation  </w:t>
      </w:r>
    </w:p>
    <w:p>
      <w:r>
        <w:rPr>
          <w:rFonts w:ascii="Arial" w:hAnsi="Arial"/>
          <w:b/>
          <w:color w:val="66717A"/>
          <w:sz w:val="19"/>
        </w:rPr>
        <w:t>Purpose:</w:t>
      </w:r>
      <w:r>
        <w:rPr>
          <w:rFonts w:ascii="Arial" w:hAnsi="Arial"/>
          <w:b w:val="0"/>
          <w:color w:val="66717A"/>
          <w:sz w:val="19"/>
        </w:rPr>
        <w:t xml:space="preserve"> Executive-ready summary of the McDonald's / Global Payments + Genius pursuit thesis.</w:t>
      </w:r>
    </w:p>
    <w:p>
      <w:pPr>
        <w:pStyle w:val="Heading1"/>
      </w:pPr>
      <w:r>
        <w:t>Bottom line</w:t>
      </w:r>
    </w:p>
    <w:p>
      <w:r>
        <w:rPr>
          <w:rFonts w:ascii="Arial" w:hAnsi="Arial"/>
          <w:b w:val="0"/>
          <w:color w:val="1E1E1E"/>
          <w:sz w:val="21"/>
        </w:rPr>
        <w:t>Global Payments/Genius should not approach McDonald's as a broad platform-replacement opportunity. McDonald's has heavy investment in its own restaurant platform, Google Cloud/Edge direction, loyalty/customer engagement, and embedded operating systems. The realistic path is a narrow, operational wedge that helps McDonald's reduce supplier risk and improve U.S. execution without challenging its core strategy.</w:t>
      </w:r>
    </w:p>
    <w:p>
      <w:r>
        <w:rPr>
          <w:rFonts w:ascii="Arial" w:hAnsi="Arial"/>
          <w:b w:val="0"/>
          <w:color w:val="1E1E1E"/>
          <w:sz w:val="21"/>
        </w:rPr>
        <w:t>The two credible entry points are:</w:t>
      </w:r>
    </w:p>
    <w:p>
      <w:pPr>
        <w:pStyle w:val="ListNumber"/>
      </w:pPr>
      <w:r>
        <w:rPr>
          <w:rFonts w:ascii="Arial" w:hAnsi="Arial"/>
          <w:b/>
          <w:color w:val="1E1E1E"/>
          <w:sz w:val="21"/>
        </w:rPr>
        <w:t>Second-source drive-thru digital menu boards (DMB).</w:t>
      </w:r>
    </w:p>
    <w:p>
      <w:pPr>
        <w:pStyle w:val="ListNumber"/>
      </w:pPr>
      <w:r>
        <w:rPr>
          <w:rFonts w:ascii="Arial" w:hAnsi="Arial"/>
          <w:b/>
          <w:color w:val="1E1E1E"/>
          <w:sz w:val="21"/>
        </w:rPr>
        <w:t>POS hardware / approved hardware optionality.</w:t>
      </w:r>
    </w:p>
    <w:p>
      <w:r>
        <w:rPr>
          <w:rFonts w:ascii="Arial" w:hAnsi="Arial"/>
          <w:b w:val="0"/>
          <w:color w:val="1E1E1E"/>
          <w:sz w:val="21"/>
        </w:rPr>
        <w:t>CosMc's matters because it proves Global Payments/Genius is not unknown to McDonald's. It should be used as credibility proof, not as a claim that the CosMc's stack should move into the core McDonald's estate.</w:t>
      </w:r>
    </w:p>
    <w:p>
      <w:pPr>
        <w:pStyle w:val="Heading1"/>
      </w:pPr>
      <w:r>
        <w:t>Strategic thesis</w:t>
      </w:r>
    </w:p>
    <w:p>
      <w:r>
        <w:rPr>
          <w:rFonts w:ascii="Arial" w:hAnsi="Arial"/>
          <w:b w:val="0"/>
          <w:color w:val="1E1E1E"/>
          <w:sz w:val="21"/>
        </w:rPr>
        <w:t>McDonald's is signaling a need for practical execution improvement, not a desire to rip out the core platform. The U.S. business is under execution pressure, franchisee adoption is a visible issue, and leadership is changing with Skye Anderson moving into the McDonald's USA president role. That context strengthens a supplier-risk and field-reliability conversation.</w:t>
      </w:r>
    </w:p>
    <w:p>
      <w:r>
        <w:rPr>
          <w:rFonts w:ascii="Arial" w:hAnsi="Arial"/>
          <w:b w:val="0"/>
          <w:color w:val="1E1E1E"/>
          <w:sz w:val="21"/>
        </w:rPr>
        <w:t>The right message:</w:t>
      </w:r>
    </w:p>
    <w:p>
      <w:pPr>
        <w:ind w:left="360"/>
      </w:pPr>
      <w:r>
        <w:rPr>
          <w:rFonts w:ascii="Arial" w:hAnsi="Arial"/>
          <w:b w:val="0"/>
          <w:color w:val="244A67"/>
          <w:sz w:val="21"/>
        </w:rPr>
        <w:t>Global Payments/Genius can help McDonald's add optionality and resilience in specific restaurant-technology lanes, starting with DMB and hardware, while respecting the current McDonald's platform, Edge investment, loyalty ownership, back-office systems, workforce systems, and franchise operating reality.</w:t>
      </w:r>
    </w:p>
    <w:p>
      <w:pPr>
        <w:pStyle w:val="Heading1"/>
      </w:pPr>
      <w:r>
        <w:t>What not to pitch</w:t>
      </w:r>
    </w:p>
    <w:p>
      <w:r>
        <w:rPr>
          <w:rFonts w:ascii="Arial" w:hAnsi="Arial"/>
          <w:b w:val="0"/>
          <w:color w:val="1E1E1E"/>
          <w:sz w:val="21"/>
        </w:rPr>
        <w:t>Do not pitch McDonald's on:</w:t>
      </w:r>
    </w:p>
    <w:p>
      <w:pPr>
        <w:pStyle w:val="ListBullet"/>
      </w:pPr>
      <w:r>
        <w:rPr>
          <w:rFonts w:ascii="Arial" w:hAnsi="Arial"/>
          <w:b w:val="0"/>
          <w:color w:val="1E1E1E"/>
          <w:sz w:val="21"/>
        </w:rPr>
        <w:t>Core POS / NEWPOS replacement.</w:t>
      </w:r>
    </w:p>
    <w:p>
      <w:pPr>
        <w:pStyle w:val="ListBullet"/>
      </w:pPr>
      <w:r>
        <w:rPr>
          <w:rFonts w:ascii="Arial" w:hAnsi="Arial"/>
          <w:b w:val="0"/>
          <w:color w:val="1E1E1E"/>
          <w:sz w:val="21"/>
        </w:rPr>
        <w:t>Loyalty or customer engagement replacement.</w:t>
      </w:r>
    </w:p>
    <w:p>
      <w:pPr>
        <w:pStyle w:val="ListBullet"/>
      </w:pPr>
      <w:r>
        <w:rPr>
          <w:rFonts w:ascii="Arial" w:hAnsi="Arial"/>
          <w:b w:val="0"/>
          <w:color w:val="1E1E1E"/>
          <w:sz w:val="21"/>
        </w:rPr>
        <w:t>Back office replacement.</w:t>
      </w:r>
    </w:p>
    <w:p>
      <w:pPr>
        <w:pStyle w:val="ListBullet"/>
      </w:pPr>
      <w:r>
        <w:rPr>
          <w:rFonts w:ascii="Arial" w:hAnsi="Arial"/>
          <w:b w:val="0"/>
          <w:color w:val="1E1E1E"/>
          <w:sz w:val="21"/>
        </w:rPr>
        <w:t>Workforce management replacement.</w:t>
      </w:r>
    </w:p>
    <w:p>
      <w:pPr>
        <w:pStyle w:val="ListBullet"/>
      </w:pPr>
      <w:r>
        <w:rPr>
          <w:rFonts w:ascii="Arial" w:hAnsi="Arial"/>
          <w:b w:val="0"/>
          <w:color w:val="1E1E1E"/>
          <w:sz w:val="21"/>
        </w:rPr>
        <w:t>Broad CosMc's platform transfer.</w:t>
      </w:r>
    </w:p>
    <w:p>
      <w:r>
        <w:rPr>
          <w:rFonts w:ascii="Arial" w:hAnsi="Arial"/>
          <w:b w:val="0"/>
          <w:color w:val="1E1E1E"/>
          <w:sz w:val="21"/>
        </w:rPr>
        <w:t>Those lanes are either McDonald's-owned or incumbent-managed. Treat them as integration boundaries, not opportunity wedges. Todd field assessment: QSRSoft is entrenched in domestic U.S. McDonald's back office for cash, inventory, and reporting.</w:t>
      </w:r>
    </w:p>
    <w:p>
      <w:pPr>
        <w:pStyle w:val="Heading1"/>
      </w:pPr>
      <w:r>
        <w:t>Highest-probability wedges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6" w:color="D7DCE0"/>
          <w:left w:val="single" w:sz="6" w:color="D7DCE0"/>
          <w:bottom w:val="single" w:sz="6" w:color="D7DCE0"/>
          <w:right w:val="single" w:sz="6" w:color="D7DCE0"/>
          <w:insideH w:val="single" w:sz="6" w:color="D7DCE0"/>
          <w:insideV w:val="single" w:sz="6" w:color="D7DCE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244A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520"/>
            <w:shd w:fill="244A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Wedge</w:t>
            </w:r>
          </w:p>
        </w:tc>
        <w:tc>
          <w:tcPr>
            <w:tcW w:type="dxa" w:w="2520"/>
            <w:shd w:fill="244A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Why it matters</w:t>
            </w:r>
          </w:p>
        </w:tc>
        <w:tc>
          <w:tcPr>
            <w:tcW w:type="dxa" w:w="2520"/>
            <w:shd w:fill="244A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First question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Second-source drive-thru DMB supplier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Coates is publicly the global DMB CMS provider and one of two approved DMB hardware providers. Field intelligence indicates U.S. rollout pain and supplier concentration risk.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Who owns U.S. DMB supplier-risk and second-source evaluation?</w:t>
            </w:r>
          </w:p>
        </w:tc>
      </w:tr>
      <w:tr>
        <w:tc>
          <w:tcPr>
            <w:tcW w:type="dxa" w:w="2520"/>
            <w:vAlign w:val="top"/>
            <w:shd w:fill="F3F5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2</w:t>
            </w:r>
          </w:p>
        </w:tc>
        <w:tc>
          <w:tcPr>
            <w:tcW w:type="dxa" w:w="2520"/>
            <w:vAlign w:val="top"/>
            <w:shd w:fill="F3F5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POS hardware / approved hardware optionality</w:t>
            </w:r>
          </w:p>
        </w:tc>
        <w:tc>
          <w:tcPr>
            <w:tcW w:type="dxa" w:w="2520"/>
            <w:vAlign w:val="top"/>
            <w:shd w:fill="F3F5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Field intelligence suggests dissatisfaction with at least part of the current domestic hardware estate. Hardware optionality may be easier than software-platform replacement.</w:t>
            </w:r>
          </w:p>
        </w:tc>
        <w:tc>
          <w:tcPr>
            <w:tcW w:type="dxa" w:w="2520"/>
            <w:vAlign w:val="top"/>
            <w:shd w:fill="F3F5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Is NCR/PAR dissatisfaction material enough to justify another approved hardware source?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Media-player-free DMB architecture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If Genius can reduce device complexity, support burden, and failure points, it could matter inside a DMB second-source conversation.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Would removing the media player materially improve reliability or cost?</w:t>
            </w:r>
          </w:p>
        </w:tc>
      </w:tr>
      <w:tr>
        <w:tc>
          <w:tcPr>
            <w:tcW w:type="dxa" w:w="2520"/>
            <w:vAlign w:val="top"/>
            <w:shd w:fill="F3F5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4</w:t>
            </w:r>
          </w:p>
        </w:tc>
        <w:tc>
          <w:tcPr>
            <w:tcW w:type="dxa" w:w="2520"/>
            <w:vAlign w:val="top"/>
            <w:shd w:fill="F3F5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Deployment/service path</w:t>
            </w:r>
          </w:p>
        </w:tc>
        <w:tc>
          <w:tcPr>
            <w:tcW w:type="dxa" w:w="2520"/>
            <w:vAlign w:val="top"/>
            <w:shd w:fill="F3F5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Any McDonald's hardware/DMB path needs credible installation, monitoring, replacement, and support at scale. MAPS may matter only after Genius earns DMB/hardware relevance.</w:t>
            </w:r>
          </w:p>
        </w:tc>
        <w:tc>
          <w:tcPr>
            <w:tcW w:type="dxa" w:w="2520"/>
            <w:vAlign w:val="top"/>
            <w:shd w:fill="F3F5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Who would install, support, and scale the solution?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CosMc's proof package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CosMc's can de-risk McDonald's conversations only if Global Payments/Genius can show relevant performance evidence.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What CosMc's evidence can be used for DMB/hardware credibility?</w:t>
            </w:r>
          </w:p>
        </w:tc>
      </w:tr>
    </w:tbl>
    <w:p/>
    <w:p>
      <w:pPr>
        <w:pStyle w:val="Heading1"/>
      </w:pPr>
      <w:r>
        <w:t>Current probability read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6" w:color="D7DCE0"/>
          <w:left w:val="single" w:sz="6" w:color="D7DCE0"/>
          <w:bottom w:val="single" w:sz="6" w:color="D7DCE0"/>
          <w:right w:val="single" w:sz="6" w:color="D7DCE0"/>
          <w:insideH w:val="single" w:sz="6" w:color="D7DCE0"/>
          <w:insideV w:val="single" w:sz="6" w:color="D7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244A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Opportunity</w:t>
            </w:r>
          </w:p>
        </w:tc>
        <w:tc>
          <w:tcPr>
            <w:tcW w:type="dxa" w:w="3360"/>
            <w:shd w:fill="244A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Probability</w:t>
            </w:r>
          </w:p>
        </w:tc>
        <w:tc>
          <w:tcPr>
            <w:tcW w:type="dxa" w:w="3360"/>
            <w:shd w:fill="244A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Read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DMB second-source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Medium-high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Best available wedge if Coates pain and a decision owner are validated.</w:t>
            </w:r>
          </w:p>
        </w:tc>
      </w:tr>
      <w:tr>
        <w:tc>
          <w:tcPr>
            <w:tcW w:type="dxa" w:w="3360"/>
            <w:vAlign w:val="top"/>
            <w:shd w:fill="F3F5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POS hardware optionality</w:t>
            </w:r>
          </w:p>
        </w:tc>
        <w:tc>
          <w:tcPr>
            <w:tcW w:type="dxa" w:w="3360"/>
            <w:vAlign w:val="top"/>
            <w:shd w:fill="F3F5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Medium</w:t>
            </w:r>
          </w:p>
        </w:tc>
        <w:tc>
          <w:tcPr>
            <w:tcW w:type="dxa" w:w="3360"/>
            <w:vAlign w:val="top"/>
            <w:shd w:fill="F3F5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Plausible if dissatisfaction maps to uptime, service, rollout reliability, or vendor leverage.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Media-player-free DMB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Medium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Useful as an architectural advantage, not a standalone pitch.</w:t>
            </w:r>
          </w:p>
        </w:tc>
      </w:tr>
      <w:tr>
        <w:tc>
          <w:tcPr>
            <w:tcW w:type="dxa" w:w="3360"/>
            <w:vAlign w:val="top"/>
            <w:shd w:fill="F3F5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Payments</w:t>
            </w:r>
          </w:p>
        </w:tc>
        <w:tc>
          <w:tcPr>
            <w:tcW w:type="dxa" w:w="3360"/>
            <w:vAlign w:val="top"/>
            <w:shd w:fill="F3F5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Low standalone</w:t>
            </w:r>
          </w:p>
        </w:tc>
        <w:tc>
          <w:tcPr>
            <w:tcW w:type="dxa" w:w="3360"/>
            <w:vAlign w:val="top"/>
            <w:shd w:fill="F3F5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Relevant only if tied to a named market or transaction-resilience issue.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Core POS / NEWPOS replacement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Very low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Not a credible near-term pursuit.</w:t>
            </w:r>
          </w:p>
        </w:tc>
      </w:tr>
      <w:tr>
        <w:tc>
          <w:tcPr>
            <w:tcW w:type="dxa" w:w="3360"/>
            <w:vAlign w:val="top"/>
            <w:shd w:fill="F3F5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Loyalty / back office / workforce</w:t>
            </w:r>
          </w:p>
        </w:tc>
        <w:tc>
          <w:tcPr>
            <w:tcW w:type="dxa" w:w="3360"/>
            <w:vAlign w:val="top"/>
            <w:shd w:fill="F3F5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Very low</w:t>
            </w:r>
          </w:p>
        </w:tc>
        <w:tc>
          <w:tcPr>
            <w:tcW w:type="dxa" w:w="3360"/>
            <w:vAlign w:val="top"/>
            <w:shd w:fill="F3F5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17"/>
              </w:rPr>
              <w:t>Boundary lanes only. QSRSoft should be treated as the domestic U.S. back-office incumbent lane for cash, inventory, and reporting; Harri should be treated as the workforce lane.</w:t>
            </w:r>
          </w:p>
        </w:tc>
      </w:tr>
    </w:tbl>
    <w:p/>
    <w:p>
      <w:pPr>
        <w:pStyle w:val="Heading1"/>
      </w:pPr>
      <w:r>
        <w:t>Proof required before outreach expands</w:t>
      </w:r>
    </w:p>
    <w:p>
      <w:r>
        <w:rPr>
          <w:rFonts w:ascii="Arial" w:hAnsi="Arial"/>
          <w:b w:val="0"/>
          <w:color w:val="1E1E1E"/>
          <w:sz w:val="21"/>
        </w:rPr>
        <w:t>Global Payments/Genius should gather:</w:t>
      </w:r>
    </w:p>
    <w:p>
      <w:pPr>
        <w:pStyle w:val="ListBullet"/>
      </w:pPr>
      <w:r>
        <w:rPr>
          <w:rFonts w:ascii="Arial" w:hAnsi="Arial"/>
          <w:b w:val="0"/>
          <w:color w:val="1E1E1E"/>
          <w:sz w:val="21"/>
        </w:rPr>
        <w:t>Exact CosMc's contracted scope and components.</w:t>
      </w:r>
    </w:p>
    <w:p>
      <w:pPr>
        <w:pStyle w:val="ListBullet"/>
      </w:pPr>
      <w:r>
        <w:rPr>
          <w:rFonts w:ascii="Arial" w:hAnsi="Arial"/>
          <w:b w:val="0"/>
          <w:color w:val="1E1E1E"/>
          <w:sz w:val="21"/>
        </w:rPr>
        <w:t>DMB architecture and whether media-player-free deployment is viable for McDonald's.</w:t>
      </w:r>
    </w:p>
    <w:p>
      <w:pPr>
        <w:pStyle w:val="ListBullet"/>
      </w:pPr>
      <w:r>
        <w:rPr>
          <w:rFonts w:ascii="Arial" w:hAnsi="Arial"/>
          <w:b w:val="0"/>
          <w:color w:val="1E1E1E"/>
          <w:sz w:val="21"/>
        </w:rPr>
        <w:t>Uptime, support, incident, recovery, and deployment evidence.</w:t>
      </w:r>
    </w:p>
    <w:p>
      <w:pPr>
        <w:pStyle w:val="ListBullet"/>
      </w:pPr>
      <w:r>
        <w:rPr>
          <w:rFonts w:ascii="Arial" w:hAnsi="Arial"/>
          <w:b w:val="0"/>
          <w:color w:val="1E1E1E"/>
          <w:sz w:val="21"/>
        </w:rPr>
        <w:t>Field-service and replacement model.</w:t>
      </w:r>
    </w:p>
    <w:p>
      <w:pPr>
        <w:pStyle w:val="ListBullet"/>
      </w:pPr>
      <w:r>
        <w:rPr>
          <w:rFonts w:ascii="Arial" w:hAnsi="Arial"/>
          <w:b w:val="0"/>
          <w:color w:val="1E1E1E"/>
          <w:sz w:val="21"/>
        </w:rPr>
        <w:t>Hardware certification path.</w:t>
      </w:r>
    </w:p>
    <w:p>
      <w:pPr>
        <w:pStyle w:val="ListBullet"/>
      </w:pPr>
      <w:r>
        <w:rPr>
          <w:rFonts w:ascii="Arial" w:hAnsi="Arial"/>
          <w:b w:val="0"/>
          <w:color w:val="1E1E1E"/>
          <w:sz w:val="21"/>
        </w:rPr>
        <w:t>Security and integration requirements.</w:t>
      </w:r>
    </w:p>
    <w:p>
      <w:pPr>
        <w:pStyle w:val="ListBullet"/>
      </w:pPr>
      <w:r>
        <w:rPr>
          <w:rFonts w:ascii="Arial" w:hAnsi="Arial"/>
          <w:b w:val="0"/>
          <w:color w:val="1E1E1E"/>
          <w:sz w:val="21"/>
        </w:rPr>
        <w:t>Named McDonald's owner for DMB and/or hardware evaluation.</w:t>
      </w:r>
    </w:p>
    <w:p>
      <w:pPr>
        <w:pStyle w:val="ListBullet"/>
      </w:pPr>
      <w:r>
        <w:rPr>
          <w:rFonts w:ascii="Arial" w:hAnsi="Arial"/>
          <w:b w:val="0"/>
          <w:color w:val="1E1E1E"/>
          <w:sz w:val="21"/>
        </w:rPr>
        <w:t>Clear boundary language around loyalty, back office, and workforce management.</w:t>
      </w:r>
    </w:p>
    <w:p>
      <w:pPr>
        <w:pStyle w:val="Heading1"/>
      </w:pPr>
      <w:r>
        <w:t>Recommended next move</w:t>
      </w:r>
    </w:p>
    <w:p>
      <w:r>
        <w:rPr>
          <w:rFonts w:ascii="Arial" w:hAnsi="Arial"/>
          <w:b w:val="0"/>
          <w:color w:val="1E1E1E"/>
          <w:sz w:val="21"/>
        </w:rPr>
        <w:t>Pressure-test the thesis privately before a broader McDonald's motion.</w:t>
      </w:r>
    </w:p>
    <w:p>
      <w:pPr>
        <w:pStyle w:val="ListNumber"/>
      </w:pPr>
      <w:r>
        <w:rPr>
          <w:rFonts w:ascii="Arial" w:hAnsi="Arial"/>
          <w:b w:val="0"/>
          <w:color w:val="1E1E1E"/>
          <w:sz w:val="21"/>
        </w:rPr>
        <w:t>Use trusted McDonald's ecosystem contacts to validate who owns DMB supplier-risk and hardware approval.</w:t>
      </w:r>
    </w:p>
    <w:p>
      <w:pPr>
        <w:pStyle w:val="ListNumber"/>
      </w:pPr>
      <w:r>
        <w:rPr>
          <w:rFonts w:ascii="Arial" w:hAnsi="Arial"/>
          <w:b w:val="0"/>
          <w:color w:val="1E1E1E"/>
          <w:sz w:val="21"/>
        </w:rPr>
        <w:t>Ask Jeff Coffland for supplier-process guidance, not a product pitch.</w:t>
      </w:r>
    </w:p>
    <w:p>
      <w:pPr>
        <w:pStyle w:val="ListNumber"/>
      </w:pPr>
      <w:r>
        <w:rPr>
          <w:rFonts w:ascii="Arial" w:hAnsi="Arial"/>
          <w:b w:val="0"/>
          <w:color w:val="1E1E1E"/>
          <w:sz w:val="21"/>
        </w:rPr>
        <w:t>Ask Bruce Sellnow or another trusted technical coach where the thesis is credible or naive.</w:t>
      </w:r>
    </w:p>
    <w:p>
      <w:pPr>
        <w:pStyle w:val="ListNumber"/>
      </w:pPr>
      <w:r>
        <w:rPr>
          <w:rFonts w:ascii="Arial" w:hAnsi="Arial"/>
          <w:b w:val="0"/>
          <w:color w:val="1E1E1E"/>
          <w:sz w:val="21"/>
        </w:rPr>
        <w:t>Ask Global Payments/Genius leadership for the CosMc's proof package.</w:t>
      </w:r>
    </w:p>
    <w:p>
      <w:pPr>
        <w:pStyle w:val="ListNumber"/>
      </w:pPr>
      <w:r>
        <w:rPr>
          <w:rFonts w:ascii="Arial" w:hAnsi="Arial"/>
          <w:b w:val="0"/>
          <w:color w:val="1E1E1E"/>
          <w:sz w:val="21"/>
        </w:rPr>
        <w:t>Do not pursue McDonald's with a generic platform deck.</w:t>
      </w:r>
    </w:p>
    <w:p>
      <w:pPr>
        <w:pStyle w:val="Heading1"/>
      </w:pPr>
      <w:r>
        <w:t>Source confidence</w:t>
      </w:r>
    </w:p>
    <w:p>
      <w:r>
        <w:rPr>
          <w:rFonts w:ascii="Arial" w:hAnsi="Arial"/>
          <w:b/>
          <w:color w:val="66717A"/>
          <w:sz w:val="19"/>
        </w:rPr>
        <w:t>Publicly supported:</w:t>
      </w:r>
    </w:p>
    <w:p>
      <w:pPr>
        <w:pStyle w:val="ListBullet"/>
      </w:pPr>
      <w:r>
        <w:rPr>
          <w:rFonts w:ascii="Arial" w:hAnsi="Arial"/>
          <w:b w:val="0"/>
          <w:color w:val="1E1E1E"/>
          <w:sz w:val="21"/>
        </w:rPr>
        <w:t>McDonald's Google Cloud/Edge restaurant-platform direction.</w:t>
      </w:r>
    </w:p>
    <w:p>
      <w:pPr>
        <w:pStyle w:val="ListBullet"/>
      </w:pPr>
      <w:r>
        <w:rPr>
          <w:rFonts w:ascii="Arial" w:hAnsi="Arial"/>
          <w:b w:val="0"/>
          <w:color w:val="1E1E1E"/>
          <w:sz w:val="21"/>
        </w:rPr>
        <w:t>McDonald's NEXT strategy.</w:t>
      </w:r>
    </w:p>
    <w:p>
      <w:pPr>
        <w:pStyle w:val="ListBullet"/>
      </w:pPr>
      <w:r>
        <w:rPr>
          <w:rFonts w:ascii="Arial" w:hAnsi="Arial"/>
          <w:b w:val="0"/>
          <w:color w:val="1E1E1E"/>
          <w:sz w:val="21"/>
        </w:rPr>
        <w:t>Coates' global DMB CMS role and approved DMB hardware role with Acrelec.</w:t>
      </w:r>
    </w:p>
    <w:p>
      <w:pPr>
        <w:pStyle w:val="ListBullet"/>
      </w:pPr>
      <w:r>
        <w:rPr>
          <w:rFonts w:ascii="Arial" w:hAnsi="Arial"/>
          <w:b w:val="0"/>
          <w:color w:val="1E1E1E"/>
          <w:sz w:val="21"/>
        </w:rPr>
        <w:t>Harri workforce-management presence in McDonald's restaurants.</w:t>
      </w:r>
    </w:p>
    <w:p>
      <w:pPr>
        <w:pStyle w:val="ListBullet"/>
      </w:pPr>
      <w:r>
        <w:rPr>
          <w:rFonts w:ascii="Arial" w:hAnsi="Arial"/>
          <w:b w:val="0"/>
          <w:color w:val="1E1E1E"/>
          <w:sz w:val="21"/>
        </w:rPr>
        <w:t>QSRSoft's back-office category relevance.</w:t>
      </w:r>
    </w:p>
    <w:p>
      <w:pPr>
        <w:pStyle w:val="ListBullet"/>
      </w:pPr>
      <w:r>
        <w:rPr>
          <w:rFonts w:ascii="Arial" w:hAnsi="Arial"/>
          <w:b w:val="0"/>
          <w:color w:val="1E1E1E"/>
          <w:sz w:val="21"/>
        </w:rPr>
        <w:t>Dynamic Yield / SessionM / Test &amp; Learn customer-engagement context.</w:t>
      </w:r>
    </w:p>
    <w:p>
      <w:pPr>
        <w:pStyle w:val="ListBullet"/>
      </w:pPr>
      <w:r>
        <w:rPr>
          <w:rFonts w:ascii="Arial" w:hAnsi="Arial"/>
          <w:b w:val="0"/>
          <w:color w:val="1E1E1E"/>
          <w:sz w:val="21"/>
        </w:rPr>
        <w:t>Q2 2026 reporting around U.S. execution pressure, Skye Anderson, and value-menu adoption issues.</w:t>
      </w:r>
    </w:p>
    <w:p>
      <w:r>
        <w:rPr>
          <w:rFonts w:ascii="Arial" w:hAnsi="Arial"/>
          <w:b/>
          <w:color w:val="66717A"/>
          <w:sz w:val="19"/>
        </w:rPr>
        <w:t>Field-assessed until validated:</w:t>
      </w:r>
    </w:p>
    <w:p>
      <w:pPr>
        <w:pStyle w:val="ListBullet"/>
      </w:pPr>
      <w:r>
        <w:rPr>
          <w:rFonts w:ascii="Arial" w:hAnsi="Arial"/>
          <w:b w:val="0"/>
          <w:color w:val="1E1E1E"/>
          <w:sz w:val="21"/>
        </w:rPr>
        <w:t>Coates U.S. rollout pain.</w:t>
      </w:r>
    </w:p>
    <w:p>
      <w:pPr>
        <w:pStyle w:val="ListBullet"/>
      </w:pPr>
      <w:r>
        <w:rPr>
          <w:rFonts w:ascii="Arial" w:hAnsi="Arial"/>
          <w:b w:val="0"/>
          <w:color w:val="1E1E1E"/>
          <w:sz w:val="21"/>
        </w:rPr>
        <w:t>Stratacache availability/practicality for this opportunity.</w:t>
      </w:r>
    </w:p>
    <w:p>
      <w:pPr>
        <w:pStyle w:val="ListBullet"/>
      </w:pPr>
      <w:r>
        <w:rPr>
          <w:rFonts w:ascii="Arial" w:hAnsi="Arial"/>
          <w:b w:val="0"/>
          <w:color w:val="1E1E1E"/>
          <w:sz w:val="21"/>
        </w:rPr>
        <w:t>NCR dissatisfaction.</w:t>
      </w:r>
    </w:p>
    <w:p>
      <w:pPr>
        <w:pStyle w:val="ListBullet"/>
      </w:pPr>
      <w:r>
        <w:rPr>
          <w:rFonts w:ascii="Arial" w:hAnsi="Arial"/>
          <w:b w:val="0"/>
          <w:color w:val="1E1E1E"/>
          <w:sz w:val="21"/>
        </w:rPr>
        <w:t>PAR/NCR domestic hardware-source details.</w:t>
      </w:r>
    </w:p>
    <w:p>
      <w:pPr>
        <w:pStyle w:val="ListBullet"/>
      </w:pPr>
      <w:r>
        <w:rPr>
          <w:rFonts w:ascii="Arial" w:hAnsi="Arial"/>
          <w:b w:val="0"/>
          <w:color w:val="1E1E1E"/>
          <w:sz w:val="21"/>
        </w:rPr>
        <w:t>HP global approval implications.</w:t>
      </w:r>
    </w:p>
    <w:p>
      <w:pPr>
        <w:pStyle w:val="ListBullet"/>
      </w:pPr>
      <w:r>
        <w:rPr>
          <w:rFonts w:ascii="Arial" w:hAnsi="Arial"/>
          <w:b w:val="0"/>
          <w:color w:val="1E1E1E"/>
          <w:sz w:val="21"/>
        </w:rPr>
        <w:t>MAPS relevance.</w:t>
      </w:r>
    </w:p>
    <w:p>
      <w:pPr>
        <w:pStyle w:val="ListBullet"/>
      </w:pPr>
      <w:r>
        <w:rPr>
          <w:rFonts w:ascii="Arial" w:hAnsi="Arial"/>
          <w:b w:val="0"/>
          <w:color w:val="1E1E1E"/>
          <w:sz w:val="21"/>
        </w:rPr>
        <w:t>Capgemini/NEWPOS ownership detail.</w:t>
      </w:r>
    </w:p>
    <w:p>
      <w:pPr>
        <w:pStyle w:val="ListBullet"/>
      </w:pPr>
      <w:r>
        <w:rPr>
          <w:rFonts w:ascii="Arial" w:hAnsi="Arial"/>
          <w:b w:val="0"/>
          <w:color w:val="1E1E1E"/>
          <w:sz w:val="21"/>
        </w:rPr>
        <w:t>Exact QSRSoft and Harri McDonald's contract ownership; Todd field assessment currently treats QSRSoft as entrenched in domestic U.S. cash, inventory, and reporting.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4A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1E1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