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F5C3B8" w14:textId="77777777" w:rsidR="004B6B47" w:rsidRDefault="00000000">
      <w:pPr>
        <w:spacing w:before="680" w:after="280"/>
      </w:pPr>
      <w:r>
        <w:rPr>
          <w:color w:val="287C8E"/>
          <w:sz w:val="20"/>
        </w:rPr>
        <w:t>INTERNAL STRATEGY BRIEF</w:t>
      </w:r>
    </w:p>
    <w:p w14:paraId="746236F1" w14:textId="77777777" w:rsidR="004B6B47" w:rsidRDefault="00000000">
      <w:pPr>
        <w:spacing w:after="160"/>
      </w:pPr>
      <w:r>
        <w:rPr>
          <w:rFonts w:ascii="Aptos Display" w:hAnsi="Aptos Display"/>
          <w:b/>
          <w:color w:val="17365D"/>
          <w:sz w:val="60"/>
        </w:rPr>
        <w:t>Worldpay + Genius</w:t>
      </w:r>
    </w:p>
    <w:p w14:paraId="76E2B83A" w14:textId="77777777" w:rsidR="004B6B47" w:rsidRDefault="00000000">
      <w:pPr>
        <w:spacing w:after="280"/>
      </w:pPr>
      <w:r>
        <w:rPr>
          <w:rFonts w:ascii="Aptos Display" w:hAnsi="Aptos Display"/>
          <w:b/>
          <w:color w:val="2E74B5"/>
          <w:sz w:val="42"/>
        </w:rPr>
        <w:t>Enterprise Account Development Strategy</w:t>
      </w:r>
    </w:p>
    <w:p w14:paraId="72C292DC" w14:textId="77777777" w:rsidR="004B6B47" w:rsidRDefault="00000000">
      <w:pPr>
        <w:spacing w:after="440"/>
      </w:pPr>
      <w:r>
        <w:rPr>
          <w:color w:val="475467"/>
          <w:sz w:val="26"/>
        </w:rPr>
        <w:t>A proactive, relationship-led approach to connecting payments with the broader restaurant and hospitality technology stack.</w:t>
      </w:r>
    </w:p>
    <w:tbl>
      <w:tblPr>
        <w:tblW w:w="9360" w:type="dxa"/>
        <w:tblInd w:w="120" w:type="dxa"/>
        <w:tblLayout w:type="fixed"/>
        <w:tblLook w:val="04A0" w:firstRow="1" w:lastRow="0" w:firstColumn="1" w:lastColumn="0" w:noHBand="0" w:noVBand="1"/>
      </w:tblPr>
      <w:tblGrid>
        <w:gridCol w:w="9360"/>
      </w:tblGrid>
      <w:tr w:rsidR="004B6B47" w14:paraId="7C5CD4C8" w14:textId="77777777">
        <w:tc>
          <w:tcPr>
            <w:tcW w:w="9360" w:type="dxa"/>
            <w:tcBorders>
              <w:top w:val="single" w:sz="8" w:space="0" w:color="B8CADD"/>
              <w:left w:val="single" w:sz="8" w:space="0" w:color="B8CADD"/>
              <w:bottom w:val="single" w:sz="8" w:space="0" w:color="B8CADD"/>
              <w:right w:val="single" w:sz="8" w:space="0" w:color="B8CADD"/>
            </w:tcBorders>
            <w:shd w:val="clear" w:color="auto" w:fill="E8F0F7"/>
            <w:tcMar>
              <w:top w:w="100" w:type="dxa"/>
              <w:left w:w="120" w:type="dxa"/>
              <w:bottom w:w="100" w:type="dxa"/>
              <w:right w:w="120" w:type="dxa"/>
            </w:tcMar>
            <w:vAlign w:val="center"/>
          </w:tcPr>
          <w:p w14:paraId="2D8903A0" w14:textId="77777777" w:rsidR="004B6B47" w:rsidRDefault="00000000">
            <w:pPr>
              <w:pStyle w:val="LeadCallout"/>
              <w:spacing w:before="80" w:after="80"/>
            </w:pPr>
            <w:r>
              <w:t>Build relationship width before the buying event - then convert trust, account insight, and a relevant technology storyline into long-term growth.</w:t>
            </w:r>
          </w:p>
        </w:tc>
      </w:tr>
    </w:tbl>
    <w:p w14:paraId="105BFDB0" w14:textId="77777777" w:rsidR="004B6B47" w:rsidRDefault="004B6B47">
      <w:pPr>
        <w:spacing w:after="20"/>
      </w:pPr>
    </w:p>
    <w:p w14:paraId="341FF42C" w14:textId="77777777" w:rsidR="004B6B47" w:rsidRDefault="00000000">
      <w:pPr>
        <w:spacing w:before="520" w:after="40"/>
      </w:pPr>
      <w:r>
        <w:rPr>
          <w:b/>
          <w:color w:val="667085"/>
          <w:sz w:val="19"/>
        </w:rPr>
        <w:t>Prepared for</w:t>
      </w:r>
    </w:p>
    <w:p w14:paraId="48E70E68" w14:textId="77777777" w:rsidR="004B6B47" w:rsidRDefault="00000000">
      <w:pPr>
        <w:spacing w:after="200"/>
      </w:pPr>
      <w:r>
        <w:rPr>
          <w:sz w:val="22"/>
        </w:rPr>
        <w:t>Worldpay, Genius, and Global Payments internal stakeholders</w:t>
      </w:r>
    </w:p>
    <w:p w14:paraId="63207E20" w14:textId="77777777" w:rsidR="004B6B47" w:rsidRDefault="00000000">
      <w:pPr>
        <w:spacing w:after="40"/>
      </w:pPr>
      <w:r>
        <w:rPr>
          <w:b/>
          <w:color w:val="667085"/>
          <w:sz w:val="19"/>
        </w:rPr>
        <w:t>Strategy owner</w:t>
      </w:r>
    </w:p>
    <w:p w14:paraId="7093835D" w14:textId="77777777" w:rsidR="004B6B47" w:rsidRDefault="00000000">
      <w:pPr>
        <w:spacing w:after="200"/>
      </w:pPr>
      <w:r>
        <w:rPr>
          <w:sz w:val="22"/>
        </w:rPr>
        <w:t>Todd Vahlsing</w:t>
      </w:r>
    </w:p>
    <w:p w14:paraId="66237CA5" w14:textId="77777777" w:rsidR="004B6B47" w:rsidRDefault="00000000">
      <w:pPr>
        <w:spacing w:before="560"/>
      </w:pPr>
      <w:r>
        <w:rPr>
          <w:color w:val="667085"/>
          <w:sz w:val="19"/>
        </w:rPr>
        <w:t>Revised 3 August 2026  |  Internal discussion draft</w:t>
      </w:r>
    </w:p>
    <w:p w14:paraId="7A71BB80" w14:textId="77777777" w:rsidR="004B6B47" w:rsidRDefault="00000000">
      <w:r>
        <w:br w:type="page"/>
      </w:r>
    </w:p>
    <w:p w14:paraId="78331D79" w14:textId="77777777" w:rsidR="004B6B47" w:rsidRDefault="00000000">
      <w:pPr>
        <w:pStyle w:val="Heading1"/>
      </w:pPr>
      <w:r>
        <w:lastRenderedPageBreak/>
        <w:t>Executive Summary</w:t>
      </w:r>
    </w:p>
    <w:p w14:paraId="5BFEB473" w14:textId="77777777" w:rsidR="004B6B47" w:rsidRDefault="00000000">
      <w:r>
        <w:t>Worldpay has trusted, long-standing relationships with enterprise restaurant and hospitality customers. Genius brings restaurant operating expertise and technology capabilities across POS, payments, back office, digital menu boards, drive-thru, hardware, and guest engagement.</w:t>
      </w:r>
    </w:p>
    <w:p w14:paraId="555D859B" w14:textId="77777777" w:rsidR="004B6B47" w:rsidRDefault="00000000">
      <w:r>
        <w:t>The opportunity is to combine those strengths through a coordinated, long-term account-development strategy. This is not a passive referral program and it is not a broad product-pitch campaign.</w:t>
      </w:r>
    </w:p>
    <w:tbl>
      <w:tblPr>
        <w:tblW w:w="9360" w:type="dxa"/>
        <w:tblInd w:w="120" w:type="dxa"/>
        <w:tblLayout w:type="fixed"/>
        <w:tblLook w:val="04A0" w:firstRow="1" w:lastRow="0" w:firstColumn="1" w:lastColumn="0" w:noHBand="0" w:noVBand="1"/>
      </w:tblPr>
      <w:tblGrid>
        <w:gridCol w:w="9360"/>
      </w:tblGrid>
      <w:tr w:rsidR="004B6B47" w14:paraId="1DE6DE70" w14:textId="77777777">
        <w:tc>
          <w:tcPr>
            <w:tcW w:w="9360" w:type="dxa"/>
            <w:tcBorders>
              <w:top w:val="single" w:sz="8" w:space="0" w:color="B8CADD"/>
              <w:left w:val="single" w:sz="8" w:space="0" w:color="B8CADD"/>
              <w:bottom w:val="single" w:sz="8" w:space="0" w:color="B8CADD"/>
              <w:right w:val="single" w:sz="8" w:space="0" w:color="B8CADD"/>
            </w:tcBorders>
            <w:shd w:val="clear" w:color="auto" w:fill="E8F0F7"/>
            <w:tcMar>
              <w:top w:w="100" w:type="dxa"/>
              <w:left w:w="120" w:type="dxa"/>
              <w:bottom w:w="100" w:type="dxa"/>
              <w:right w:w="120" w:type="dxa"/>
            </w:tcMar>
            <w:vAlign w:val="center"/>
          </w:tcPr>
          <w:p w14:paraId="7FDB5F60" w14:textId="77777777" w:rsidR="004B6B47" w:rsidRDefault="00000000">
            <w:pPr>
              <w:pStyle w:val="LeadCallout"/>
              <w:spacing w:before="80" w:after="80"/>
            </w:pPr>
            <w:r>
              <w:t>We will use Worldpay relationship equity to earn warm introductions, widen relationships beyond finance, and build account-specific points of view about the value of connecting payments with the broader technology stack.</w:t>
            </w:r>
          </w:p>
        </w:tc>
      </w:tr>
    </w:tbl>
    <w:p w14:paraId="3CF02C34" w14:textId="77777777" w:rsidR="004B6B47" w:rsidRDefault="004B6B47">
      <w:pPr>
        <w:spacing w:after="20"/>
      </w:pPr>
    </w:p>
    <w:p w14:paraId="64DCA599" w14:textId="77777777" w:rsidR="004B6B47" w:rsidRDefault="00000000">
      <w:r>
        <w:t>Pain signals and buying events will accelerate opportunities, but we will not wait for them before building the relationships and account understanding required to compete.</w:t>
      </w:r>
    </w:p>
    <w:p w14:paraId="7FC9CF32" w14:textId="77777777" w:rsidR="004B6B47" w:rsidRDefault="00000000">
      <w:pPr>
        <w:pStyle w:val="Heading2"/>
      </w:pPr>
      <w:r>
        <w:t>What We Are Building</w:t>
      </w:r>
    </w:p>
    <w:p w14:paraId="7C1EB196" w14:textId="77777777" w:rsidR="004B6B47" w:rsidRDefault="00000000">
      <w:pPr>
        <w:pStyle w:val="ListBullet"/>
        <w:spacing w:after="80"/>
        <w:ind w:left="720"/>
      </w:pPr>
      <w:r>
        <w:t>Practical Genius 100-level enablement for Worldpay relationship managers.</w:t>
      </w:r>
    </w:p>
    <w:p w14:paraId="408FD46F" w14:textId="77777777" w:rsidR="004B6B47" w:rsidRDefault="00000000">
      <w:pPr>
        <w:pStyle w:val="ListBullet"/>
        <w:spacing w:after="80"/>
        <w:ind w:left="720"/>
      </w:pPr>
      <w:r>
        <w:t>RM-sponsored introductions into technology, operations, marketing, franchise leadership, and executive stakeholders.</w:t>
      </w:r>
    </w:p>
    <w:p w14:paraId="68D5736C" w14:textId="77777777" w:rsidR="004B6B47" w:rsidRDefault="00000000">
      <w:pPr>
        <w:pStyle w:val="ListBullet"/>
        <w:spacing w:after="80"/>
        <w:ind w:left="720"/>
      </w:pPr>
      <w:r>
        <w:t>A joint Blue Sheet for each selected account.</w:t>
      </w:r>
    </w:p>
    <w:p w14:paraId="5FB9F2EA" w14:textId="77777777" w:rsidR="004B6B47" w:rsidRDefault="00000000">
      <w:pPr>
        <w:pStyle w:val="ListBullet"/>
        <w:spacing w:after="80"/>
        <w:ind w:left="720"/>
      </w:pPr>
      <w:r>
        <w:t>Genius participation in relevant QBRs, SBRs, roadmap reviews, and industry-event meetings.</w:t>
      </w:r>
    </w:p>
    <w:p w14:paraId="7BA8DE6F" w14:textId="77777777" w:rsidR="004B6B47" w:rsidRDefault="00000000">
      <w:pPr>
        <w:pStyle w:val="ListBullet"/>
        <w:spacing w:after="80"/>
        <w:ind w:left="720"/>
      </w:pPr>
      <w:r>
        <w:t>An account-specific payments-plus-technology storyline that develops before an RFP appears.</w:t>
      </w:r>
    </w:p>
    <w:p w14:paraId="186A49F4" w14:textId="77777777" w:rsidR="004B6B47" w:rsidRDefault="00000000">
      <w:pPr>
        <w:pStyle w:val="Heading1"/>
      </w:pPr>
      <w:r>
        <w:t>The Operating Model</w:t>
      </w:r>
    </w:p>
    <w:tbl>
      <w:tblPr>
        <w:tblW w:w="9360" w:type="dxa"/>
        <w:tblInd w:w="120" w:type="dxa"/>
        <w:tblLayout w:type="fixed"/>
        <w:tblLook w:val="04A0" w:firstRow="1" w:lastRow="0" w:firstColumn="1" w:lastColumn="0" w:noHBand="0" w:noVBand="1"/>
      </w:tblPr>
      <w:tblGrid>
        <w:gridCol w:w="1700"/>
        <w:gridCol w:w="4900"/>
        <w:gridCol w:w="2760"/>
      </w:tblGrid>
      <w:tr w:rsidR="004B6B47" w14:paraId="4C97D1EC" w14:textId="77777777">
        <w:trPr>
          <w:tblHeader/>
        </w:trPr>
        <w:tc>
          <w:tcPr>
            <w:tcW w:w="17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40A3D242" w14:textId="77777777" w:rsidR="004B6B47" w:rsidRDefault="00000000">
            <w:pPr>
              <w:spacing w:after="0"/>
            </w:pPr>
            <w:r>
              <w:rPr>
                <w:b/>
                <w:color w:val="FFFFFF"/>
                <w:sz w:val="17"/>
              </w:rPr>
              <w:t>STAGE</w:t>
            </w:r>
          </w:p>
        </w:tc>
        <w:tc>
          <w:tcPr>
            <w:tcW w:w="49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67C605CA" w14:textId="77777777" w:rsidR="004B6B47" w:rsidRDefault="00000000">
            <w:pPr>
              <w:spacing w:after="0"/>
            </w:pPr>
            <w:r>
              <w:rPr>
                <w:b/>
                <w:color w:val="FFFFFF"/>
                <w:sz w:val="17"/>
              </w:rPr>
              <w:t>WHAT HAPPENS</w:t>
            </w:r>
          </w:p>
        </w:tc>
        <w:tc>
          <w:tcPr>
            <w:tcW w:w="276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32D91217" w14:textId="77777777" w:rsidR="004B6B47" w:rsidRDefault="00000000">
            <w:pPr>
              <w:spacing w:after="0"/>
            </w:pPr>
            <w:r>
              <w:rPr>
                <w:b/>
                <w:color w:val="FFFFFF"/>
                <w:sz w:val="17"/>
              </w:rPr>
              <w:t>OUTPUT</w:t>
            </w:r>
          </w:p>
        </w:tc>
      </w:tr>
      <w:tr w:rsidR="004B6B47" w14:paraId="54E8577C" w14:textId="77777777">
        <w:tc>
          <w:tcPr>
            <w:tcW w:w="1700" w:type="dxa"/>
          </w:tcPr>
          <w:p w14:paraId="775D3534" w14:textId="77777777" w:rsidR="004B6B47" w:rsidRDefault="00000000">
            <w:pPr>
              <w:spacing w:after="0" w:line="252" w:lineRule="auto"/>
            </w:pPr>
            <w:r>
              <w:rPr>
                <w:b/>
                <w:sz w:val="17"/>
              </w:rPr>
              <w:t>1  SELECT</w:t>
            </w:r>
          </w:p>
        </w:tc>
        <w:tc>
          <w:tcPr>
            <w:tcW w:w="4900" w:type="dxa"/>
          </w:tcPr>
          <w:p w14:paraId="4DCF105D" w14:textId="77777777" w:rsidR="004B6B47" w:rsidRDefault="00000000">
            <w:pPr>
              <w:spacing w:after="0" w:line="252" w:lineRule="auto"/>
            </w:pPr>
            <w:r>
              <w:rPr>
                <w:sz w:val="17"/>
              </w:rPr>
              <w:t>Choose a priority account with strategic value, relationship access, or a credible long-term storyline.</w:t>
            </w:r>
          </w:p>
        </w:tc>
        <w:tc>
          <w:tcPr>
            <w:tcW w:w="2760" w:type="dxa"/>
          </w:tcPr>
          <w:p w14:paraId="1BB39F06" w14:textId="77777777" w:rsidR="004B6B47" w:rsidRDefault="00000000">
            <w:pPr>
              <w:spacing w:after="0" w:line="252" w:lineRule="auto"/>
            </w:pPr>
            <w:r>
              <w:rPr>
                <w:sz w:val="17"/>
              </w:rPr>
              <w:t>Selected account and hypothesis</w:t>
            </w:r>
          </w:p>
        </w:tc>
      </w:tr>
      <w:tr w:rsidR="004B6B47" w14:paraId="4EF57F65" w14:textId="77777777">
        <w:tc>
          <w:tcPr>
            <w:tcW w:w="1700" w:type="dxa"/>
            <w:shd w:val="clear" w:color="auto" w:fill="F8FAFC"/>
          </w:tcPr>
          <w:p w14:paraId="707113A0" w14:textId="77777777" w:rsidR="004B6B47" w:rsidRDefault="00000000">
            <w:pPr>
              <w:spacing w:after="0" w:line="252" w:lineRule="auto"/>
            </w:pPr>
            <w:r>
              <w:rPr>
                <w:b/>
                <w:sz w:val="17"/>
              </w:rPr>
              <w:t>2  UNDERSTAND</w:t>
            </w:r>
          </w:p>
        </w:tc>
        <w:tc>
          <w:tcPr>
            <w:tcW w:w="4900" w:type="dxa"/>
            <w:shd w:val="clear" w:color="auto" w:fill="F8FAFC"/>
          </w:tcPr>
          <w:p w14:paraId="3D0ACA53" w14:textId="77777777" w:rsidR="004B6B47" w:rsidRDefault="00000000">
            <w:pPr>
              <w:spacing w:after="0" w:line="252" w:lineRule="auto"/>
            </w:pPr>
            <w:r>
              <w:rPr>
                <w:sz w:val="17"/>
              </w:rPr>
              <w:t>Confirm current Global Payments activity, account stack, lifecycle, ownership, and history.</w:t>
            </w:r>
          </w:p>
        </w:tc>
        <w:tc>
          <w:tcPr>
            <w:tcW w:w="2760" w:type="dxa"/>
            <w:shd w:val="clear" w:color="auto" w:fill="F8FAFC"/>
          </w:tcPr>
          <w:p w14:paraId="6200ACE4" w14:textId="77777777" w:rsidR="004B6B47" w:rsidRDefault="00000000">
            <w:pPr>
              <w:spacing w:after="0" w:line="252" w:lineRule="auto"/>
            </w:pPr>
            <w:r>
              <w:rPr>
                <w:sz w:val="17"/>
              </w:rPr>
              <w:t>Verified current state</w:t>
            </w:r>
          </w:p>
        </w:tc>
      </w:tr>
      <w:tr w:rsidR="004B6B47" w14:paraId="5FB8DA07" w14:textId="77777777">
        <w:tc>
          <w:tcPr>
            <w:tcW w:w="1700" w:type="dxa"/>
          </w:tcPr>
          <w:p w14:paraId="3B2513FE" w14:textId="77777777" w:rsidR="004B6B47" w:rsidRDefault="00000000">
            <w:pPr>
              <w:spacing w:after="0" w:line="252" w:lineRule="auto"/>
            </w:pPr>
            <w:r>
              <w:rPr>
                <w:b/>
                <w:sz w:val="17"/>
              </w:rPr>
              <w:t>3  INTRODUCE</w:t>
            </w:r>
          </w:p>
        </w:tc>
        <w:tc>
          <w:tcPr>
            <w:tcW w:w="4900" w:type="dxa"/>
          </w:tcPr>
          <w:p w14:paraId="187CC9FF" w14:textId="77777777" w:rsidR="004B6B47" w:rsidRDefault="00000000">
            <w:pPr>
              <w:spacing w:after="0" w:line="252" w:lineRule="auto"/>
            </w:pPr>
            <w:r>
              <w:rPr>
                <w:sz w:val="17"/>
              </w:rPr>
              <w:t>The RM sponsors introductions to relevant customer stakeholders.</w:t>
            </w:r>
          </w:p>
        </w:tc>
        <w:tc>
          <w:tcPr>
            <w:tcW w:w="2760" w:type="dxa"/>
          </w:tcPr>
          <w:p w14:paraId="065E037F" w14:textId="77777777" w:rsidR="004B6B47" w:rsidRDefault="00000000">
            <w:pPr>
              <w:spacing w:after="0" w:line="252" w:lineRule="auto"/>
            </w:pPr>
            <w:r>
              <w:rPr>
                <w:sz w:val="17"/>
              </w:rPr>
              <w:t>Warm customer access</w:t>
            </w:r>
          </w:p>
        </w:tc>
      </w:tr>
      <w:tr w:rsidR="004B6B47" w14:paraId="0D48B568" w14:textId="77777777">
        <w:tc>
          <w:tcPr>
            <w:tcW w:w="1700" w:type="dxa"/>
            <w:shd w:val="clear" w:color="auto" w:fill="F8FAFC"/>
          </w:tcPr>
          <w:p w14:paraId="519135E7" w14:textId="77777777" w:rsidR="004B6B47" w:rsidRDefault="00000000">
            <w:pPr>
              <w:spacing w:after="0" w:line="252" w:lineRule="auto"/>
            </w:pPr>
            <w:r>
              <w:rPr>
                <w:b/>
                <w:sz w:val="17"/>
              </w:rPr>
              <w:t>4  WIDEN</w:t>
            </w:r>
          </w:p>
        </w:tc>
        <w:tc>
          <w:tcPr>
            <w:tcW w:w="4900" w:type="dxa"/>
            <w:shd w:val="clear" w:color="auto" w:fill="F8FAFC"/>
          </w:tcPr>
          <w:p w14:paraId="4ACDC652" w14:textId="77777777" w:rsidR="004B6B47" w:rsidRDefault="00000000">
            <w:pPr>
              <w:spacing w:after="0" w:line="252" w:lineRule="auto"/>
            </w:pPr>
            <w:r>
              <w:rPr>
                <w:sz w:val="17"/>
              </w:rPr>
              <w:t>Build relationships across technology, operations, marketing, franchise leadership, and executives.</w:t>
            </w:r>
          </w:p>
        </w:tc>
        <w:tc>
          <w:tcPr>
            <w:tcW w:w="2760" w:type="dxa"/>
            <w:shd w:val="clear" w:color="auto" w:fill="F8FAFC"/>
          </w:tcPr>
          <w:p w14:paraId="533E04BD" w14:textId="77777777" w:rsidR="004B6B47" w:rsidRDefault="00000000">
            <w:pPr>
              <w:spacing w:after="0" w:line="252" w:lineRule="auto"/>
            </w:pPr>
            <w:r>
              <w:rPr>
                <w:sz w:val="17"/>
              </w:rPr>
              <w:t>Broader relationship map</w:t>
            </w:r>
          </w:p>
        </w:tc>
      </w:tr>
      <w:tr w:rsidR="004B6B47" w14:paraId="3A7D8F26" w14:textId="77777777">
        <w:tc>
          <w:tcPr>
            <w:tcW w:w="1700" w:type="dxa"/>
          </w:tcPr>
          <w:p w14:paraId="39641C17" w14:textId="77777777" w:rsidR="004B6B47" w:rsidRDefault="00000000">
            <w:pPr>
              <w:spacing w:after="0" w:line="252" w:lineRule="auto"/>
            </w:pPr>
            <w:r>
              <w:rPr>
                <w:b/>
                <w:sz w:val="17"/>
              </w:rPr>
              <w:t>5  PLAN</w:t>
            </w:r>
          </w:p>
        </w:tc>
        <w:tc>
          <w:tcPr>
            <w:tcW w:w="4900" w:type="dxa"/>
          </w:tcPr>
          <w:p w14:paraId="509678DE" w14:textId="77777777" w:rsidR="004B6B47" w:rsidRDefault="00000000">
            <w:pPr>
              <w:spacing w:after="0" w:line="252" w:lineRule="auto"/>
            </w:pPr>
            <w:r>
              <w:rPr>
                <w:sz w:val="17"/>
              </w:rPr>
              <w:t>Todd and the RM create and maintain the joint Blue Sheet.</w:t>
            </w:r>
          </w:p>
        </w:tc>
        <w:tc>
          <w:tcPr>
            <w:tcW w:w="2760" w:type="dxa"/>
          </w:tcPr>
          <w:p w14:paraId="37A7C6AC" w14:textId="77777777" w:rsidR="004B6B47" w:rsidRDefault="00000000">
            <w:pPr>
              <w:spacing w:after="0" w:line="252" w:lineRule="auto"/>
            </w:pPr>
            <w:r>
              <w:rPr>
                <w:sz w:val="17"/>
              </w:rPr>
              <w:t>Storyline, stakeholder map, actions</w:t>
            </w:r>
          </w:p>
        </w:tc>
      </w:tr>
      <w:tr w:rsidR="004B6B47" w14:paraId="69E22684" w14:textId="77777777">
        <w:tc>
          <w:tcPr>
            <w:tcW w:w="1700" w:type="dxa"/>
            <w:shd w:val="clear" w:color="auto" w:fill="F8FAFC"/>
          </w:tcPr>
          <w:p w14:paraId="7DE97666" w14:textId="77777777" w:rsidR="004B6B47" w:rsidRDefault="00000000">
            <w:pPr>
              <w:spacing w:after="0" w:line="252" w:lineRule="auto"/>
            </w:pPr>
            <w:r>
              <w:rPr>
                <w:b/>
                <w:sz w:val="17"/>
              </w:rPr>
              <w:t>6  ENGAGE</w:t>
            </w:r>
          </w:p>
        </w:tc>
        <w:tc>
          <w:tcPr>
            <w:tcW w:w="4900" w:type="dxa"/>
            <w:shd w:val="clear" w:color="auto" w:fill="F8FAFC"/>
          </w:tcPr>
          <w:p w14:paraId="00701FD8" w14:textId="77777777" w:rsidR="004B6B47" w:rsidRDefault="00000000">
            <w:pPr>
              <w:spacing w:after="0" w:line="252" w:lineRule="auto"/>
            </w:pPr>
            <w:r>
              <w:rPr>
                <w:sz w:val="17"/>
              </w:rPr>
              <w:t>Participate in QBRs, SBRs, roadmap reviews, industry events, and discovery.</w:t>
            </w:r>
          </w:p>
        </w:tc>
        <w:tc>
          <w:tcPr>
            <w:tcW w:w="2760" w:type="dxa"/>
            <w:shd w:val="clear" w:color="auto" w:fill="F8FAFC"/>
          </w:tcPr>
          <w:p w14:paraId="68824D73" w14:textId="77777777" w:rsidR="004B6B47" w:rsidRDefault="00000000">
            <w:pPr>
              <w:spacing w:after="0" w:line="252" w:lineRule="auto"/>
            </w:pPr>
            <w:r>
              <w:rPr>
                <w:sz w:val="17"/>
              </w:rPr>
              <w:t>Customer insight and commitments</w:t>
            </w:r>
          </w:p>
        </w:tc>
      </w:tr>
      <w:tr w:rsidR="004B6B47" w14:paraId="338C1D6D" w14:textId="77777777">
        <w:tc>
          <w:tcPr>
            <w:tcW w:w="1700" w:type="dxa"/>
          </w:tcPr>
          <w:p w14:paraId="23EC9748" w14:textId="77777777" w:rsidR="004B6B47" w:rsidRDefault="00000000">
            <w:pPr>
              <w:spacing w:after="0" w:line="252" w:lineRule="auto"/>
            </w:pPr>
            <w:r>
              <w:rPr>
                <w:b/>
                <w:sz w:val="17"/>
              </w:rPr>
              <w:t>7  ADVANCE</w:t>
            </w:r>
          </w:p>
        </w:tc>
        <w:tc>
          <w:tcPr>
            <w:tcW w:w="4900" w:type="dxa"/>
          </w:tcPr>
          <w:p w14:paraId="46746C43" w14:textId="77777777" w:rsidR="004B6B47" w:rsidRDefault="00000000">
            <w:pPr>
              <w:spacing w:after="0" w:line="252" w:lineRule="auto"/>
            </w:pPr>
            <w:r>
              <w:rPr>
                <w:sz w:val="17"/>
              </w:rPr>
              <w:t>Pursue a product motion when customer fit, interest, and timing align.</w:t>
            </w:r>
          </w:p>
        </w:tc>
        <w:tc>
          <w:tcPr>
            <w:tcW w:w="2760" w:type="dxa"/>
          </w:tcPr>
          <w:p w14:paraId="7B6A2EA3" w14:textId="77777777" w:rsidR="004B6B47" w:rsidRDefault="00000000">
            <w:pPr>
              <w:spacing w:after="0" w:line="252" w:lineRule="auto"/>
            </w:pPr>
            <w:r>
              <w:rPr>
                <w:sz w:val="17"/>
              </w:rPr>
              <w:t>Qualified opportunity</w:t>
            </w:r>
          </w:p>
        </w:tc>
      </w:tr>
      <w:tr>
        <w:tc>
          <w:tcPr>
            <w:tcW w:w="1700" w:type="dxa"/>
          </w:tcPr>
          <w:p>
            <w:pPr>
              <w:keepLines/>
            </w:pPr>
            <w:r>
              <w:t>8  REFINE</w:t>
            </w:r>
          </w:p>
        </w:tc>
        <w:tc>
          <w:tcPr>
            <w:tcW w:w="4900" w:type="dxa"/>
          </w:tcPr>
          <w:p>
            <w:pPr>
              <w:keepLines/>
            </w:pPr>
            <w:r>
              <w:t>Re-score the account and adjust the storyline, stakeholder plan, product posture, and resource level as facts change.</w:t>
            </w:r>
          </w:p>
        </w:tc>
        <w:tc>
          <w:tcPr>
            <w:tcW w:w="2760" w:type="dxa"/>
          </w:tcPr>
          <w:p>
            <w:pPr>
              <w:keepLines/>
            </w:pPr>
            <w:r>
              <w:t>Current priority and next-best action</w:t>
            </w:r>
          </w:p>
        </w:tc>
      </w:tr>
    </w:tbl>
    <w:p w14:paraId="21519BF7" w14:textId="77777777" w:rsidR="004B6B47" w:rsidRDefault="004B6B47">
      <w:pPr>
        <w:spacing w:after="40"/>
      </w:pPr>
    </w:p>
    <w:p w14:paraId="52D92381" w14:textId="77777777" w:rsidR="004B6B47" w:rsidRDefault="00000000">
      <w:pPr>
        <w:pStyle w:val="Heading2"/>
      </w:pPr>
      <w:r>
        <w:t>Operating Cadence</w:t>
      </w:r>
    </w:p>
    <w:p w14:paraId="6F33DE5B" w14:textId="77777777" w:rsidR="004B6B47" w:rsidRDefault="00000000">
      <w:r>
        <w:rPr>
          <w:b/>
        </w:rPr>
        <w:t>Every-other-week account sessions</w:t>
      </w:r>
    </w:p>
    <w:p w14:paraId="33E648BD" w14:textId="77777777" w:rsidR="004B6B47" w:rsidRDefault="00000000">
      <w:pPr>
        <w:pStyle w:val="ListBullet"/>
        <w:spacing w:after="80"/>
        <w:ind w:left="720"/>
      </w:pPr>
      <w:r>
        <w:t>Select and review priority accounts.</w:t>
      </w:r>
    </w:p>
    <w:p w14:paraId="248141EB" w14:textId="77777777" w:rsidR="004B6B47" w:rsidRDefault="00000000">
      <w:pPr>
        <w:pStyle w:val="ListBullet"/>
        <w:spacing w:after="80"/>
        <w:ind w:left="720"/>
      </w:pPr>
      <w:r>
        <w:t>Confirm current Global Payments engagement and ownership.</w:t>
      </w:r>
    </w:p>
    <w:p w14:paraId="0DCAA43F" w14:textId="77777777" w:rsidR="004B6B47" w:rsidRDefault="00000000">
      <w:pPr>
        <w:pStyle w:val="ListBullet"/>
        <w:spacing w:after="80"/>
        <w:ind w:left="720"/>
      </w:pPr>
      <w:r>
        <w:lastRenderedPageBreak/>
        <w:t>Identify the next warm introductions and missing buying centers.</w:t>
      </w:r>
    </w:p>
    <w:p w14:paraId="320BD07E" w14:textId="77777777" w:rsidR="004B6B47" w:rsidRDefault="00000000">
      <w:pPr>
        <w:pStyle w:val="ListBullet"/>
        <w:spacing w:after="80"/>
        <w:ind w:left="720"/>
      </w:pPr>
      <w:r>
        <w:t>Update the Blue Sheet, QBR/SBR plan, and one owned next action.</w:t>
      </w:r>
    </w:p>
    <w:p w14:paraId="0A4A2FD1" w14:textId="77777777" w:rsidR="004B6B47" w:rsidRDefault="00000000">
      <w:pPr>
        <w:spacing w:before="100"/>
      </w:pPr>
      <w:r>
        <w:rPr>
          <w:b/>
        </w:rPr>
        <w:t>Every-other-week team enablement</w:t>
      </w:r>
    </w:p>
    <w:p w14:paraId="5B1927B0" w14:textId="77777777" w:rsidR="004B6B47" w:rsidRDefault="00000000">
      <w:r>
        <w:t>Todd joins the RM team meeting for a focused 10-15 minute Genius 100-level module: what the capability does, the restaurant problem it solves, pain or change signals to recognize, questions to ask, and when to introduce Todd.</w:t>
      </w:r>
    </w:p>
    <w:p w14:paraId="5B1927B0" w14:textId="77777777" w:rsidR="004B6B47" w:rsidRDefault="00000000">
      <w:pPr>
        <w:pStyle w:val="Heading2"/>
      </w:pPr>
      <w:r>
        <w:rPr>
          <w:b w:val="0"/>
        </w:rPr>
        <w:t>Blue Sheet Adoption</w:t>
      </w:r>
    </w:p>
    <w:p w14:paraId="5B1927B0" w14:textId="77777777" w:rsidR="004B6B47" w:rsidRDefault="00000000">
      <w:pPr/>
      <w:r>
        <w:rPr>
          <w:b w:val="0"/>
        </w:rPr>
        <w:t>Start with a one-page minimum viable Blue Sheet and deepen it only when the relationship, opportunity, or risk warrants. The goal is a better decision or customer advance—not completion of a document.</w:t>
      </w:r>
    </w:p>
    <w:p w14:paraId="5B1927B0" w14:textId="77777777" w:rsidR="004B6B47" w:rsidRDefault="00000000">
      <w:pPr>
        <w:pStyle w:val="Heading2"/>
      </w:pPr>
      <w:r>
        <w:rPr>
          <w:b w:val="0"/>
        </w:rPr>
        <w:t>Events as Customer Access</w:t>
      </w:r>
    </w:p>
    <w:p w14:paraId="5B1927B0" w14:textId="77777777" w:rsidR="004B6B47" w:rsidRDefault="00000000">
      <w:pPr/>
      <w:r>
        <w:rPr>
          <w:b w:val="0"/>
        </w:rPr>
        <w:t>Treat FS/TEC, customer conferences, QBRs, SBRs, and Worldpay events as account-development channels. Identify the target stakeholder, RM-sponsored introduction, meeting objective, and follow-up. Attendance alone is not an outcome.</w:t>
      </w:r>
    </w:p>
    <w:p w14:paraId="6F145EB4" w14:textId="77777777" w:rsidR="004B6B47" w:rsidRDefault="00000000">
      <w:pPr>
        <w:pStyle w:val="Heading1"/>
      </w:pPr>
      <w:r>
        <w:t>The Joint Blue Sheet</w:t>
      </w:r>
    </w:p>
    <w:p w14:paraId="7B822270" w14:textId="77777777" w:rsidR="004B6B47" w:rsidRDefault="00000000">
      <w:r>
        <w:t>The Blue Sheet is the proactive Worldpay-Genius account plan. It is created before an active RFP or known pain point is required, begins as a one-page working plan, and expands only as evidence and customer movement warrant.</w:t>
      </w:r>
    </w:p>
    <w:tbl>
      <w:tblPr>
        <w:tblW w:w="9360" w:type="dxa"/>
        <w:tblInd w:w="120" w:type="dxa"/>
        <w:tblLayout w:type="fixed"/>
        <w:tblLook w:val="04A0" w:firstRow="1" w:lastRow="0" w:firstColumn="1" w:lastColumn="0" w:noHBand="0" w:noVBand="1"/>
      </w:tblPr>
      <w:tblGrid>
        <w:gridCol w:w="1900"/>
        <w:gridCol w:w="7460"/>
      </w:tblGrid>
      <w:tr w:rsidR="004B6B47" w14:paraId="7E4BCB08" w14:textId="77777777">
        <w:trPr>
          <w:tblHeader/>
        </w:trPr>
        <w:tc>
          <w:tcPr>
            <w:tcW w:w="19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4A70170D" w14:textId="77777777" w:rsidR="004B6B47" w:rsidRDefault="00000000">
            <w:pPr>
              <w:spacing w:after="0"/>
            </w:pPr>
            <w:r>
              <w:rPr>
                <w:b/>
                <w:color w:val="FFFFFF"/>
                <w:sz w:val="18"/>
              </w:rPr>
              <w:t>SECTION</w:t>
            </w:r>
          </w:p>
        </w:tc>
        <w:tc>
          <w:tcPr>
            <w:tcW w:w="746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49312B02" w14:textId="77777777" w:rsidR="004B6B47" w:rsidRDefault="00000000">
            <w:pPr>
              <w:spacing w:after="0"/>
            </w:pPr>
            <w:r>
              <w:rPr>
                <w:b/>
                <w:color w:val="FFFFFF"/>
                <w:sz w:val="18"/>
              </w:rPr>
              <w:t>WHAT IT CAPTURES</w:t>
            </w:r>
          </w:p>
        </w:tc>
      </w:tr>
      <w:tr w:rsidR="004B6B47" w14:paraId="134A1E1C" w14:textId="77777777">
        <w:tc>
          <w:tcPr>
            <w:tcW w:w="1900" w:type="dxa"/>
          </w:tcPr>
          <w:p w14:paraId="3CB8F3E8" w14:textId="77777777" w:rsidR="004B6B47" w:rsidRDefault="00000000">
            <w:pPr>
              <w:spacing w:after="0" w:line="252" w:lineRule="auto"/>
            </w:pPr>
            <w:r>
              <w:rPr>
                <w:b/>
                <w:sz w:val="18"/>
              </w:rPr>
              <w:t>Current state</w:t>
            </w:r>
          </w:p>
        </w:tc>
        <w:tc>
          <w:tcPr>
            <w:tcW w:w="7460" w:type="dxa"/>
          </w:tcPr>
          <w:p w14:paraId="1E71EAD1" w14:textId="77777777" w:rsidR="004B6B47" w:rsidRDefault="00000000">
            <w:pPr>
              <w:spacing w:after="0" w:line="252" w:lineRule="auto"/>
            </w:pPr>
            <w:r>
              <w:rPr>
                <w:sz w:val="18"/>
              </w:rPr>
              <w:t>Existing Global Payments/Genius engagement, owner, stage, product scope, last activity, commitments, and customer stack.</w:t>
            </w:r>
          </w:p>
        </w:tc>
      </w:tr>
      <w:tr w:rsidR="004B6B47" w14:paraId="619FC60C" w14:textId="77777777">
        <w:tc>
          <w:tcPr>
            <w:tcW w:w="1900" w:type="dxa"/>
            <w:shd w:val="clear" w:color="auto" w:fill="F8FAFC"/>
          </w:tcPr>
          <w:p w14:paraId="1D71C4E8" w14:textId="77777777" w:rsidR="004B6B47" w:rsidRDefault="00000000">
            <w:pPr>
              <w:spacing w:after="0" w:line="252" w:lineRule="auto"/>
            </w:pPr>
            <w:r>
              <w:rPr>
                <w:b/>
                <w:sz w:val="18"/>
              </w:rPr>
              <w:t>Account hypothesis</w:t>
            </w:r>
          </w:p>
        </w:tc>
        <w:tc>
          <w:tcPr>
            <w:tcW w:w="7460" w:type="dxa"/>
            <w:shd w:val="clear" w:color="auto" w:fill="F8FAFC"/>
          </w:tcPr>
          <w:p w14:paraId="309BBC9E" w14:textId="77777777" w:rsidR="004B6B47" w:rsidRDefault="00000000">
            <w:pPr>
              <w:spacing w:after="0" w:line="252" w:lineRule="auto"/>
            </w:pPr>
            <w:r>
              <w:rPr>
                <w:sz w:val="18"/>
              </w:rPr>
              <w:t>Customer priorities, likely value, payments-plus-technology storyline, product fit, timing, and disqualifiers.</w:t>
            </w:r>
          </w:p>
        </w:tc>
      </w:tr>
      <w:tr w:rsidR="004B6B47" w14:paraId="4E23E01B" w14:textId="77777777">
        <w:tc>
          <w:tcPr>
            <w:tcW w:w="1900" w:type="dxa"/>
          </w:tcPr>
          <w:p w14:paraId="497DB398" w14:textId="77777777" w:rsidR="004B6B47" w:rsidRDefault="00000000">
            <w:pPr>
              <w:spacing w:after="0" w:line="252" w:lineRule="auto"/>
            </w:pPr>
            <w:r>
              <w:rPr>
                <w:b/>
                <w:sz w:val="18"/>
              </w:rPr>
              <w:t>Relationship map</w:t>
            </w:r>
          </w:p>
        </w:tc>
        <w:tc>
          <w:tcPr>
            <w:tcW w:w="7460" w:type="dxa"/>
          </w:tcPr>
          <w:p w14:paraId="765FA402" w14:textId="77777777" w:rsidR="004B6B47" w:rsidRDefault="00000000">
            <w:pPr>
              <w:spacing w:after="0" w:line="252" w:lineRule="auto"/>
            </w:pPr>
            <w:r>
              <w:rPr>
                <w:sz w:val="18"/>
              </w:rPr>
              <w:t>Known contacts, relationship strength, missing buying centers, sponsor, decision maker, evaluators, and introduction owners.</w:t>
            </w:r>
          </w:p>
        </w:tc>
      </w:tr>
      <w:tr w:rsidR="004B6B47" w14:paraId="4C7D1E05" w14:textId="77777777">
        <w:tc>
          <w:tcPr>
            <w:tcW w:w="1900" w:type="dxa"/>
            <w:shd w:val="clear" w:color="auto" w:fill="F8FAFC"/>
          </w:tcPr>
          <w:p w14:paraId="51593D8E" w14:textId="77777777" w:rsidR="004B6B47" w:rsidRDefault="00000000">
            <w:pPr>
              <w:spacing w:after="0" w:line="252" w:lineRule="auto"/>
            </w:pPr>
            <w:r>
              <w:rPr>
                <w:b/>
                <w:sz w:val="18"/>
              </w:rPr>
              <w:t>Action plan</w:t>
            </w:r>
          </w:p>
        </w:tc>
        <w:tc>
          <w:tcPr>
            <w:tcW w:w="7460" w:type="dxa"/>
            <w:shd w:val="clear" w:color="auto" w:fill="F8FAFC"/>
          </w:tcPr>
          <w:p w14:paraId="679B50F1" w14:textId="77777777" w:rsidR="004B6B47" w:rsidRDefault="00000000">
            <w:pPr>
              <w:spacing w:after="0" w:line="252" w:lineRule="auto"/>
            </w:pPr>
            <w:r>
              <w:rPr>
                <w:sz w:val="18"/>
              </w:rPr>
              <w:t>Next customer commitment, owner, due date, upcoming QBR/SBR or event, risks, blockers, and disposition.</w:t>
            </w:r>
          </w:p>
        </w:tc>
      </w:tr>
    </w:tbl>
    <w:p w14:paraId="76F571F1" w14:textId="77777777" w:rsidR="004B6B47" w:rsidRDefault="004B6B47">
      <w:pPr>
        <w:spacing w:after="40"/>
      </w:pPr>
    </w:p>
    <w:p w14:paraId="4121195F" w14:textId="77777777" w:rsidR="004B6B47" w:rsidRDefault="00000000">
      <w:pPr>
        <w:spacing w:after="200"/>
      </w:pPr>
      <w:r>
        <w:rPr>
          <w:i/>
          <w:color w:val="667085"/>
        </w:rPr>
        <w:t>The portfolio workbook remains the source of truth for prioritization, RM ownership, stack evidence, and scoring. The Blue Sheet provides the deeper relationship and execution plan.</w:t>
      </w:r>
    </w:p>
    <w:p w14:paraId="2DD71DDD" w14:textId="77777777" w:rsidR="004B6B47" w:rsidRDefault="00000000">
      <w:pPr>
        <w:pStyle w:val="Heading2"/>
      </w:pPr>
      <w:r>
        <w:t>Building Relationship Width</w:t>
      </w:r>
    </w:p>
    <w:tbl>
      <w:tblPr>
        <w:tblW w:w="9360" w:type="dxa"/>
        <w:tblInd w:w="120" w:type="dxa"/>
        <w:tblLayout w:type="fixed"/>
        <w:tblLook w:val="04A0" w:firstRow="1" w:lastRow="0" w:firstColumn="1" w:lastColumn="0" w:noHBand="0" w:noVBand="1"/>
      </w:tblPr>
      <w:tblGrid>
        <w:gridCol w:w="1900"/>
        <w:gridCol w:w="4100"/>
        <w:gridCol w:w="3360"/>
      </w:tblGrid>
      <w:tr w:rsidR="004B6B47" w14:paraId="7E987AC0" w14:textId="77777777">
        <w:trPr>
          <w:tblHeader/>
        </w:trPr>
        <w:tc>
          <w:tcPr>
            <w:tcW w:w="19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30A184A6" w14:textId="77777777" w:rsidR="004B6B47" w:rsidRDefault="00000000">
            <w:pPr>
              <w:spacing w:after="0"/>
            </w:pPr>
            <w:r>
              <w:rPr>
                <w:b/>
                <w:color w:val="FFFFFF"/>
                <w:sz w:val="17"/>
              </w:rPr>
              <w:t>BUYING CENTER</w:t>
            </w:r>
          </w:p>
        </w:tc>
        <w:tc>
          <w:tcPr>
            <w:tcW w:w="41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3F6A9438" w14:textId="77777777" w:rsidR="004B6B47" w:rsidRDefault="00000000">
            <w:pPr>
              <w:spacing w:after="0"/>
            </w:pPr>
            <w:r>
              <w:rPr>
                <w:b/>
                <w:color w:val="FFFFFF"/>
                <w:sz w:val="17"/>
              </w:rPr>
              <w:t>RELEVANT CONVERSATION</w:t>
            </w:r>
          </w:p>
        </w:tc>
        <w:tc>
          <w:tcPr>
            <w:tcW w:w="336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76C4FFDB" w14:textId="77777777" w:rsidR="004B6B47" w:rsidRDefault="00000000">
            <w:pPr>
              <w:spacing w:after="0"/>
            </w:pPr>
            <w:r>
              <w:rPr>
                <w:b/>
                <w:color w:val="FFFFFF"/>
                <w:sz w:val="17"/>
              </w:rPr>
              <w:t>RELATIONSHIP GOAL</w:t>
            </w:r>
          </w:p>
        </w:tc>
      </w:tr>
      <w:tr w:rsidR="004B6B47" w14:paraId="177C1E83" w14:textId="77777777">
        <w:tc>
          <w:tcPr>
            <w:tcW w:w="1900" w:type="dxa"/>
          </w:tcPr>
          <w:p w14:paraId="3AAA243E" w14:textId="77777777" w:rsidR="004B6B47" w:rsidRDefault="00000000">
            <w:pPr>
              <w:spacing w:after="0" w:line="252" w:lineRule="auto"/>
            </w:pPr>
            <w:r>
              <w:rPr>
                <w:b/>
                <w:sz w:val="17"/>
              </w:rPr>
              <w:t>Finance &amp; payments</w:t>
            </w:r>
          </w:p>
        </w:tc>
        <w:tc>
          <w:tcPr>
            <w:tcW w:w="4100" w:type="dxa"/>
          </w:tcPr>
          <w:p w14:paraId="2C3D282E" w14:textId="77777777" w:rsidR="004B6B47" w:rsidRDefault="00000000">
            <w:pPr>
              <w:spacing w:after="0" w:line="252" w:lineRule="auto"/>
            </w:pPr>
            <w:r>
              <w:rPr>
                <w:sz w:val="17"/>
              </w:rPr>
              <w:t>Payment economics, gateways, reporting, fraud, total cost</w:t>
            </w:r>
          </w:p>
        </w:tc>
        <w:tc>
          <w:tcPr>
            <w:tcW w:w="3360" w:type="dxa"/>
          </w:tcPr>
          <w:p w14:paraId="413B3564" w14:textId="77777777" w:rsidR="004B6B47" w:rsidRDefault="00000000">
            <w:pPr>
              <w:spacing w:after="0" w:line="252" w:lineRule="auto"/>
            </w:pPr>
            <w:r>
              <w:rPr>
                <w:sz w:val="17"/>
              </w:rPr>
              <w:t>Starting relationship and path to adjacent owners</w:t>
            </w:r>
          </w:p>
        </w:tc>
      </w:tr>
      <w:tr w:rsidR="004B6B47" w14:paraId="4667F7F7" w14:textId="77777777">
        <w:tc>
          <w:tcPr>
            <w:tcW w:w="1900" w:type="dxa"/>
            <w:shd w:val="clear" w:color="auto" w:fill="F8FAFC"/>
          </w:tcPr>
          <w:p w14:paraId="0FAB519F" w14:textId="77777777" w:rsidR="004B6B47" w:rsidRDefault="00000000">
            <w:pPr>
              <w:spacing w:after="0" w:line="252" w:lineRule="auto"/>
            </w:pPr>
            <w:r>
              <w:rPr>
                <w:b/>
                <w:sz w:val="17"/>
              </w:rPr>
              <w:t>Technology</w:t>
            </w:r>
          </w:p>
        </w:tc>
        <w:tc>
          <w:tcPr>
            <w:tcW w:w="4100" w:type="dxa"/>
            <w:shd w:val="clear" w:color="auto" w:fill="F8FAFC"/>
          </w:tcPr>
          <w:p w14:paraId="3A6705EC" w14:textId="77777777" w:rsidR="004B6B47" w:rsidRDefault="00000000">
            <w:pPr>
              <w:spacing w:after="0" w:line="252" w:lineRule="auto"/>
            </w:pPr>
            <w:r>
              <w:rPr>
                <w:sz w:val="17"/>
              </w:rPr>
              <w:t>POS, architecture, integrations, security, hardware, roadmap</w:t>
            </w:r>
          </w:p>
        </w:tc>
        <w:tc>
          <w:tcPr>
            <w:tcW w:w="3360" w:type="dxa"/>
            <w:shd w:val="clear" w:color="auto" w:fill="F8FAFC"/>
          </w:tcPr>
          <w:p w14:paraId="1D5AFB50" w14:textId="77777777" w:rsidR="004B6B47" w:rsidRDefault="00000000">
            <w:pPr>
              <w:spacing w:after="0" w:line="252" w:lineRule="auto"/>
            </w:pPr>
            <w:r>
              <w:rPr>
                <w:sz w:val="17"/>
              </w:rPr>
              <w:t>CIO/CTO and restaurant systems</w:t>
            </w:r>
          </w:p>
        </w:tc>
      </w:tr>
      <w:tr w:rsidR="004B6B47" w14:paraId="7D2496A7" w14:textId="77777777">
        <w:tc>
          <w:tcPr>
            <w:tcW w:w="1900" w:type="dxa"/>
          </w:tcPr>
          <w:p w14:paraId="1DA098A6" w14:textId="77777777" w:rsidR="004B6B47" w:rsidRDefault="00000000">
            <w:pPr>
              <w:spacing w:after="0" w:line="252" w:lineRule="auto"/>
            </w:pPr>
            <w:r>
              <w:rPr>
                <w:b/>
                <w:sz w:val="17"/>
              </w:rPr>
              <w:t>Operations</w:t>
            </w:r>
          </w:p>
        </w:tc>
        <w:tc>
          <w:tcPr>
            <w:tcW w:w="4100" w:type="dxa"/>
          </w:tcPr>
          <w:p w14:paraId="350CCA95" w14:textId="77777777" w:rsidR="004B6B47" w:rsidRDefault="00000000">
            <w:pPr>
              <w:spacing w:after="0" w:line="252" w:lineRule="auto"/>
            </w:pPr>
            <w:r>
              <w:rPr>
                <w:sz w:val="17"/>
              </w:rPr>
              <w:t>Back office, labor, inventory, throughput, support, rollout</w:t>
            </w:r>
          </w:p>
        </w:tc>
        <w:tc>
          <w:tcPr>
            <w:tcW w:w="3360" w:type="dxa"/>
          </w:tcPr>
          <w:p w14:paraId="46C48B66" w14:textId="77777777" w:rsidR="004B6B47" w:rsidRDefault="00000000">
            <w:pPr>
              <w:spacing w:after="0" w:line="252" w:lineRule="auto"/>
            </w:pPr>
            <w:r>
              <w:rPr>
                <w:sz w:val="17"/>
              </w:rPr>
              <w:t>COO, field operations, franchise operations</w:t>
            </w:r>
          </w:p>
        </w:tc>
      </w:tr>
      <w:tr w:rsidR="004B6B47" w14:paraId="4D444C2D" w14:textId="77777777">
        <w:tc>
          <w:tcPr>
            <w:tcW w:w="1900" w:type="dxa"/>
            <w:shd w:val="clear" w:color="auto" w:fill="F8FAFC"/>
          </w:tcPr>
          <w:p w14:paraId="7FB47342" w14:textId="77777777" w:rsidR="004B6B47" w:rsidRDefault="00000000">
            <w:pPr>
              <w:spacing w:after="0" w:line="252" w:lineRule="auto"/>
            </w:pPr>
            <w:r>
              <w:rPr>
                <w:b/>
                <w:sz w:val="17"/>
              </w:rPr>
              <w:t>Marketing &amp; digital</w:t>
            </w:r>
          </w:p>
        </w:tc>
        <w:tc>
          <w:tcPr>
            <w:tcW w:w="4100" w:type="dxa"/>
            <w:shd w:val="clear" w:color="auto" w:fill="F8FAFC"/>
          </w:tcPr>
          <w:p w14:paraId="48B6AF13" w14:textId="77777777" w:rsidR="004B6B47" w:rsidRDefault="00000000">
            <w:pPr>
              <w:spacing w:after="0" w:line="252" w:lineRule="auto"/>
            </w:pPr>
            <w:r>
              <w:rPr>
                <w:sz w:val="17"/>
              </w:rPr>
              <w:t>DMB, loyalty, guest data, promotions, digital ordering</w:t>
            </w:r>
          </w:p>
        </w:tc>
        <w:tc>
          <w:tcPr>
            <w:tcW w:w="3360" w:type="dxa"/>
            <w:shd w:val="clear" w:color="auto" w:fill="F8FAFC"/>
          </w:tcPr>
          <w:p w14:paraId="23674EBC" w14:textId="77777777" w:rsidR="004B6B47" w:rsidRDefault="00000000">
            <w:pPr>
              <w:spacing w:after="0" w:line="252" w:lineRule="auto"/>
            </w:pPr>
            <w:r>
              <w:rPr>
                <w:sz w:val="17"/>
              </w:rPr>
              <w:t>CMO, digital, loyalty, customer experience</w:t>
            </w:r>
          </w:p>
        </w:tc>
      </w:tr>
      <w:tr w:rsidR="004B6B47" w14:paraId="10426AAE" w14:textId="77777777">
        <w:tc>
          <w:tcPr>
            <w:tcW w:w="1900" w:type="dxa"/>
          </w:tcPr>
          <w:p w14:paraId="502B37EF" w14:textId="77777777" w:rsidR="004B6B47" w:rsidRDefault="00000000">
            <w:pPr>
              <w:spacing w:after="0" w:line="252" w:lineRule="auto"/>
            </w:pPr>
            <w:r>
              <w:rPr>
                <w:b/>
                <w:sz w:val="17"/>
              </w:rPr>
              <w:t>Franchise leadership</w:t>
            </w:r>
          </w:p>
        </w:tc>
        <w:tc>
          <w:tcPr>
            <w:tcW w:w="4100" w:type="dxa"/>
          </w:tcPr>
          <w:p w14:paraId="250DA0A5" w14:textId="77777777" w:rsidR="004B6B47" w:rsidRDefault="00000000">
            <w:pPr>
              <w:spacing w:after="0" w:line="252" w:lineRule="auto"/>
            </w:pPr>
            <w:r>
              <w:rPr>
                <w:sz w:val="17"/>
              </w:rPr>
              <w:t>Adoption, economics, deployment, local support, training</w:t>
            </w:r>
          </w:p>
        </w:tc>
        <w:tc>
          <w:tcPr>
            <w:tcW w:w="3360" w:type="dxa"/>
          </w:tcPr>
          <w:p w14:paraId="16D8A519" w14:textId="77777777" w:rsidR="004B6B47" w:rsidRDefault="00000000">
            <w:pPr>
              <w:spacing w:after="0" w:line="252" w:lineRule="auto"/>
            </w:pPr>
            <w:r>
              <w:rPr>
                <w:sz w:val="17"/>
              </w:rPr>
              <w:t>Councils, large operators, franchise operations</w:t>
            </w:r>
          </w:p>
        </w:tc>
      </w:tr>
      <w:tr w:rsidR="004B6B47" w14:paraId="33A60B80" w14:textId="77777777">
        <w:tc>
          <w:tcPr>
            <w:tcW w:w="1900" w:type="dxa"/>
            <w:shd w:val="clear" w:color="auto" w:fill="F8FAFC"/>
          </w:tcPr>
          <w:p w14:paraId="5F034A55" w14:textId="77777777" w:rsidR="004B6B47" w:rsidRDefault="00000000">
            <w:pPr>
              <w:spacing w:after="0" w:line="252" w:lineRule="auto"/>
            </w:pPr>
            <w:r>
              <w:rPr>
                <w:b/>
                <w:sz w:val="17"/>
              </w:rPr>
              <w:t>Executive sponsor</w:t>
            </w:r>
          </w:p>
        </w:tc>
        <w:tc>
          <w:tcPr>
            <w:tcW w:w="4100" w:type="dxa"/>
            <w:shd w:val="clear" w:color="auto" w:fill="F8FAFC"/>
          </w:tcPr>
          <w:p w14:paraId="1C4796C4" w14:textId="77777777" w:rsidR="004B6B47" w:rsidRDefault="00000000">
            <w:pPr>
              <w:spacing w:after="0" w:line="252" w:lineRule="auto"/>
            </w:pPr>
            <w:r>
              <w:rPr>
                <w:sz w:val="17"/>
              </w:rPr>
              <w:t>Strategic alignment and decision support</w:t>
            </w:r>
          </w:p>
        </w:tc>
        <w:tc>
          <w:tcPr>
            <w:tcW w:w="3360" w:type="dxa"/>
            <w:shd w:val="clear" w:color="auto" w:fill="F8FAFC"/>
          </w:tcPr>
          <w:p w14:paraId="016FA8A9" w14:textId="77777777" w:rsidR="004B6B47" w:rsidRDefault="00000000">
            <w:pPr>
              <w:spacing w:after="0" w:line="252" w:lineRule="auto"/>
            </w:pPr>
            <w:r>
              <w:rPr>
                <w:sz w:val="17"/>
              </w:rPr>
              <w:t>Path to organizational priority</w:t>
            </w:r>
          </w:p>
        </w:tc>
      </w:tr>
    </w:tbl>
    <w:p w14:paraId="0413F882" w14:textId="77777777" w:rsidR="004B6B47" w:rsidRDefault="004B6B47">
      <w:pPr>
        <w:spacing w:after="40"/>
      </w:pPr>
    </w:p>
    <w:tbl>
      <w:tblPr>
        <w:tblW w:w="9360" w:type="dxa"/>
        <w:tblInd w:w="120" w:type="dxa"/>
        <w:tblLayout w:type="fixed"/>
        <w:tblLook w:val="04A0" w:firstRow="1" w:lastRow="0" w:firstColumn="1" w:lastColumn="0" w:noHBand="0" w:noVBand="1"/>
      </w:tblPr>
      <w:tblGrid>
        <w:gridCol w:w="9360"/>
      </w:tblGrid>
      <w:tr w:rsidR="004B6B47" w14:paraId="3725E0FB" w14:textId="77777777">
        <w:tc>
          <w:tcPr>
            <w:tcW w:w="9360" w:type="dxa"/>
            <w:tcBorders>
              <w:top w:val="single" w:sz="8" w:space="0" w:color="B8CADD"/>
              <w:left w:val="single" w:sz="8" w:space="0" w:color="B8CADD"/>
              <w:bottom w:val="single" w:sz="8" w:space="0" w:color="B8CADD"/>
              <w:right w:val="single" w:sz="8" w:space="0" w:color="B8CADD"/>
            </w:tcBorders>
            <w:shd w:val="clear" w:color="auto" w:fill="E8F0F7"/>
            <w:tcMar>
              <w:top w:w="100" w:type="dxa"/>
              <w:left w:w="120" w:type="dxa"/>
              <w:bottom w:w="100" w:type="dxa"/>
              <w:right w:w="120" w:type="dxa"/>
            </w:tcMar>
            <w:vAlign w:val="center"/>
          </w:tcPr>
          <w:p w14:paraId="0D314B64" w14:textId="77777777" w:rsidR="004B6B47" w:rsidRDefault="00000000">
            <w:pPr>
              <w:pStyle w:val="LeadCallout"/>
              <w:spacing w:before="80" w:after="80"/>
            </w:pPr>
            <w:r>
              <w:t>Every active Blue Sheet should identify one Worldpay relationship, one technology relationship, one operations or marketing relationship, and one executive sponsor or path to sponsorship.</w:t>
            </w:r>
          </w:p>
        </w:tc>
      </w:tr>
    </w:tbl>
    <w:p w14:paraId="4334CE5E" w14:textId="13840F3A" w:rsidR="004357DF" w:rsidRDefault="004357DF">
      <w:pPr>
        <w:spacing w:after="20"/>
      </w:pPr>
    </w:p>
    <w:p w14:paraId="7A5B16BB" w14:textId="255EBB0C" w:rsidR="004B6B47" w:rsidRDefault="004357DF" w:rsidP="004357DF">
      <w:pPr>
        <w:spacing w:after="200" w:line="276" w:lineRule="auto"/>
      </w:pPr>
      <w:r/>
    </w:p>
    <w:p w14:paraId="5BDDD1D3" w14:textId="77777777" w:rsidR="004B6B47" w:rsidRDefault="00000000">
      <w:pPr>
        <w:pStyle w:val="Heading1"/>
        <w:pageBreakBefore w:val="0"/>
      </w:pPr>
      <w:r>
        <w:t>Product Strategy</w:t>
      </w:r>
    </w:p>
    <w:p w14:paraId="67C77825" w14:textId="77777777" w:rsidR="004B6B47" w:rsidRDefault="00000000">
      <w:r>
        <w:t>Match the product motion to the customer's current technology lifecycle.</w:t>
      </w:r>
    </w:p>
    <w:tbl>
      <w:tblPr>
        <w:tblW w:w="9360" w:type="dxa"/>
        <w:tblInd w:w="120" w:type="dxa"/>
        <w:tblLayout w:type="fixed"/>
        <w:tblLook w:val="04A0" w:firstRow="1" w:lastRow="0" w:firstColumn="1" w:lastColumn="0" w:noHBand="0" w:noVBand="1"/>
      </w:tblPr>
      <w:tblGrid>
        <w:gridCol w:w="3100"/>
        <w:gridCol w:w="6260"/>
      </w:tblGrid>
      <w:tr w:rsidR="004B6B47" w14:paraId="6870A98C" w14:textId="77777777">
        <w:trPr>
          <w:tblHeader/>
        </w:trPr>
        <w:tc>
          <w:tcPr>
            <w:tcW w:w="31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6A59243E" w14:textId="77777777" w:rsidR="004B6B47" w:rsidRDefault="00000000">
            <w:pPr>
              <w:spacing w:after="0"/>
            </w:pPr>
            <w:r>
              <w:rPr>
                <w:b/>
                <w:color w:val="FFFFFF"/>
                <w:sz w:val="18"/>
              </w:rPr>
              <w:t>CURRENT STATUS</w:t>
            </w:r>
          </w:p>
        </w:tc>
        <w:tc>
          <w:tcPr>
            <w:tcW w:w="626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78D04193" w14:textId="77777777" w:rsidR="004B6B47" w:rsidRDefault="00000000">
            <w:pPr>
              <w:spacing w:after="0"/>
            </w:pPr>
            <w:r>
              <w:rPr>
                <w:b/>
                <w:color w:val="FFFFFF"/>
                <w:sz w:val="18"/>
              </w:rPr>
              <w:t>RECOMMENDED MOTION</w:t>
            </w:r>
          </w:p>
        </w:tc>
      </w:tr>
      <w:tr w:rsidR="004B6B47" w14:paraId="18ADA1E7" w14:textId="77777777">
        <w:tc>
          <w:tcPr>
            <w:tcW w:w="3100" w:type="dxa"/>
          </w:tcPr>
          <w:p w14:paraId="45255785" w14:textId="77777777" w:rsidR="004B6B47" w:rsidRDefault="00000000">
            <w:pPr>
              <w:spacing w:after="0" w:line="252" w:lineRule="auto"/>
            </w:pPr>
            <w:r>
              <w:rPr>
                <w:b/>
                <w:sz w:val="18"/>
              </w:rPr>
              <w:t>POS decision still open</w:t>
            </w:r>
          </w:p>
        </w:tc>
        <w:tc>
          <w:tcPr>
            <w:tcW w:w="6260" w:type="dxa"/>
          </w:tcPr>
          <w:p w14:paraId="449B663A" w14:textId="77777777" w:rsidR="004B6B47" w:rsidRDefault="00000000">
            <w:pPr>
              <w:spacing w:after="0" w:line="252" w:lineRule="auto"/>
            </w:pPr>
            <w:r>
              <w:rPr>
                <w:sz w:val="18"/>
              </w:rPr>
              <w:t>POS and integrated payments discovery may be appropriate.</w:t>
            </w:r>
          </w:p>
        </w:tc>
      </w:tr>
      <w:tr w:rsidR="004B6B47" w14:paraId="70D7D87B" w14:textId="77777777">
        <w:tc>
          <w:tcPr>
            <w:tcW w:w="3100" w:type="dxa"/>
            <w:shd w:val="clear" w:color="auto" w:fill="F8FAFC"/>
          </w:tcPr>
          <w:p w14:paraId="5828E4CC" w14:textId="77777777" w:rsidR="004B6B47" w:rsidRDefault="00000000">
            <w:pPr>
              <w:spacing w:after="0" w:line="252" w:lineRule="auto"/>
            </w:pPr>
            <w:r>
              <w:rPr>
                <w:b/>
                <w:sz w:val="18"/>
              </w:rPr>
              <w:t>POS selected in the last 24 months</w:t>
            </w:r>
          </w:p>
        </w:tc>
        <w:tc>
          <w:tcPr>
            <w:tcW w:w="6260" w:type="dxa"/>
            <w:shd w:val="clear" w:color="auto" w:fill="F8FAFC"/>
          </w:tcPr>
          <w:p w14:paraId="33DE43B2" w14:textId="77777777" w:rsidR="004B6B47" w:rsidRDefault="00000000">
            <w:pPr>
              <w:spacing w:after="0" w:line="252" w:lineRule="auto"/>
            </w:pPr>
            <w:r>
              <w:rPr>
                <w:sz w:val="18"/>
              </w:rPr>
              <w:t>Do not reopen POS. Evaluate DMB, hardware, drive-thru, loyalty, back office, payments, or implementation gaps.</w:t>
            </w:r>
          </w:p>
        </w:tc>
      </w:tr>
      <w:tr w:rsidR="004B6B47" w14:paraId="6FCE3967" w14:textId="77777777">
        <w:tc>
          <w:tcPr>
            <w:tcW w:w="3100" w:type="dxa"/>
          </w:tcPr>
          <w:p w14:paraId="2398D834" w14:textId="77777777" w:rsidR="004B6B47" w:rsidRDefault="00000000">
            <w:pPr>
              <w:spacing w:after="0" w:line="252" w:lineRule="auto"/>
            </w:pPr>
            <w:r>
              <w:rPr>
                <w:b/>
                <w:sz w:val="18"/>
              </w:rPr>
              <w:t>Established platform; timing unclear</w:t>
            </w:r>
          </w:p>
        </w:tc>
        <w:tc>
          <w:tcPr>
            <w:tcW w:w="6260" w:type="dxa"/>
          </w:tcPr>
          <w:p w14:paraId="39AAFD8F" w14:textId="77777777" w:rsidR="004B6B47" w:rsidRDefault="00000000">
            <w:pPr>
              <w:spacing w:after="0" w:line="252" w:lineRule="auto"/>
            </w:pPr>
            <w:r>
              <w:rPr>
                <w:sz w:val="18"/>
              </w:rPr>
              <w:t>Research satisfaction, renewal, and whitespace before positioning a product.</w:t>
            </w:r>
          </w:p>
        </w:tc>
      </w:tr>
      <w:tr w:rsidR="004B6B47" w14:paraId="451AE6BC" w14:textId="77777777">
        <w:tc>
          <w:tcPr>
            <w:tcW w:w="3100" w:type="dxa"/>
            <w:shd w:val="clear" w:color="auto" w:fill="F8FAFC"/>
          </w:tcPr>
          <w:p w14:paraId="557D182E" w14:textId="77777777" w:rsidR="004B6B47" w:rsidRDefault="00000000">
            <w:pPr>
              <w:spacing w:after="0" w:line="252" w:lineRule="auto"/>
            </w:pPr>
            <w:r>
              <w:rPr>
                <w:b/>
                <w:sz w:val="18"/>
              </w:rPr>
              <w:t>Existing Genius customer</w:t>
            </w:r>
          </w:p>
        </w:tc>
        <w:tc>
          <w:tcPr>
            <w:tcW w:w="6260" w:type="dxa"/>
            <w:shd w:val="clear" w:color="auto" w:fill="F8FAFC"/>
          </w:tcPr>
          <w:p w14:paraId="3B158EFA" w14:textId="77777777" w:rsidR="004B6B47" w:rsidRDefault="00000000">
            <w:pPr>
              <w:spacing w:after="0" w:line="252" w:lineRule="auto"/>
            </w:pPr>
            <w:r>
              <w:rPr>
                <w:sz w:val="18"/>
              </w:rPr>
              <w:t>Protect adoption and pursue verified expansion; do not treat as a new logo.</w:t>
            </w:r>
          </w:p>
        </w:tc>
      </w:tr>
      <w:tr w:rsidR="004B6B47" w14:paraId="407F151B" w14:textId="77777777">
        <w:tc>
          <w:tcPr>
            <w:tcW w:w="3100" w:type="dxa"/>
          </w:tcPr>
          <w:p w14:paraId="341292F0" w14:textId="77777777" w:rsidR="004B6B47" w:rsidRDefault="00000000">
            <w:pPr>
              <w:spacing w:after="0" w:line="252" w:lineRule="auto"/>
            </w:pPr>
            <w:r>
              <w:rPr>
                <w:b/>
                <w:sz w:val="18"/>
              </w:rPr>
              <w:t>Deployment under pressure</w:t>
            </w:r>
          </w:p>
        </w:tc>
        <w:tc>
          <w:tcPr>
            <w:tcW w:w="6260" w:type="dxa"/>
          </w:tcPr>
          <w:p w14:paraId="479BD675" w14:textId="77777777" w:rsidR="004B6B47" w:rsidRDefault="00000000">
            <w:pPr>
              <w:spacing w:after="0" w:line="252" w:lineRule="auto"/>
            </w:pPr>
            <w:r>
              <w:rPr>
                <w:sz w:val="18"/>
              </w:rPr>
              <w:t>Offer problem-solving and adjacent support; do not assume replacement.</w:t>
            </w:r>
          </w:p>
        </w:tc>
      </w:tr>
      <w:tr w:rsidR="004B6B47" w14:paraId="43BE9EE7" w14:textId="77777777">
        <w:tc>
          <w:tcPr>
            <w:tcW w:w="3100" w:type="dxa"/>
            <w:shd w:val="clear" w:color="auto" w:fill="F8FAFC"/>
          </w:tcPr>
          <w:p w14:paraId="6659750A" w14:textId="77777777" w:rsidR="004B6B47" w:rsidRDefault="00000000">
            <w:pPr>
              <w:spacing w:after="0" w:line="252" w:lineRule="auto"/>
            </w:pPr>
            <w:r>
              <w:rPr>
                <w:b/>
                <w:sz w:val="18"/>
              </w:rPr>
              <w:t>Unknown stack layer</w:t>
            </w:r>
          </w:p>
        </w:tc>
        <w:tc>
          <w:tcPr>
            <w:tcW w:w="6260" w:type="dxa"/>
            <w:shd w:val="clear" w:color="auto" w:fill="F8FAFC"/>
          </w:tcPr>
          <w:p w14:paraId="10EBDE5F" w14:textId="77777777" w:rsidR="004B6B47" w:rsidRDefault="00000000">
            <w:pPr>
              <w:spacing w:after="0" w:line="252" w:lineRule="auto"/>
            </w:pPr>
            <w:r>
              <w:rPr>
                <w:sz w:val="18"/>
              </w:rPr>
              <w:t>Treat as a research gap, not automatic whitespace.</w:t>
            </w:r>
          </w:p>
        </w:tc>
      </w:tr>
    </w:tbl>
    <w:p w14:paraId="02E2ED32" w14:textId="77777777" w:rsidR="004B6B47" w:rsidRDefault="004B6B47">
      <w:pPr>
        <w:spacing w:after="40"/>
      </w:pPr>
    </w:p>
    <w:p w14:paraId="56B25282" w14:textId="77777777" w:rsidR="004B6B47" w:rsidRDefault="00000000">
      <w:pPr>
        <w:pStyle w:val="Heading2"/>
      </w:pPr>
      <w:r>
        <w:t>Initial Account Priorities</w:t>
      </w:r>
    </w:p>
    <w:p w14:paraId="121419AD" w14:textId="77777777" w:rsidR="004B6B47" w:rsidRDefault="00000000">
      <w:r>
        <w:t>This ranking governs Blue Sheet development, RM-sponsored introductions, SDR research, and FS/TEC meeting preparation.</w:t>
      </w:r>
    </w:p>
    <w:tbl>
      <w:tblPr>
        <w:tblW w:w="9360" w:type="dxa"/>
        <w:tblInd w:w="120" w:type="dxa"/>
        <w:tblLayout w:type="fixed"/>
        <w:tblLook w:val="04A0" w:firstRow="1" w:lastRow="0" w:firstColumn="1" w:lastColumn="0" w:noHBand="0" w:noVBand="1"/>
      </w:tblPr>
      <w:tblGrid>
        <w:gridCol w:w="620"/>
        <w:gridCol w:w="1500"/>
        <w:gridCol w:w="3400"/>
        <w:gridCol w:w="3840"/>
      </w:tblGrid>
      <w:tr w:rsidR="004B6B47" w14:paraId="657AA8C2" w14:textId="77777777">
        <w:trPr>
          <w:tblHeader/>
        </w:trPr>
        <w:tc>
          <w:tcPr>
            <w:tcW w:w="62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2829C12A" w14:textId="77777777" w:rsidR="004B6B47" w:rsidRDefault="00000000">
            <w:pPr>
              <w:spacing w:after="0"/>
            </w:pPr>
            <w:r>
              <w:rPr>
                <w:b/>
                <w:color w:val="FFFFFF"/>
                <w:sz w:val="17"/>
              </w:rPr>
              <w:t>NO.</w:t>
            </w:r>
          </w:p>
        </w:tc>
        <w:tc>
          <w:tcPr>
            <w:tcW w:w="15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64E42E64" w14:textId="77777777" w:rsidR="004B6B47" w:rsidRDefault="00000000">
            <w:pPr>
              <w:spacing w:after="0"/>
            </w:pPr>
            <w:r>
              <w:rPr>
                <w:b/>
                <w:color w:val="FFFFFF"/>
                <w:sz w:val="17"/>
              </w:rPr>
              <w:t>ACCOUNT</w:t>
            </w:r>
          </w:p>
        </w:tc>
        <w:tc>
          <w:tcPr>
            <w:tcW w:w="34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20D48CC5" w14:textId="77777777" w:rsidR="004B6B47" w:rsidRDefault="00000000">
            <w:pPr>
              <w:spacing w:after="0"/>
            </w:pPr>
            <w:r>
              <w:rPr>
                <w:b/>
                <w:color w:val="FFFFFF"/>
                <w:sz w:val="17"/>
              </w:rPr>
              <w:t>PRODUCT POSTURE</w:t>
            </w:r>
          </w:p>
        </w:tc>
        <w:tc>
          <w:tcPr>
            <w:tcW w:w="384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15291E43" w14:textId="77777777" w:rsidR="004B6B47" w:rsidRDefault="00000000">
            <w:pPr>
              <w:spacing w:after="0"/>
            </w:pPr>
            <w:r>
              <w:rPr>
                <w:b/>
                <w:color w:val="FFFFFF"/>
                <w:sz w:val="17"/>
              </w:rPr>
              <w:t>IMMEDIATE OBJECTIVE</w:t>
            </w:r>
          </w:p>
        </w:tc>
      </w:tr>
      <w:tr w:rsidR="004B6B47" w14:paraId="739E5951" w14:textId="77777777">
        <w:tc>
          <w:tcPr>
            <w:tcW w:w="620" w:type="dxa"/>
          </w:tcPr>
          <w:p w14:paraId="2DA91210" w14:textId="77777777" w:rsidR="004B6B47" w:rsidRDefault="00000000">
            <w:pPr>
              <w:spacing w:after="0" w:line="252" w:lineRule="auto"/>
            </w:pPr>
            <w:r>
              <w:rPr>
                <w:b/>
                <w:sz w:val="17"/>
              </w:rPr>
              <w:t>1</w:t>
            </w:r>
          </w:p>
        </w:tc>
        <w:tc>
          <w:tcPr>
            <w:tcW w:w="1500" w:type="dxa"/>
          </w:tcPr>
          <w:p w14:paraId="4A26C5C1" w14:textId="77777777" w:rsidR="004B6B47" w:rsidRDefault="00000000">
            <w:pPr>
              <w:spacing w:after="0" w:line="252" w:lineRule="auto"/>
            </w:pPr>
            <w:r>
              <w:rPr>
                <w:sz w:val="17"/>
              </w:rPr>
              <w:t>Del Taco</w:t>
            </w:r>
          </w:p>
        </w:tc>
        <w:tc>
          <w:tcPr>
            <w:tcW w:w="3400" w:type="dxa"/>
          </w:tcPr>
          <w:p w14:paraId="4C7D6410" w14:textId="77777777" w:rsidR="004B6B47" w:rsidRDefault="00000000">
            <w:pPr>
              <w:spacing w:after="0" w:line="252" w:lineRule="auto"/>
            </w:pPr>
            <w:r>
              <w:rPr>
                <w:sz w:val="17"/>
              </w:rPr>
              <w:t>POS + integrated payments discovery; research DMB and drive-thru adjacency.</w:t>
            </w:r>
          </w:p>
        </w:tc>
        <w:tc>
          <w:tcPr>
            <w:tcW w:w="3840" w:type="dxa"/>
          </w:tcPr>
          <w:p w14:paraId="0174A9AF" w14:textId="77777777" w:rsidR="004B6B47" w:rsidRDefault="00000000">
            <w:pPr>
              <w:spacing w:after="0" w:line="252" w:lineRule="auto"/>
            </w:pPr>
            <w:r>
              <w:rPr>
                <w:sz w:val="17"/>
              </w:rPr>
              <w:t>Consolidate GP leads, verify timing, and build the Blue Sheet.</w:t>
            </w:r>
          </w:p>
        </w:tc>
      </w:tr>
      <w:tr w:rsidR="004B6B47" w14:paraId="2460BFFD" w14:textId="77777777">
        <w:tc>
          <w:tcPr>
            <w:tcW w:w="620" w:type="dxa"/>
            <w:shd w:val="clear" w:color="auto" w:fill="F8FAFC"/>
          </w:tcPr>
          <w:p w14:paraId="1CD561DB" w14:textId="77777777" w:rsidR="004B6B47" w:rsidRDefault="00000000">
            <w:pPr>
              <w:spacing w:after="0" w:line="252" w:lineRule="auto"/>
            </w:pPr>
            <w:r>
              <w:rPr>
                <w:b/>
                <w:sz w:val="17"/>
              </w:rPr>
              <w:t>2</w:t>
            </w:r>
          </w:p>
        </w:tc>
        <w:tc>
          <w:tcPr>
            <w:tcW w:w="1500" w:type="dxa"/>
            <w:shd w:val="clear" w:color="auto" w:fill="F8FAFC"/>
          </w:tcPr>
          <w:p w14:paraId="4117BCF1" w14:textId="77777777" w:rsidR="004B6B47" w:rsidRDefault="00000000">
            <w:pPr>
              <w:spacing w:after="0" w:line="252" w:lineRule="auto"/>
            </w:pPr>
            <w:r>
              <w:rPr>
                <w:sz w:val="17"/>
              </w:rPr>
              <w:t>Five Guys</w:t>
            </w:r>
          </w:p>
        </w:tc>
        <w:tc>
          <w:tcPr>
            <w:tcW w:w="3400" w:type="dxa"/>
            <w:shd w:val="clear" w:color="auto" w:fill="F8FAFC"/>
          </w:tcPr>
          <w:p w14:paraId="46B82DBC" w14:textId="41E37EEE" w:rsidR="004B6B47" w:rsidRDefault="00000000">
            <w:pPr>
              <w:spacing w:after="0" w:line="252" w:lineRule="auto"/>
            </w:pPr>
            <w:r>
              <w:rPr>
                <w:sz w:val="17"/>
              </w:rPr>
              <w:t xml:space="preserve">DMB, hardware, and payments adjacency; </w:t>
            </w:r>
            <w:r w:rsidR="004357DF">
              <w:rPr>
                <w:sz w:val="17"/>
              </w:rPr>
              <w:t>POS will go to RFP which we need to address</w:t>
            </w:r>
          </w:p>
        </w:tc>
        <w:tc>
          <w:tcPr>
            <w:tcW w:w="3840" w:type="dxa"/>
            <w:shd w:val="clear" w:color="auto" w:fill="F8FAFC"/>
          </w:tcPr>
          <w:p w14:paraId="22BF6A61" w14:textId="77777777" w:rsidR="004B6B47" w:rsidRDefault="00000000">
            <w:pPr>
              <w:spacing w:after="0" w:line="252" w:lineRule="auto"/>
            </w:pPr>
            <w:r>
              <w:rPr>
                <w:sz w:val="17"/>
              </w:rPr>
              <w:t>Map whitespace and secure cross-functional introductions.</w:t>
            </w:r>
          </w:p>
        </w:tc>
      </w:tr>
      <w:tr w:rsidR="004B6B47" w14:paraId="7D2770D5" w14:textId="77777777">
        <w:tc>
          <w:tcPr>
            <w:tcW w:w="620" w:type="dxa"/>
          </w:tcPr>
          <w:p w14:paraId="2EB221F5" w14:textId="77777777" w:rsidR="004B6B47" w:rsidRDefault="00000000">
            <w:pPr>
              <w:spacing w:after="0" w:line="252" w:lineRule="auto"/>
            </w:pPr>
            <w:r>
              <w:rPr>
                <w:b/>
                <w:sz w:val="17"/>
              </w:rPr>
              <w:t>3</w:t>
            </w:r>
          </w:p>
        </w:tc>
        <w:tc>
          <w:tcPr>
            <w:tcW w:w="1500" w:type="dxa"/>
          </w:tcPr>
          <w:p w14:paraId="02CD6DB4" w14:textId="77777777" w:rsidR="004B6B47" w:rsidRDefault="00000000">
            <w:pPr>
              <w:spacing w:after="0" w:line="252" w:lineRule="auto"/>
            </w:pPr>
            <w:r>
              <w:rPr>
                <w:sz w:val="17"/>
              </w:rPr>
              <w:t>GoTo Foods</w:t>
            </w:r>
          </w:p>
        </w:tc>
        <w:tc>
          <w:tcPr>
            <w:tcW w:w="3400" w:type="dxa"/>
          </w:tcPr>
          <w:p w14:paraId="1DF640A0" w14:textId="77777777" w:rsidR="004B6B47" w:rsidRDefault="00000000">
            <w:pPr>
              <w:spacing w:after="0" w:line="252" w:lineRule="auto"/>
            </w:pPr>
            <w:r>
              <w:rPr>
                <w:sz w:val="17"/>
              </w:rPr>
              <w:t>DMB and multi-brand visual-estate management.</w:t>
            </w:r>
          </w:p>
        </w:tc>
        <w:tc>
          <w:tcPr>
            <w:tcW w:w="3840" w:type="dxa"/>
          </w:tcPr>
          <w:p w14:paraId="0B19F061" w14:textId="77777777" w:rsidR="004B6B47" w:rsidRDefault="00000000">
            <w:pPr>
              <w:spacing w:after="0" w:line="252" w:lineRule="auto"/>
            </w:pPr>
            <w:r>
              <w:rPr>
                <w:sz w:val="17"/>
              </w:rPr>
              <w:t>Build relationship width and validate the DMB environment by brand.</w:t>
            </w:r>
          </w:p>
        </w:tc>
      </w:tr>
      <w:tr w:rsidR="004B6B47" w14:paraId="099F1860" w14:textId="77777777">
        <w:tc>
          <w:tcPr>
            <w:tcW w:w="620" w:type="dxa"/>
            <w:shd w:val="clear" w:color="auto" w:fill="F8FAFC"/>
          </w:tcPr>
          <w:p w14:paraId="6D209309" w14:textId="77777777" w:rsidR="004B6B47" w:rsidRDefault="00000000">
            <w:pPr>
              <w:spacing w:after="0" w:line="252" w:lineRule="auto"/>
            </w:pPr>
            <w:r>
              <w:rPr>
                <w:b/>
                <w:sz w:val="17"/>
              </w:rPr>
              <w:t>4</w:t>
            </w:r>
          </w:p>
        </w:tc>
        <w:tc>
          <w:tcPr>
            <w:tcW w:w="1500" w:type="dxa"/>
            <w:shd w:val="clear" w:color="auto" w:fill="F8FAFC"/>
          </w:tcPr>
          <w:p w14:paraId="15B5C39F" w14:textId="77777777" w:rsidR="004B6B47" w:rsidRDefault="00000000">
            <w:pPr>
              <w:spacing w:after="0" w:line="252" w:lineRule="auto"/>
            </w:pPr>
            <w:r>
              <w:rPr>
                <w:sz w:val="17"/>
              </w:rPr>
              <w:t>Subway</w:t>
            </w:r>
          </w:p>
        </w:tc>
        <w:tc>
          <w:tcPr>
            <w:tcW w:w="3400" w:type="dxa"/>
            <w:shd w:val="clear" w:color="auto" w:fill="F8FAFC"/>
          </w:tcPr>
          <w:p w14:paraId="791E6E45" w14:textId="77777777" w:rsidR="004B6B47" w:rsidRDefault="00000000">
            <w:pPr>
              <w:spacing w:after="0" w:line="252" w:lineRule="auto"/>
            </w:pPr>
            <w:r>
              <w:rPr>
                <w:sz w:val="17"/>
              </w:rPr>
              <w:t>Verify active GP/Genius scope before positioning.</w:t>
            </w:r>
          </w:p>
        </w:tc>
        <w:tc>
          <w:tcPr>
            <w:tcW w:w="3840" w:type="dxa"/>
            <w:shd w:val="clear" w:color="auto" w:fill="F8FAFC"/>
          </w:tcPr>
          <w:p w14:paraId="1F794029" w14:textId="77777777" w:rsidR="004B6B47" w:rsidRDefault="00000000">
            <w:pPr>
              <w:spacing w:after="0" w:line="252" w:lineRule="auto"/>
            </w:pPr>
            <w:r>
              <w:rPr>
                <w:sz w:val="17"/>
              </w:rPr>
              <w:t>Confirm whether the engagement is DMB rather than POS.</w:t>
            </w:r>
          </w:p>
        </w:tc>
      </w:tr>
    </w:tbl>
    <w:p w14:paraId="3776C62F" w14:textId="77777777" w:rsidR="004B6B47" w:rsidRDefault="004B6B47">
      <w:pPr>
        <w:spacing w:after="40"/>
      </w:pPr>
    </w:p>
    <w:tbl>
      <w:tblPr>
        <w:tblW w:w="9360" w:type="dxa"/>
        <w:tblInd w:w="120" w:type="dxa"/>
        <w:tblLayout w:type="fixed"/>
        <w:tblLook w:val="04A0" w:firstRow="1" w:lastRow="0" w:firstColumn="1" w:lastColumn="0" w:noHBand="0" w:noVBand="1"/>
      </w:tblPr>
      <w:tblGrid>
        <w:gridCol w:w="9360"/>
      </w:tblGrid>
      <w:tr w:rsidR="004B6B47" w14:paraId="5B9FED74" w14:textId="77777777">
        <w:tc>
          <w:tcPr>
            <w:tcW w:w="9360" w:type="dxa"/>
            <w:tcBorders>
              <w:top w:val="single" w:sz="8" w:space="0" w:color="B8CADD"/>
              <w:left w:val="single" w:sz="8" w:space="0" w:color="B8CADD"/>
              <w:bottom w:val="single" w:sz="8" w:space="0" w:color="B8CADD"/>
              <w:right w:val="single" w:sz="8" w:space="0" w:color="B8CADD"/>
            </w:tcBorders>
            <w:shd w:val="clear" w:color="auto" w:fill="E8F0F7"/>
            <w:tcMar>
              <w:top w:w="100" w:type="dxa"/>
              <w:left w:w="120" w:type="dxa"/>
              <w:bottom w:w="100" w:type="dxa"/>
              <w:right w:w="120" w:type="dxa"/>
            </w:tcMar>
            <w:vAlign w:val="center"/>
          </w:tcPr>
          <w:p w14:paraId="629DD276" w14:textId="77777777" w:rsidR="004B6B47" w:rsidRDefault="00000000">
            <w:pPr>
              <w:pStyle w:val="LeadCallout"/>
              <w:spacing w:before="80" w:after="80"/>
            </w:pPr>
            <w:r>
              <w:t>Five Guys is the number-two priority. Build a precise, long-term adjacency and relationship-development motion around its established technology environment.</w:t>
            </w:r>
          </w:p>
        </w:tc>
      </w:tr>
    </w:tbl>
    <w:p w14:paraId="21656D42" w14:textId="77777777" w:rsidR="004B6B47" w:rsidRDefault="004B6B47">
      <w:pPr>
        <w:spacing w:after="20"/>
      </w:pPr>
    </w:p>
    <w:p w14:paraId="4B1D48F4" w14:textId="77777777" w:rsidR="004B6B47" w:rsidRDefault="00000000">
      <w:pPr>
        <w:pStyle w:val="Heading2"/>
      </w:pPr>
      <w:r>
        <w:t>Priority Account Motions</w:t>
      </w:r>
    </w:p>
    <w:p w14:paraId="3D849986" w14:textId="77777777" w:rsidR="004B6B47" w:rsidRDefault="00000000">
      <w:pPr>
        <w:keepNext/>
        <w:spacing w:before="100" w:after="60"/>
      </w:pPr>
      <w:r>
        <w:rPr>
          <w:b/>
          <w:color w:val="1F4D78"/>
        </w:rPr>
        <w:t>Del Taco - consolidate and qualify</w:t>
      </w:r>
    </w:p>
    <w:p w14:paraId="23027E33" w14:textId="77777777" w:rsidR="004B6B47" w:rsidRDefault="00000000">
      <w:pPr>
        <w:spacing w:after="140"/>
      </w:pPr>
      <w:r>
        <w:t>Consolidate existing Global Payments leads; verify ownership, stage, product scope, and platform timing; then determine whether POS and integrated payments or a DMB/drive-thru adjacency is the credible motion.</w:t>
      </w:r>
    </w:p>
    <w:p w14:paraId="31B0402C" w14:textId="77777777" w:rsidR="004B6B47" w:rsidRDefault="00000000">
      <w:pPr>
        <w:keepNext/>
        <w:spacing w:before="100" w:after="60"/>
      </w:pPr>
      <w:r>
        <w:rPr>
          <w:b/>
          <w:color w:val="1F4D78"/>
        </w:rPr>
        <w:t>Five Guys - priority #2 relationship development</w:t>
      </w:r>
    </w:p>
    <w:p w14:paraId="519AA310" w14:textId="454C03B6" w:rsidR="004B6B47" w:rsidRDefault="00000000">
      <w:pPr>
        <w:spacing w:after="140"/>
      </w:pPr>
      <w:r>
        <w:t xml:space="preserve">Treat Five Guys as the second account-development priority. </w:t>
      </w:r>
      <w:r w:rsidR="004357DF">
        <w:t xml:space="preserve">Five Guys will go to RFP for their POS prior to their PAR renewal. We should respect the </w:t>
      </w:r>
      <w:proofErr w:type="spellStart"/>
      <w:r>
        <w:t>CrunchTime</w:t>
      </w:r>
      <w:proofErr w:type="spellEnd"/>
      <w:r>
        <w:t>, and Olo environment. Use the Worldpay relationship to widen access across technology, operations, marketing, franchise leadership, and finance; validate DMB, hardware, payment-optimization, and franchise-level gaps; and build the Blue Sheet with Avery Churchwell.</w:t>
      </w:r>
    </w:p>
    <w:p w14:paraId="346E76CD" w14:textId="77777777" w:rsidR="004B6B47" w:rsidRDefault="00000000">
      <w:pPr>
        <w:keepNext/>
        <w:spacing w:before="100" w:after="60"/>
      </w:pPr>
      <w:r>
        <w:rPr>
          <w:b/>
          <w:color w:val="1F4D78"/>
        </w:rPr>
        <w:lastRenderedPageBreak/>
        <w:t>GoTo Foods - DMB relationship development</w:t>
      </w:r>
    </w:p>
    <w:p w14:paraId="0CD07616" w14:textId="77777777" w:rsidR="004B6B47" w:rsidRDefault="00000000">
      <w:pPr>
        <w:spacing w:after="140"/>
      </w:pPr>
      <w:r>
        <w:t>Build relationships across marketing/digital, technology, operations, and payments while confirming the DMB environment and Qu commercial position. Treat Qu Pay as a potential Worldpay volume-defense issue; Ryan will help clarify internal ownership before broader outreach.</w:t>
      </w:r>
    </w:p>
    <w:p w14:paraId="344ED4C7" w14:textId="77777777" w:rsidR="004B6B47" w:rsidRDefault="00000000">
      <w:pPr>
        <w:keepNext/>
        <w:spacing w:before="100" w:after="60"/>
      </w:pPr>
      <w:r>
        <w:rPr>
          <w:b/>
          <w:color w:val="1F4D78"/>
        </w:rPr>
        <w:t>Subway - verify before positioning</w:t>
      </w:r>
    </w:p>
    <w:p w14:paraId="4F45A544" w14:textId="77777777" w:rsidR="004B6B47" w:rsidRDefault="00000000">
      <w:pPr>
        <w:spacing w:after="140"/>
      </w:pPr>
      <w:r>
        <w:t>Confirm the current Global Payments/Genius engagement, ownership, deployment status, and customer commitments. Subway uses a proprietary POS and is deploying Genius kitchen-screen software globally; build from that position rather than assuming a generic POS displacement motion.</w:t>
      </w:r>
    </w:p>
    <w:p w14:paraId="3DE20CC7" w14:textId="77777777" w:rsidR="004B6B47" w:rsidRDefault="00000000">
      <w:pPr>
        <w:keepNext/>
        <w:spacing w:before="100" w:after="60"/>
      </w:pPr>
      <w:r>
        <w:rPr>
          <w:b/>
          <w:color w:val="1F4D78"/>
        </w:rPr>
        <w:t>Papa Johns - adjacency after a recent POS decision</w:t>
      </w:r>
    </w:p>
    <w:p w14:paraId="2410F76D" w14:textId="77777777" w:rsidR="004B6B47" w:rsidRDefault="00000000">
      <w:pPr>
        <w:spacing w:after="140"/>
      </w:pPr>
      <w:r>
        <w:t>PAR was recently selected for POS and back office. Do not pursue POS. Develop the DMB storyline across marketing, technology, operations, and existing finance relationships.</w:t>
      </w:r>
    </w:p>
    <w:p w14:paraId="39F0CEDD" w14:textId="77777777" w:rsidR="004B6B47" w:rsidRDefault="00000000">
      <w:pPr>
        <w:keepNext/>
        <w:spacing w:before="100" w:after="60"/>
      </w:pPr>
      <w:r>
        <w:rPr>
          <w:b/>
          <w:color w:val="1F4D78"/>
        </w:rPr>
        <w:t>Freddy's and Slim Chickens - channel coordination</w:t>
      </w:r>
    </w:p>
    <w:p w14:paraId="663CCBF3" w14:textId="77777777" w:rsidR="004B6B47" w:rsidRDefault="00000000">
      <w:pPr>
        <w:spacing w:after="140"/>
      </w:pPr>
      <w:r>
        <w:t>Both brands are PAR customers with strong RDS relationships. Identify the internal dealer owner and agree whether each motion is referral-led, jointly sold, or dealer-led before customer outreach.</w:t>
      </w:r>
    </w:p>
    <w:p w14:paraId="4569170C" w14:textId="77777777" w:rsidR="004B6B47" w:rsidRDefault="00000000">
      <w:pPr>
        <w:keepNext/>
        <w:spacing w:before="100" w:after="60"/>
      </w:pPr>
      <w:r>
        <w:rPr>
          <w:b/>
          <w:color w:val="1F4D78"/>
        </w:rPr>
        <w:t>Hotels and hospitality - venue-level discovery</w:t>
      </w:r>
    </w:p>
    <w:p w14:paraId="6BA6052B" w14:textId="77777777" w:rsidR="004B6B47" w:rsidRDefault="00000000">
      <w:pPr>
        <w:spacing w:after="140"/>
      </w:pPr>
      <w:r>
        <w:t>Explore internal restaurant POS, payments across outlets, DMB, hardware, and venue commerce. Plan by property, venue, and buying center.</w:t>
      </w:r>
    </w:p>
    <w:p w14:paraId="5B212C58" w14:textId="77777777" w:rsidR="004B6B47" w:rsidRDefault="00000000">
      <w:pPr>
        <w:pStyle w:val="Heading1"/>
      </w:pPr>
      <w:r>
        <w:t>Role Clarity</w:t>
      </w:r>
    </w:p>
    <w:tbl>
      <w:tblPr>
        <w:tblW w:w="9360" w:type="dxa"/>
        <w:tblInd w:w="120" w:type="dxa"/>
        <w:tblLayout w:type="fixed"/>
        <w:tblLook w:val="04A0" w:firstRow="1" w:lastRow="0" w:firstColumn="1" w:lastColumn="0" w:noHBand="0" w:noVBand="1"/>
      </w:tblPr>
      <w:tblGrid>
        <w:gridCol w:w="2500"/>
        <w:gridCol w:w="6860"/>
      </w:tblGrid>
      <w:tr w:rsidR="004B6B47" w14:paraId="22C9CEC9" w14:textId="77777777">
        <w:trPr>
          <w:tblHeader/>
        </w:trPr>
        <w:tc>
          <w:tcPr>
            <w:tcW w:w="250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22AF1133" w14:textId="77777777" w:rsidR="004B6B47" w:rsidRDefault="00000000">
            <w:pPr>
              <w:spacing w:after="0"/>
            </w:pPr>
            <w:r>
              <w:rPr>
                <w:b/>
                <w:color w:val="FFFFFF"/>
                <w:sz w:val="18"/>
              </w:rPr>
              <w:t>ROLE</w:t>
            </w:r>
          </w:p>
        </w:tc>
        <w:tc>
          <w:tcPr>
            <w:tcW w:w="686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31339437" w14:textId="77777777" w:rsidR="004B6B47" w:rsidRDefault="00000000">
            <w:pPr>
              <w:spacing w:after="0"/>
            </w:pPr>
            <w:r>
              <w:rPr>
                <w:b/>
                <w:color w:val="FFFFFF"/>
                <w:sz w:val="18"/>
              </w:rPr>
              <w:t>CORE RESPONSIBILITIES</w:t>
            </w:r>
          </w:p>
        </w:tc>
      </w:tr>
      <w:tr w:rsidR="004B6B47" w14:paraId="0012136D" w14:textId="77777777">
        <w:tc>
          <w:tcPr>
            <w:tcW w:w="2500" w:type="dxa"/>
          </w:tcPr>
          <w:p w14:paraId="330EAF77" w14:textId="77777777" w:rsidR="004B6B47" w:rsidRDefault="00000000">
            <w:pPr>
              <w:spacing w:after="0" w:line="252" w:lineRule="auto"/>
            </w:pPr>
            <w:r>
              <w:rPr>
                <w:b/>
                <w:sz w:val="18"/>
              </w:rPr>
              <w:t>Worldpay relationship manager</w:t>
            </w:r>
          </w:p>
        </w:tc>
        <w:tc>
          <w:tcPr>
            <w:tcW w:w="6860" w:type="dxa"/>
          </w:tcPr>
          <w:p w14:paraId="556E35C8" w14:textId="77777777" w:rsidR="004B6B47" w:rsidRDefault="00000000">
            <w:pPr>
              <w:spacing w:after="0" w:line="252" w:lineRule="auto"/>
            </w:pPr>
            <w:r>
              <w:rPr>
                <w:sz w:val="18"/>
              </w:rPr>
              <w:t>Provides account context; sponsors warm introductions; helps navigate the customer; includes Todd in relevant QBRs/SBRs; alerts the team to pain and buying events; remains central to communication.</w:t>
            </w:r>
          </w:p>
        </w:tc>
      </w:tr>
      <w:tr w:rsidR="004B6B47" w14:paraId="78239283" w14:textId="77777777">
        <w:tc>
          <w:tcPr>
            <w:tcW w:w="2500" w:type="dxa"/>
            <w:shd w:val="clear" w:color="auto" w:fill="F8FAFC"/>
          </w:tcPr>
          <w:p w14:paraId="507FE0F0" w14:textId="77777777" w:rsidR="004B6B47" w:rsidRDefault="00000000">
            <w:pPr>
              <w:spacing w:after="0" w:line="252" w:lineRule="auto"/>
            </w:pPr>
            <w:r>
              <w:rPr>
                <w:b/>
                <w:sz w:val="18"/>
              </w:rPr>
              <w:t>Todd / Genius</w:t>
            </w:r>
          </w:p>
        </w:tc>
        <w:tc>
          <w:tcPr>
            <w:tcW w:w="6860" w:type="dxa"/>
            <w:shd w:val="clear" w:color="auto" w:fill="F8FAFC"/>
          </w:tcPr>
          <w:p w14:paraId="54E534B3" w14:textId="77777777" w:rsidR="004B6B47" w:rsidRDefault="00000000">
            <w:pPr>
              <w:spacing w:after="0" w:line="252" w:lineRule="auto"/>
            </w:pPr>
            <w:r>
              <w:rPr>
                <w:sz w:val="18"/>
              </w:rPr>
              <w:t>Builds the restaurant-technology point of view; co-owns the Blue Sheet; leads cross-functional discovery; widens relationships; coordinates resources; closes the loop with the RM.</w:t>
            </w:r>
          </w:p>
        </w:tc>
      </w:tr>
      <w:tr w:rsidR="004B6B47" w14:paraId="0F956466" w14:textId="77777777">
        <w:tc>
          <w:tcPr>
            <w:tcW w:w="2500" w:type="dxa"/>
          </w:tcPr>
          <w:p w14:paraId="07B8A37B" w14:textId="77777777" w:rsidR="004B6B47" w:rsidRDefault="00000000">
            <w:pPr>
              <w:spacing w:after="0" w:line="252" w:lineRule="auto"/>
            </w:pPr>
            <w:r>
              <w:rPr>
                <w:b/>
                <w:sz w:val="18"/>
              </w:rPr>
              <w:t>SDR team</w:t>
            </w:r>
          </w:p>
        </w:tc>
        <w:tc>
          <w:tcPr>
            <w:tcW w:w="6860" w:type="dxa"/>
          </w:tcPr>
          <w:p w14:paraId="51644AC6" w14:textId="77777777" w:rsidR="004B6B47" w:rsidRDefault="00000000">
            <w:pPr>
              <w:spacing w:after="0" w:line="252" w:lineRule="auto"/>
            </w:pPr>
            <w:r>
              <w:rPr>
                <w:sz w:val="18"/>
              </w:rPr>
              <w:t>Enriches missing buying-center contacts; researches vendors and timing; supports approved multithreading; coordinates meetings and events; never bypasses the RM or launches generic sequences.</w:t>
            </w:r>
          </w:p>
        </w:tc>
      </w:tr>
    </w:tbl>
    <w:p w14:paraId="7139680E" w14:textId="77777777" w:rsidR="004B6B47" w:rsidRDefault="004B6B47">
      <w:pPr>
        <w:spacing w:after="40"/>
      </w:pPr>
    </w:p>
    <w:p w14:paraId="4259DA78" w14:textId="77777777" w:rsidR="004B6B47" w:rsidRDefault="00000000">
      <w:pPr>
        <w:pStyle w:val="Heading2"/>
      </w:pPr>
      <w:r>
        <w:t>Genius 100-Level Enablement</w:t>
      </w:r>
    </w:p>
    <w:p w14:paraId="0C1F1154" w14:textId="77777777" w:rsidR="004B6B47" w:rsidRDefault="00000000">
      <w:r>
        <w:t>The goal is not to turn RMs into Genius sellers. The goal is to help them understand the problem solved, recognize relevant signals, ask useful questions, and know when to bring Todd into the conversation.</w:t>
      </w:r>
    </w:p>
    <w:p w14:paraId="1EE86DED" w14:textId="77777777" w:rsidR="004B6B47" w:rsidRDefault="00000000">
      <w:pPr>
        <w:pStyle w:val="ListBullet"/>
        <w:spacing w:after="80"/>
        <w:ind w:left="720"/>
      </w:pPr>
      <w:r>
        <w:t>Platform overview and the connected payments-plus-technology story.</w:t>
      </w:r>
    </w:p>
    <w:p w14:paraId="55CDEF98" w14:textId="77777777" w:rsidR="004B6B47" w:rsidRDefault="00000000">
      <w:pPr>
        <w:pStyle w:val="ListBullet"/>
        <w:spacing w:after="80"/>
        <w:ind w:left="720"/>
      </w:pPr>
      <w:r>
        <w:t>POS and payments integration.</w:t>
      </w:r>
    </w:p>
    <w:p w14:paraId="586D7388" w14:textId="77777777" w:rsidR="004B6B47" w:rsidRDefault="00000000">
      <w:pPr>
        <w:pStyle w:val="ListBullet"/>
        <w:spacing w:after="80"/>
        <w:ind w:left="720"/>
      </w:pPr>
      <w:r>
        <w:t>Back office and restaurant operations.</w:t>
      </w:r>
    </w:p>
    <w:p w14:paraId="79F61606" w14:textId="77777777" w:rsidR="004B6B47" w:rsidRDefault="00000000">
      <w:pPr>
        <w:pStyle w:val="ListBullet"/>
        <w:spacing w:after="80"/>
        <w:ind w:left="720"/>
      </w:pPr>
      <w:r>
        <w:t>Digital menu boards.</w:t>
      </w:r>
    </w:p>
    <w:p w14:paraId="70B7DA6A" w14:textId="77777777" w:rsidR="004B6B47" w:rsidRDefault="00000000">
      <w:pPr>
        <w:pStyle w:val="ListBullet"/>
        <w:spacing w:after="80"/>
        <w:ind w:left="720"/>
      </w:pPr>
      <w:r>
        <w:t>Drive-thru and restaurant hardware.</w:t>
      </w:r>
    </w:p>
    <w:p w14:paraId="58430679" w14:textId="77777777" w:rsidR="004B6B47" w:rsidRDefault="00000000">
      <w:pPr>
        <w:pStyle w:val="ListBullet"/>
        <w:spacing w:after="80"/>
        <w:ind w:left="720"/>
      </w:pPr>
      <w:r>
        <w:t>Loyalty and guest engagement.</w:t>
      </w:r>
    </w:p>
    <w:p w14:paraId="32DF342F" w14:textId="77777777" w:rsidR="004357DF" w:rsidRDefault="004357DF">
      <w:pPr>
        <w:spacing w:after="200" w:line="276" w:lineRule="auto"/>
        <w:rPr>
          <w:rFonts w:asciiTheme="majorHAnsi" w:eastAsiaTheme="majorEastAsia" w:hAnsiTheme="majorHAnsi" w:cstheme="majorBidi"/>
          <w:b/>
          <w:bCs/>
          <w:color w:val="2E74B5"/>
          <w:sz w:val="32"/>
          <w:szCs w:val="28"/>
        </w:rPr>
      </w:pPr>
      <w:r>
        <w:br w:type="page"/>
      </w:r>
    </w:p>
    <w:p w14:paraId="1E5C3470" w14:textId="103741AD" w:rsidR="004B6B47" w:rsidRDefault="00000000">
      <w:pPr>
        <w:pStyle w:val="Heading1"/>
      </w:pPr>
      <w:r>
        <w:lastRenderedPageBreak/>
        <w:t>How We Will Measure Progress</w:t>
      </w:r>
    </w:p>
    <w:tbl>
      <w:tblPr>
        <w:tblW w:w="9360" w:type="dxa"/>
        <w:tblInd w:w="120" w:type="dxa"/>
        <w:tblLayout w:type="fixed"/>
        <w:tblLook w:val="04A0" w:firstRow="1" w:lastRow="0" w:firstColumn="1" w:lastColumn="0" w:noHBand="0" w:noVBand="1"/>
      </w:tblPr>
      <w:tblGrid>
        <w:gridCol w:w="4680"/>
        <w:gridCol w:w="4680"/>
      </w:tblGrid>
      <w:tr w:rsidR="004B6B47" w14:paraId="4619E961" w14:textId="77777777">
        <w:trPr>
          <w:tblHeader/>
        </w:trPr>
        <w:tc>
          <w:tcPr>
            <w:tcW w:w="468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5254766B" w14:textId="77777777" w:rsidR="004B6B47" w:rsidRDefault="00000000">
            <w:pPr>
              <w:spacing w:after="0"/>
            </w:pPr>
            <w:r>
              <w:rPr>
                <w:b/>
                <w:color w:val="FFFFFF"/>
                <w:sz w:val="18"/>
              </w:rPr>
              <w:t>LEADING INDICATORS</w:t>
            </w:r>
          </w:p>
        </w:tc>
        <w:tc>
          <w:tcPr>
            <w:tcW w:w="4680" w:type="dxa"/>
            <w:tcBorders>
              <w:top w:val="single" w:sz="6" w:space="0" w:color="D5DCE5"/>
              <w:left w:val="single" w:sz="6" w:space="0" w:color="D5DCE5"/>
              <w:bottom w:val="single" w:sz="6" w:space="0" w:color="D5DCE5"/>
              <w:right w:val="single" w:sz="6" w:space="0" w:color="D5DCE5"/>
            </w:tcBorders>
            <w:shd w:val="clear" w:color="auto" w:fill="17365D"/>
            <w:tcMar>
              <w:top w:w="100" w:type="dxa"/>
              <w:left w:w="120" w:type="dxa"/>
              <w:bottom w:w="100" w:type="dxa"/>
              <w:right w:w="120" w:type="dxa"/>
            </w:tcMar>
            <w:vAlign w:val="center"/>
          </w:tcPr>
          <w:p w14:paraId="0D4FB686" w14:textId="77777777" w:rsidR="004B6B47" w:rsidRDefault="00000000">
            <w:pPr>
              <w:spacing w:after="0"/>
            </w:pPr>
            <w:r>
              <w:rPr>
                <w:b/>
                <w:color w:val="FFFFFF"/>
                <w:sz w:val="18"/>
              </w:rPr>
              <w:t>COMMERCIAL OUTCOMES</w:t>
            </w:r>
          </w:p>
        </w:tc>
      </w:tr>
      <w:tr w:rsidR="004B6B47" w14:paraId="1147731B" w14:textId="77777777">
        <w:tc>
          <w:tcPr>
            <w:tcW w:w="4680" w:type="dxa"/>
          </w:tcPr>
          <w:p w14:paraId="6B1AF8A4" w14:textId="77777777" w:rsidR="004B6B47" w:rsidRDefault="00000000">
            <w:pPr>
              <w:spacing w:after="0" w:line="252" w:lineRule="auto"/>
            </w:pPr>
            <w:r>
              <w:rPr>
                <w:b/>
                <w:sz w:val="18"/>
              </w:rPr>
              <w:t>RMs trained and modules delivered</w:t>
            </w:r>
          </w:p>
        </w:tc>
        <w:tc>
          <w:tcPr>
            <w:tcW w:w="4680" w:type="dxa"/>
          </w:tcPr>
          <w:p w14:paraId="04C19395" w14:textId="77777777" w:rsidR="004B6B47" w:rsidRDefault="00000000">
            <w:pPr>
              <w:spacing w:after="0" w:line="252" w:lineRule="auto"/>
            </w:pPr>
            <w:r>
              <w:rPr>
                <w:sz w:val="18"/>
              </w:rPr>
              <w:t>Customer discovery meetings</w:t>
            </w:r>
          </w:p>
        </w:tc>
      </w:tr>
      <w:tr w:rsidR="004B6B47" w14:paraId="2E9F48DF" w14:textId="77777777">
        <w:tc>
          <w:tcPr>
            <w:tcW w:w="4680" w:type="dxa"/>
            <w:shd w:val="clear" w:color="auto" w:fill="F8FAFC"/>
          </w:tcPr>
          <w:p w14:paraId="7D177A38" w14:textId="77777777" w:rsidR="004B6B47" w:rsidRDefault="00000000">
            <w:pPr>
              <w:spacing w:after="0" w:line="252" w:lineRule="auto"/>
            </w:pPr>
            <w:r>
              <w:rPr>
                <w:b/>
                <w:sz w:val="18"/>
              </w:rPr>
              <w:t>Proactive warm introductions</w:t>
            </w:r>
          </w:p>
        </w:tc>
        <w:tc>
          <w:tcPr>
            <w:tcW w:w="4680" w:type="dxa"/>
            <w:shd w:val="clear" w:color="auto" w:fill="F8FAFC"/>
          </w:tcPr>
          <w:p w14:paraId="08B8A504" w14:textId="77777777" w:rsidR="004B6B47" w:rsidRDefault="00000000">
            <w:pPr>
              <w:spacing w:after="0" w:line="252" w:lineRule="auto"/>
            </w:pPr>
            <w:r>
              <w:rPr>
                <w:sz w:val="18"/>
              </w:rPr>
              <w:t>Qualified opportunities</w:t>
            </w:r>
          </w:p>
        </w:tc>
      </w:tr>
      <w:tr w:rsidR="004B6B47" w14:paraId="3C5B1EDA" w14:textId="77777777">
        <w:tc>
          <w:tcPr>
            <w:tcW w:w="4680" w:type="dxa"/>
          </w:tcPr>
          <w:p>
            <w:pPr>
              <w:keepLines/>
            </w:pPr>
            <w:r>
              <w:t>Blue Sheets that produce a verified fact, relationship advance, disposition, or next commitment</w:t>
            </w:r>
          </w:p>
        </w:tc>
        <w:tc>
          <w:tcPr>
            <w:tcW w:w="4680" w:type="dxa"/>
          </w:tcPr>
          <w:p w14:paraId="404F46C7" w14:textId="77777777" w:rsidR="004B6B47" w:rsidRDefault="00000000">
            <w:pPr>
              <w:spacing w:after="0" w:line="252" w:lineRule="auto"/>
            </w:pPr>
            <w:r>
              <w:rPr>
                <w:sz w:val="18"/>
              </w:rPr>
              <w:t>Genius expansion</w:t>
            </w:r>
          </w:p>
        </w:tc>
      </w:tr>
      <w:tr w:rsidR="004B6B47" w14:paraId="222D0B0A" w14:textId="77777777">
        <w:tc>
          <w:tcPr>
            <w:tcW w:w="4680" w:type="dxa"/>
            <w:shd w:val="clear" w:color="auto" w:fill="F8FAFC"/>
          </w:tcPr>
          <w:p>
            <w:pPr>
              <w:keepLines/>
            </w:pPr>
            <w:r>
              <w:t>QBR/SBR and event meetings with a defined account outcome</w:t>
            </w:r>
          </w:p>
        </w:tc>
        <w:tc>
          <w:tcPr>
            <w:tcW w:w="4680" w:type="dxa"/>
            <w:shd w:val="clear" w:color="auto" w:fill="F8FAFC"/>
          </w:tcPr>
          <w:p w14:paraId="48593AAE" w14:textId="77777777" w:rsidR="004B6B47" w:rsidRDefault="00000000">
            <w:pPr>
              <w:spacing w:after="0" w:line="252" w:lineRule="auto"/>
            </w:pPr>
            <w:r>
              <w:rPr>
                <w:sz w:val="18"/>
              </w:rPr>
              <w:t>Worldpay volume protected or expanded</w:t>
            </w:r>
          </w:p>
        </w:tc>
      </w:tr>
      <w:tr w:rsidR="004B6B47" w14:paraId="0BB97F4D" w14:textId="77777777">
        <w:tc>
          <w:tcPr>
            <w:tcW w:w="4680" w:type="dxa"/>
          </w:tcPr>
          <w:p w14:paraId="350D52B4" w14:textId="77777777" w:rsidR="004B6B47" w:rsidRDefault="00000000">
            <w:pPr>
              <w:spacing w:after="0" w:line="252" w:lineRule="auto"/>
            </w:pPr>
            <w:r>
              <w:rPr>
                <w:b/>
                <w:sz w:val="18"/>
              </w:rPr>
              <w:t>New buying-center relationships</w:t>
            </w:r>
          </w:p>
        </w:tc>
        <w:tc>
          <w:tcPr>
            <w:tcW w:w="4680" w:type="dxa"/>
          </w:tcPr>
          <w:p w14:paraId="5B2A9596" w14:textId="77777777" w:rsidR="004B6B47" w:rsidRDefault="00000000">
            <w:pPr>
              <w:spacing w:after="0" w:line="252" w:lineRule="auto"/>
            </w:pPr>
            <w:r>
              <w:rPr>
                <w:sz w:val="18"/>
              </w:rPr>
              <w:t>Combined Worldpay-Genius wins</w:t>
            </w:r>
          </w:p>
        </w:tc>
      </w:tr>
      <w:tr w:rsidR="004B6B47" w14:paraId="5C2B993A" w14:textId="77777777">
        <w:tc>
          <w:tcPr>
            <w:tcW w:w="4680" w:type="dxa"/>
            <w:shd w:val="clear" w:color="auto" w:fill="F8FAFC"/>
          </w:tcPr>
          <w:p w14:paraId="66555E59" w14:textId="77777777" w:rsidR="004B6B47" w:rsidRDefault="00000000">
            <w:pPr>
              <w:spacing w:after="0" w:line="252" w:lineRule="auto"/>
            </w:pPr>
            <w:r>
              <w:rPr>
                <w:b/>
                <w:sz w:val="18"/>
              </w:rPr>
              <w:t>Accounts with a clear storyline</w:t>
            </w:r>
          </w:p>
        </w:tc>
        <w:tc>
          <w:tcPr>
            <w:tcW w:w="4680" w:type="dxa"/>
            <w:shd w:val="clear" w:color="auto" w:fill="F8FAFC"/>
          </w:tcPr>
          <w:p w14:paraId="74117111" w14:textId="77777777" w:rsidR="004B6B47" w:rsidRDefault="00000000">
            <w:pPr>
              <w:spacing w:after="0" w:line="252" w:lineRule="auto"/>
            </w:pPr>
            <w:r>
              <w:rPr>
                <w:sz w:val="18"/>
              </w:rPr>
              <w:t>Closed-loop opportunity progression</w:t>
            </w:r>
          </w:p>
        </w:tc>
      </w:tr>
    </w:tbl>
    <w:p w14:paraId="0FA2303F" w14:textId="77777777" w:rsidR="004B6B47" w:rsidRDefault="004B6B47">
      <w:pPr>
        <w:spacing w:after="40"/>
      </w:pPr>
    </w:p>
    <w:p w14:paraId="5C21A31F" w14:textId="77777777" w:rsidR="004B6B47" w:rsidRDefault="00000000">
      <w:pPr>
        <w:pStyle w:val="Heading1"/>
      </w:pPr>
      <w:r>
        <w:t>30-Day Priorities</w:t>
      </w:r>
    </w:p>
    <w:p w14:paraId="117BCBFC" w14:textId="77777777" w:rsidR="004B6B47" w:rsidRDefault="00000000">
      <w:pPr>
        <w:pStyle w:val="ListNumber"/>
        <w:spacing w:after="100"/>
        <w:ind w:left="720"/>
      </w:pPr>
      <w:r>
        <w:t>Finalize the reusable Blue Sheet template.</w:t>
      </w:r>
    </w:p>
    <w:p w14:paraId="554D2F5A" w14:textId="77777777" w:rsidR="004B6B47" w:rsidRDefault="00000000">
      <w:pPr>
        <w:pStyle w:val="ListNumber"/>
        <w:spacing w:after="100"/>
        <w:ind w:left="720"/>
      </w:pPr>
      <w:r>
        <w:t>Launch Blue Sheets for Del Taco, Five Guys, and GoTo Foods—in that order.</w:t>
      </w:r>
    </w:p>
    <w:p w14:paraId="0D1E815D" w14:textId="77777777" w:rsidR="004B6B47" w:rsidRDefault="00000000">
      <w:pPr>
        <w:pStyle w:val="ListNumber"/>
        <w:spacing w:after="100"/>
        <w:ind w:left="720"/>
      </w:pPr>
      <w:r>
        <w:t>Confirm current Global Payments/Genius engagement and relationship coverage across those accounts.</w:t>
      </w:r>
    </w:p>
    <w:p w14:paraId="66559550" w14:textId="77777777" w:rsidR="004B6B47" w:rsidRDefault="00000000">
      <w:pPr>
        <w:pStyle w:val="ListNumber"/>
        <w:spacing w:after="100"/>
        <w:ind w:left="720"/>
      </w:pPr>
      <w:r>
        <w:t>Deliver the first Genius 100-level module.</w:t>
      </w:r>
    </w:p>
    <w:p w14:paraId="7C4E17AB" w14:textId="77777777" w:rsidR="004B6B47" w:rsidRDefault="00000000">
      <w:pPr>
        <w:pStyle w:val="ListNumber"/>
        <w:spacing w:after="100"/>
        <w:ind w:left="720"/>
      </w:pPr>
      <w:r>
        <w:t>Identify upcoming QBRs, SBRs, and FS/TEC meetings.</w:t>
      </w:r>
    </w:p>
    <w:p w14:paraId="5AEEF3C1" w14:textId="77777777" w:rsidR="004B6B47" w:rsidRDefault="00000000">
      <w:pPr>
        <w:pStyle w:val="ListNumber"/>
        <w:spacing w:after="100"/>
        <w:ind w:left="720"/>
      </w:pPr>
      <w:r>
        <w:t>Build the initial relationship-width and warm-introduction plans.</w:t>
      </w:r>
    </w:p>
    <w:p w14:paraId="1C0A1DE3" w14:textId="77777777" w:rsidR="004B6B47" w:rsidRDefault="00000000">
      <w:pPr>
        <w:pStyle w:val="ListNumber"/>
        <w:spacing w:after="100"/>
        <w:ind w:left="720"/>
      </w:pPr>
      <w:r>
        <w:t>Establish a simple scorecard for activity, relationship growth, and opportunity progression.</w:t>
      </w:r>
    </w:p>
    <w:p w14:paraId="1C0A1DE3" w14:textId="77777777" w:rsidR="004B6B47" w:rsidRDefault="00000000">
      <w:pPr>
        <w:pStyle w:val="ListNumber"/>
        <w:spacing w:after="100"/>
        <w:ind w:left="720"/>
      </w:pPr>
      <w:r>
        <w:rPr>
          <w:b w:val="0"/>
        </w:rPr>
        <w:t>Build the first FS/TEC and customer-event introduction plan.</w:t>
      </w:r>
    </w:p>
    <w:p w14:paraId="1C0A1DE3" w14:textId="77777777" w:rsidR="004B6B47" w:rsidRDefault="00000000">
      <w:pPr>
        <w:pStyle w:val="ListNumber"/>
        <w:spacing w:after="100"/>
        <w:ind w:left="720"/>
      </w:pPr>
      <w:r>
        <w:rPr>
          <w:b w:val="0"/>
        </w:rPr>
        <w:t>Begin a shared capability map for gateway, processor, fraud, dispute, gift, and other payment add-ons.</w:t>
      </w:r>
    </w:p>
    <w:p w14:paraId="4B296116" w14:textId="77777777" w:rsidR="004B6B47" w:rsidRDefault="00000000">
      <w:pPr>
        <w:pStyle w:val="Heading2"/>
      </w:pPr>
      <w:r>
        <w:t>What We Need From the Organization</w:t>
      </w:r>
    </w:p>
    <w:p w14:paraId="0D7E57BF" w14:textId="77777777" w:rsidR="004B6B47" w:rsidRDefault="00000000">
      <w:pPr>
        <w:pStyle w:val="ListBullet"/>
        <w:spacing w:after="80"/>
        <w:ind w:left="720"/>
      </w:pPr>
      <w:r>
        <w:t>Continued RM sponsorship and customer introductions.</w:t>
      </w:r>
    </w:p>
    <w:p w14:paraId="42F8EA31" w14:textId="77777777" w:rsidR="004B6B47" w:rsidRDefault="00000000">
      <w:pPr>
        <w:pStyle w:val="ListBullet"/>
        <w:spacing w:after="80"/>
        <w:ind w:left="720"/>
      </w:pPr>
      <w:r>
        <w:t>Visibility into active Global Payments/Genius opportunities and account history.</w:t>
      </w:r>
    </w:p>
    <w:p w14:paraId="623D2F4B" w14:textId="77777777" w:rsidR="004B6B47" w:rsidRDefault="00000000">
      <w:pPr>
        <w:pStyle w:val="ListBullet"/>
        <w:spacing w:after="80"/>
        <w:ind w:left="720"/>
      </w:pPr>
      <w:r>
        <w:t>Concise product positioning and customer proof points.</w:t>
      </w:r>
    </w:p>
    <w:p w14:paraId="604C33C0" w14:textId="77777777" w:rsidR="004B6B47" w:rsidRDefault="00000000">
      <w:pPr>
        <w:pStyle w:val="ListBullet"/>
        <w:spacing w:after="80"/>
        <w:ind w:left="720"/>
      </w:pPr>
      <w:r>
        <w:t>Product and solution specialist participation when discovery becomes specific.</w:t>
      </w:r>
    </w:p>
    <w:p w14:paraId="666A2EFB" w14:textId="77777777" w:rsidR="004B6B47" w:rsidRDefault="00000000">
      <w:pPr>
        <w:pStyle w:val="ListBullet"/>
        <w:spacing w:after="80"/>
        <w:ind w:left="720"/>
      </w:pPr>
      <w:r>
        <w:t>Clear coordination with channel partners.</w:t>
      </w:r>
    </w:p>
    <w:p w14:paraId="1299320C" w14:textId="77777777" w:rsidR="004B6B47" w:rsidRDefault="00000000">
      <w:pPr>
        <w:pStyle w:val="ListBullet"/>
        <w:spacing w:after="80"/>
        <w:ind w:left="720"/>
      </w:pPr>
      <w:r>
        <w:t>A shared commitment to a long-term, customer-led account-development motion.</w:t>
      </w:r>
    </w:p>
    <w:p w14:paraId="1A21A830" w14:textId="77777777" w:rsidR="004B6B47" w:rsidRDefault="00000000">
      <w:pPr>
        <w:pStyle w:val="Heading1"/>
      </w:pPr>
      <w:r>
        <w:t>Guiding Principles</w:t>
      </w:r>
    </w:p>
    <w:tbl>
      <w:tblPr>
        <w:tblW w:w="9360" w:type="dxa"/>
        <w:tblInd w:w="120" w:type="dxa"/>
        <w:tblLayout w:type="fixed"/>
        <w:tblLook w:val="04A0" w:firstRow="1" w:lastRow="0" w:firstColumn="1" w:lastColumn="0" w:noHBand="0" w:noVBand="1"/>
      </w:tblPr>
      <w:tblGrid>
        <w:gridCol w:w="9360"/>
      </w:tblGrid>
      <w:tr w:rsidR="004B6B47" w14:paraId="1F42CA4E" w14:textId="77777777">
        <w:tc>
          <w:tcPr>
            <w:tcW w:w="9360" w:type="dxa"/>
            <w:tcBorders>
              <w:top w:val="single" w:sz="8" w:space="0" w:color="B8CADD"/>
              <w:left w:val="single" w:sz="8" w:space="0" w:color="B8CADD"/>
              <w:bottom w:val="single" w:sz="8" w:space="0" w:color="B8CADD"/>
              <w:right w:val="single" w:sz="8" w:space="0" w:color="B8CADD"/>
            </w:tcBorders>
            <w:shd w:val="clear" w:color="auto" w:fill="E8F0F7"/>
            <w:tcMar>
              <w:top w:w="100" w:type="dxa"/>
              <w:left w:w="120" w:type="dxa"/>
              <w:bottom w:w="100" w:type="dxa"/>
              <w:right w:w="120" w:type="dxa"/>
            </w:tcMar>
            <w:vAlign w:val="center"/>
          </w:tcPr>
          <w:p>
            <w:pPr>
              <w:keepLines/>
            </w:pPr>
            <w:r>
              <w:t>Be proactive, thoughtful, and patient. Build relationship width before expecting a transaction—and do not mistake activity for achievement.</w:t>
            </w:r>
          </w:p>
        </w:tc>
      </w:tr>
    </w:tbl>
    <w:p w14:paraId="6057D851" w14:textId="77777777" w:rsidR="004B6B47" w:rsidRDefault="004B6B47">
      <w:pPr>
        <w:spacing w:after="20"/>
      </w:pPr>
    </w:p>
    <w:p w14:paraId="25128E4B" w14:textId="77777777" w:rsidR="004B6B47" w:rsidRDefault="00000000">
      <w:pPr>
        <w:pStyle w:val="ListBullet"/>
        <w:spacing w:after="80"/>
        <w:ind w:left="720"/>
      </w:pPr>
      <w:r>
        <w:t>Lead with a relevant customer point of view, not a product catalog.</w:t>
      </w:r>
    </w:p>
    <w:p w14:paraId="53E9982E" w14:textId="77777777" w:rsidR="004B6B47" w:rsidRDefault="00000000">
      <w:pPr>
        <w:pStyle w:val="ListBullet"/>
        <w:spacing w:after="80"/>
        <w:ind w:left="720"/>
      </w:pPr>
      <w:r>
        <w:t>Connect payments to the broader technology and operating environment.</w:t>
      </w:r>
    </w:p>
    <w:p w14:paraId="437FFABF" w14:textId="77777777" w:rsidR="004B6B47" w:rsidRDefault="00000000">
      <w:pPr>
        <w:pStyle w:val="ListBullet"/>
        <w:spacing w:after="80"/>
        <w:ind w:left="720"/>
      </w:pPr>
      <w:r>
        <w:t>Respect recent customer platform decisions.</w:t>
      </w:r>
    </w:p>
    <w:p w14:paraId="1FC349A8" w14:textId="77777777" w:rsidR="004B6B47" w:rsidRDefault="00000000">
      <w:pPr>
        <w:pStyle w:val="ListBullet"/>
        <w:spacing w:after="80"/>
        <w:ind w:left="720"/>
      </w:pPr>
      <w:r>
        <w:t>Treat pain and buying events as accelerators, not prerequisites.</w:t>
      </w:r>
    </w:p>
    <w:p w14:paraId="21ED6476" w14:textId="77777777" w:rsidR="004B6B47" w:rsidRDefault="00000000">
      <w:pPr>
        <w:pStyle w:val="ListBullet"/>
        <w:spacing w:after="80"/>
        <w:ind w:left="720"/>
      </w:pPr>
      <w:r>
        <w:t>Preserve RM trust and close the loop after every customer interaction.</w:t>
      </w:r>
    </w:p>
    <w:sectPr w:rsidR="004B6B47" w:rsidSect="00034616">
      <w:headerReference w:type="default" r:id="rId8"/>
      <w:footerReference w:type="default" r:id="rId9"/>
      <w:pgSz w:w="12240" w:h="15840"/>
      <w:pgMar w:top="1181"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47AA1F" w14:textId="77777777" w:rsidR="00BE1F80" w:rsidRDefault="00BE1F80">
      <w:pPr>
        <w:spacing w:after="0" w:line="240" w:lineRule="auto"/>
      </w:pPr>
      <w:r>
        <w:separator/>
      </w:r>
    </w:p>
  </w:endnote>
  <w:endnote w:type="continuationSeparator" w:id="0">
    <w:p w14:paraId="0A09F6C8" w14:textId="77777777" w:rsidR="00BE1F80" w:rsidRDefault="00BE1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772ABB" w14:textId="77777777" w:rsidR="004B6B47" w:rsidRDefault="00000000">
    <w:pPr>
      <w:pStyle w:val="Footer"/>
      <w:jc w:val="right"/>
    </w:pPr>
    <w:r>
      <w:rPr>
        <w:color w:val="667085"/>
        <w:sz w:val="17"/>
      </w:rPr>
      <w:t xml:space="preserve">INTERNAL DISCUSSION DRAFT   |   </w:t>
    </w:r>
    <w:r>
      <w:rPr>
        <w:color w:val="667085"/>
        <w:sz w:val="17"/>
      </w:rPr>
      <w:fldChar w:fldCharType="begin"/>
    </w:r>
    <w:r>
      <w:rPr>
        <w:color w:val="667085"/>
        <w:sz w:val="17"/>
      </w:rPr>
      <w:instrText>PAGE</w:instrText>
    </w:r>
    <w:r w:rsidR="004357DF">
      <w:rPr>
        <w:color w:val="667085"/>
        <w:sz w:val="17"/>
      </w:rPr>
      <w:fldChar w:fldCharType="separate"/>
    </w:r>
    <w:r w:rsidR="004357DF">
      <w:rPr>
        <w:noProof/>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B8148D" w14:textId="77777777" w:rsidR="00BE1F80" w:rsidRDefault="00BE1F80">
      <w:pPr>
        <w:spacing w:after="0" w:line="240" w:lineRule="auto"/>
      </w:pPr>
      <w:r>
        <w:separator/>
      </w:r>
    </w:p>
  </w:footnote>
  <w:footnote w:type="continuationSeparator" w:id="0">
    <w:p w14:paraId="59D37596" w14:textId="77777777" w:rsidR="00BE1F80" w:rsidRDefault="00BE1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D7513" w14:textId="77777777" w:rsidR="004B6B47" w:rsidRDefault="00000000">
    <w:pPr>
      <w:pStyle w:val="Header"/>
    </w:pPr>
    <w:r>
      <w:rPr>
        <w:b/>
        <w:color w:val="667085"/>
        <w:sz w:val="17"/>
      </w:rPr>
      <w:t xml:space="preserve">WORLDPAY + </w:t>
    </w:r>
    <w:proofErr w:type="gramStart"/>
    <w:r>
      <w:rPr>
        <w:b/>
        <w:color w:val="667085"/>
        <w:sz w:val="17"/>
      </w:rPr>
      <w:t>GENIUS  |</w:t>
    </w:r>
    <w:proofErr w:type="gramEnd"/>
    <w:r>
      <w:rPr>
        <w:b/>
        <w:color w:val="667085"/>
        <w:sz w:val="17"/>
      </w:rPr>
      <w:t xml:space="preserve">  ENTERPRISE ACCOUNT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5865">
    <w:abstractNumId w:val="8"/>
  </w:num>
  <w:num w:numId="2" w16cid:durableId="367991704">
    <w:abstractNumId w:val="6"/>
  </w:num>
  <w:num w:numId="3" w16cid:durableId="1041712356">
    <w:abstractNumId w:val="5"/>
  </w:num>
  <w:num w:numId="4" w16cid:durableId="1675523898">
    <w:abstractNumId w:val="4"/>
  </w:num>
  <w:num w:numId="5" w16cid:durableId="1975519221">
    <w:abstractNumId w:val="7"/>
  </w:num>
  <w:num w:numId="6" w16cid:durableId="1435636688">
    <w:abstractNumId w:val="3"/>
  </w:num>
  <w:num w:numId="7" w16cid:durableId="1093010271">
    <w:abstractNumId w:val="2"/>
  </w:num>
  <w:num w:numId="8" w16cid:durableId="1887377434">
    <w:abstractNumId w:val="1"/>
  </w:num>
  <w:num w:numId="9" w16cid:durableId="1759254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30A"/>
    <w:rsid w:val="004357DF"/>
    <w:rsid w:val="004B6B47"/>
    <w:rsid w:val="007A565F"/>
    <w:rsid w:val="00AA1D8D"/>
    <w:rsid w:val="00B47730"/>
    <w:rsid w:val="00BE1F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F725E"/>
  <w14:defaultImageDpi w14:val="300"/>
  <w15:docId w15:val="{A8B68EAA-BE01-E14D-A759-BC867EF9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202124"/>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60"/>
      <w:ind w:left="216" w:right="216"/>
    </w:pPr>
    <w:rPr>
      <w:rFonts w:ascii="Aptos" w:hAnsi="Aptos"/>
      <w:b/>
      <w:color w:val="17365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Worldpay + Genius Enterprise Account Development Strategy</vt:lpstr>
    </vt:vector>
  </TitlesOfParts>
  <Manager/>
  <Company/>
  <LinksUpToDate>false</LinksUpToDate>
  <CharactersWithSpaces>11386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Worldpay + Genius Enterprise Account Development Strategy — Revised</dc:title>
  <dc:subject>Internal strategy brief</dc:subject>
  <dc:creator>Todd Vahlsing</dc:creator>
  <cp:keywords>Worldpay, Genius, enterprise, account development, cross-sell</cp:keywords>
  <dc:description>generated by python-docx</dc:description>
  <cp:lastModifiedBy>Vahlsing, Todd</cp:lastModifiedBy>
  <cp:revision>2</cp:revision>
  <cp:lastPrinted>2026-07-28T16:58:00Z</cp:lastPrinted>
  <dcterms:created xsi:type="dcterms:W3CDTF">2026-07-28T17:13:00Z</dcterms:created>
  <dcterms:modified xsi:type="dcterms:W3CDTF">2026-07-28T17:13:00Z</dcterms:modified>
  <cp:category/>
</cp:coreProperties>
</file>