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Del Taco Account Plan</w:t>
      </w:r>
    </w:p>
    <w:p>
      <w:r>
        <w:t>Prepared by: Todd Vahlsing</w:t>
      </w:r>
    </w:p>
    <w:p>
      <w:pPr>
        <w:spacing w:after="40"/>
      </w:pPr>
      <w:r>
        <w:rPr>
          <w:sz w:val="20"/>
        </w:rPr>
        <w:t>Purpose: Top-of-funnel account plan and qualification</w:t>
      </w:r>
    </w:p>
    <w:p>
      <w:pPr>
        <w:spacing w:after="40"/>
      </w:pPr>
      <w:r>
        <w:rPr>
          <w:sz w:val="20"/>
        </w:rPr>
        <w:t>Current posture: active</w:t>
      </w:r>
    </w:p>
    <w:p>
      <w:pPr>
        <w:spacing w:after="160"/>
      </w:pPr>
      <w:r>
        <w:rPr>
          <w:b/>
          <w:sz w:val="20"/>
        </w:rPr>
        <w:t>Qualification decision: GO</w:t>
      </w:r>
    </w:p>
    <w:p>
      <w:pPr>
        <w:pStyle w:val="Heading1"/>
      </w:pPr>
      <w:r>
        <w:t>Qualification Scorecard</w:t>
      </w:r>
    </w:p>
    <w:p>
      <w:pPr>
        <w:jc w:val="left"/>
      </w:pPr>
      <w:r>
        <w:rPr>
          <w:i/>
          <w:color w:val="5A5A5A"/>
          <w:sz w:val="18"/>
        </w:rPr>
        <w:t>No qualification criteria recorded yet.</w:t>
      </w:r>
    </w:p>
    <w:p>
      <w:pPr>
        <w:pStyle w:val="Heading1"/>
      </w:pPr>
      <w:r>
        <w:t>Discovery Status</w:t>
      </w:r>
    </w:p>
    <w:p>
      <w:r>
        <w:t>0 of 23 discovery questions answered.</w:t>
      </w:r>
    </w:p>
    <w:p>
      <w:pPr>
        <w:pStyle w:val="Heading2"/>
      </w:pPr>
      <w:r>
        <w:t>Still Open</w:t>
      </w:r>
    </w:p>
    <w:p>
      <w:pPr>
        <w:jc w:val="left"/>
      </w:pPr>
      <w:r>
        <w:rPr>
          <w:b/>
          <w:color w:val="5A5A5A"/>
          <w:sz w:val="18"/>
        </w:rPr>
        <w:t>Business and Operating Priorities</w:t>
      </w:r>
    </w:p>
    <w:p>
      <w:pPr>
        <w:spacing w:after="80"/>
        <w:ind w:left="288" w:hanging="230"/>
      </w:pPr>
      <w:r>
        <w:t xml:space="preserve">• </w:t>
      </w:r>
      <w:r>
        <w:t>What operating metrics (comps, traffic, margin) are under the most pressure right now?</w:t>
      </w:r>
    </w:p>
    <w:p>
      <w:pPr>
        <w:spacing w:after="80"/>
        <w:ind w:left="288" w:hanging="230"/>
      </w:pPr>
      <w:r>
        <w:t xml:space="preserve">• </w:t>
      </w:r>
      <w:r>
        <w:t>What is driving any current technology or vendor evaluation, if one exists?</w:t>
      </w:r>
    </w:p>
    <w:p>
      <w:pPr>
        <w:jc w:val="left"/>
      </w:pPr>
      <w:r>
        <w:rPr>
          <w:b/>
          <w:color w:val="5A5A5A"/>
          <w:sz w:val="18"/>
        </w:rPr>
        <w:t>Loyalty and Digital</w:t>
      </w:r>
    </w:p>
    <w:p>
      <w:pPr>
        <w:spacing w:after="80"/>
        <w:ind w:left="288" w:hanging="230"/>
      </w:pPr>
      <w:r>
        <w:t xml:space="preserve">• </w:t>
      </w:r>
      <w:r>
        <w:t>What loyalty platform is currently in use, if any?</w:t>
      </w:r>
    </w:p>
    <w:p>
      <w:pPr>
        <w:spacing w:after="80"/>
        <w:ind w:left="288" w:hanging="230"/>
      </w:pPr>
      <w:r>
        <w:t xml:space="preserve">• </w:t>
      </w:r>
      <w:r>
        <w:t>What percentage of transactions come through loyalty or digital channels?</w:t>
      </w:r>
    </w:p>
    <w:p>
      <w:pPr>
        <w:spacing w:after="80"/>
        <w:ind w:left="288" w:hanging="230"/>
      </w:pPr>
      <w:r>
        <w:t xml:space="preserve">• </w:t>
      </w:r>
      <w:r>
        <w:t>What are the current app, online-ordering, and delivery platforms?</w:t>
      </w:r>
    </w:p>
    <w:p>
      <w:pPr>
        <w:spacing w:after="80"/>
        <w:ind w:left="288" w:hanging="230"/>
      </w:pPr>
      <w:r>
        <w:t xml:space="preserve">• </w:t>
      </w:r>
      <w:r>
        <w:t>Who owns digital engagement and customer data internally?</w:t>
      </w:r>
    </w:p>
    <w:p>
      <w:pPr>
        <w:jc w:val="left"/>
      </w:pPr>
      <w:r>
        <w:rPr>
          <w:b/>
          <w:color w:val="5A5A5A"/>
          <w:sz w:val="18"/>
        </w:rPr>
        <w:t>Payments</w:t>
      </w:r>
    </w:p>
    <w:p>
      <w:pPr>
        <w:spacing w:after="80"/>
        <w:ind w:left="288" w:hanging="230"/>
      </w:pPr>
      <w:r>
        <w:t xml:space="preserve">• </w:t>
      </w:r>
      <w:r>
        <w:t>Is there a single payments gateway/acquirer, or a fragmented setup across channels?</w:t>
      </w:r>
    </w:p>
    <w:p>
      <w:pPr>
        <w:spacing w:after="80"/>
        <w:ind w:left="288" w:hanging="230"/>
      </w:pPr>
      <w:r>
        <w:t xml:space="preserve">• </w:t>
      </w:r>
      <w:r>
        <w:t>What is the term, channel scope, gateway/acquiring coverage, and commercial structure of the Worldpay extension signed September 3, 2026?</w:t>
      </w:r>
    </w:p>
    <w:p>
      <w:pPr>
        <w:spacing w:after="80"/>
        <w:ind w:left="288" w:hanging="230"/>
      </w:pPr>
      <w:r>
        <w:t xml:space="preserve">• </w:t>
      </w:r>
      <w:r>
        <w:t>Are there known pain points (fees, chargebacks, fraud, reliability)?</w:t>
      </w:r>
    </w:p>
    <w:p>
      <w:pPr>
        <w:jc w:val="left"/>
      </w:pPr>
      <w:r>
        <w:rPr>
          <w:b/>
          <w:color w:val="5A5A5A"/>
          <w:sz w:val="18"/>
        </w:rPr>
        <w:t>Restaurant Technology</w:t>
      </w:r>
    </w:p>
    <w:p>
      <w:pPr>
        <w:spacing w:after="80"/>
        <w:ind w:left="288" w:hanging="230"/>
      </w:pPr>
      <w:r>
        <w:t xml:space="preserve">• </w:t>
      </w:r>
      <w:r>
        <w:t>What POS system is currently deployed?</w:t>
      </w:r>
    </w:p>
    <w:p>
      <w:pPr>
        <w:spacing w:after="80"/>
        <w:ind w:left="288" w:hanging="230"/>
      </w:pPr>
      <w:r>
        <w:t xml:space="preserve">• </w:t>
      </w:r>
      <w:r>
        <w:t>What hardware is installed, and is there a known refresh or support deadline?</w:t>
      </w:r>
    </w:p>
    <w:p>
      <w:pPr>
        <w:spacing w:after="80"/>
        <w:ind w:left="288" w:hanging="230"/>
      </w:pPr>
      <w:r>
        <w:t xml:space="preserve">• </w:t>
      </w:r>
      <w:r>
        <w:t>What systems handle KDS, back office, inventory, and labor management?</w:t>
      </w:r>
    </w:p>
    <w:p>
      <w:pPr>
        <w:spacing w:after="80"/>
        <w:ind w:left="288" w:hanging="230"/>
      </w:pPr>
      <w:r>
        <w:t xml:space="preserve">• </w:t>
      </w:r>
      <w:r>
        <w:t>Are there known integration or data-quality issues across systems?</w:t>
      </w:r>
    </w:p>
    <w:p>
      <w:pPr>
        <w:spacing w:after="80"/>
        <w:ind w:left="288" w:hanging="230"/>
      </w:pPr>
      <w:r>
        <w:t xml:space="preserve">• </w:t>
      </w:r>
      <w:r>
        <w:t>What is the current source of truth for Del Taco menu data, and do the legacy NCR/MenuLink integration constraints still exist?</w:t>
      </w:r>
    </w:p>
    <w:p>
      <w:pPr>
        <w:jc w:val="left"/>
      </w:pPr>
      <w:r>
        <w:rPr>
          <w:b/>
          <w:color w:val="5A5A5A"/>
          <w:sz w:val="18"/>
        </w:rPr>
        <w:t>Decision Process</w:t>
      </w:r>
    </w:p>
    <w:p>
      <w:pPr>
        <w:spacing w:after="80"/>
        <w:ind w:left="288" w:hanging="230"/>
      </w:pPr>
      <w:r>
        <w:t xml:space="preserve">• </w:t>
      </w:r>
      <w:r>
        <w:t>Who owns technology strategy and vendor decisions?</w:t>
      </w:r>
    </w:p>
    <w:p>
      <w:pPr>
        <w:spacing w:after="80"/>
        <w:ind w:left="288" w:hanging="230"/>
      </w:pPr>
      <w:r>
        <w:t xml:space="preserve">• </w:t>
      </w:r>
      <w:r>
        <w:t>Who owns loyalty, payments, and digital commerce internally?</w:t>
      </w:r>
    </w:p>
    <w:p>
      <w:pPr>
        <w:spacing w:after="80"/>
        <w:ind w:left="288" w:hanging="230"/>
      </w:pPr>
      <w:r>
        <w:t xml:space="preserve">• </w:t>
      </w:r>
      <w:r>
        <w:t>What are the next known renewal, budgeting, or vendor-review dates?</w:t>
      </w:r>
    </w:p>
    <w:p>
      <w:pPr>
        <w:spacing w:after="80"/>
        <w:ind w:left="288" w:hanging="230"/>
      </w:pPr>
      <w:r>
        <w:t xml:space="preserve">• </w:t>
      </w:r>
      <w:r>
        <w:t>Do Rob Stevens or Dana King retain any influence or relationships relevant to Del Taco after the divestiture, and who replaced their former responsibilities under Yadav?</w:t>
      </w:r>
    </w:p>
    <w:p>
      <w:pPr>
        <w:jc w:val="left"/>
      </w:pPr>
      <w:r>
        <w:rPr>
          <w:b/>
          <w:color w:val="5A5A5A"/>
          <w:sz w:val="18"/>
        </w:rPr>
        <w:t>Digital Menu Boards</w:t>
      </w:r>
    </w:p>
    <w:p>
      <w:pPr>
        <w:spacing w:after="80"/>
        <w:ind w:left="288" w:hanging="230"/>
      </w:pPr>
      <w:r>
        <w:t xml:space="preserve">• </w:t>
      </w:r>
      <w:r>
        <w:t>Does the former stopgap concept—static boards with an approximately 32-inch digital screen in the center—remain relevant under Yadav, or has the DMB strategy changed?</w:t>
      </w:r>
    </w:p>
    <w:p>
      <w:pPr>
        <w:pStyle w:val="Heading1"/>
      </w:pPr>
      <w:r>
        <w:t>Brand Profile</w:t>
      </w:r>
    </w:p>
    <w:p>
      <w:pPr>
        <w:spacing w:after="80"/>
        <w:ind w:left="288" w:hanging="230"/>
      </w:pPr>
      <w:r>
        <w:t xml:space="preserve">• </w:t>
      </w:r>
      <w:r>
        <w:t>Founded: 1964</w:t>
      </w:r>
    </w:p>
    <w:p>
      <w:pPr>
        <w:spacing w:after="80"/>
        <w:ind w:left="288" w:hanging="230"/>
      </w:pPr>
      <w:r>
        <w:t xml:space="preserve">• </w:t>
      </w:r>
      <w:r>
        <w:t>Headquarters: Lake Forest, California</w:t>
      </w:r>
    </w:p>
    <w:p>
      <w:pPr>
        <w:spacing w:after="80"/>
        <w:ind w:left="288" w:hanging="230"/>
      </w:pPr>
      <w:r>
        <w:t xml:space="preserve">• </w:t>
      </w:r>
      <w:r>
        <w:t>Segment: Mexican quick-service restaurant</w:t>
      </w:r>
    </w:p>
    <w:p>
      <w:pPr>
        <w:spacing w:after="80"/>
        <w:ind w:left="288" w:hanging="230"/>
      </w:pPr>
      <w:r>
        <w:t xml:space="preserve">• </w:t>
      </w:r>
      <w:r>
        <w:t>Footprint: 576 restaurants at FY2025 year-end: 132 company-operated and 444 franchised</w:t>
      </w:r>
    </w:p>
    <w:p>
      <w:pPr>
        <w:spacing w:after="80"/>
        <w:ind w:left="288" w:hanging="230"/>
      </w:pPr>
      <w:r>
        <w:t xml:space="preserve">• </w:t>
      </w:r>
      <w:r>
        <w:t>Ownership: Yadav Enterprises; acquisition closed December 22, 2025</w:t>
      </w:r>
    </w:p>
    <w:p>
      <w:pPr>
        <w:spacing w:after="80"/>
        <w:ind w:left="288" w:hanging="230"/>
      </w:pPr>
      <w:r>
        <w:t xml:space="preserve">• </w:t>
      </w:r>
      <w:r>
        <w:t>Geography: United States; current live store count requires reconciliation</w:t>
      </w:r>
    </w:p>
    <w:p>
      <w:pPr>
        <w:spacing w:after="80"/>
        <w:ind w:left="288" w:hanging="230"/>
      </w:pPr>
      <w:r>
        <w:t xml:space="preserve">• </w:t>
      </w:r>
      <w:r>
        <w:t>Differentiation: Mexican QSR combining drive-thru convenience, value positioning, and a predominantly franchised operating model</w:t>
      </w:r>
    </w:p>
    <w:p>
      <w:pPr>
        <w:spacing w:after="80"/>
        <w:ind w:left="288" w:hanging="230"/>
      </w:pPr>
      <w:r>
        <w:t xml:space="preserve">• </w:t>
      </w:r>
      <w:r>
        <w:t>Competitive set: Taco Bell, Taco John's, Qdoba, Chipotle, and regional Mexican QSR concepts</w:t>
      </w:r>
    </w:p>
    <w:p>
      <w:pPr>
        <w:pStyle w:val="Heading1"/>
      </w:pPr>
      <w:r>
        <w:t>Leadership</w:t>
      </w:r>
    </w:p>
    <w:p>
      <w:pPr>
        <w:pStyle w:val="Heading2"/>
      </w:pPr>
      <w:r>
        <w:t>Confirmed</w:t>
      </w:r>
    </w:p>
    <w:p>
      <w:pPr>
        <w:spacing w:after="80"/>
        <w:ind w:left="288" w:hanging="230"/>
      </w:pPr>
      <w:r>
        <w:t xml:space="preserve">• </w:t>
      </w:r>
      <w:r>
        <w:t>Anil Yadav — Chief Executive Officer, Yadav Enterprises. Senior owner-executive publicly accountable for Del Taco's turnaround and scalability.</w:t>
      </w:r>
    </w:p>
    <w:p>
      <w:pPr>
        <w:spacing w:after="80"/>
        <w:ind w:left="288" w:hanging="230"/>
      </w:pPr>
      <w:r>
        <w:t xml:space="preserve">• </w:t>
      </w:r>
      <w:r>
        <w:t>Ulyses Camacho — Chief Transformation Officer, Del Taco / Yadav Enterprises. Leads unit execution, cost optimization, systems modernization, and scalable growth.</w:t>
      </w:r>
    </w:p>
    <w:p>
      <w:pPr>
        <w:spacing w:after="80"/>
        <w:ind w:left="288" w:hanging="230"/>
      </w:pPr>
      <w:r>
        <w:t xml:space="preserve">• </w:t>
      </w:r>
      <w:r>
        <w:t>Noah Chillingworth — Chief Marketing Officer, Del Taco. Owns brand strategy, menu and promotional marketing, digital and loyalty platforms, and guest insight.</w:t>
      </w:r>
    </w:p>
    <w:p>
      <w:pPr>
        <w:spacing w:after="80"/>
        <w:ind w:left="288" w:hanging="230"/>
      </w:pPr>
      <w:r>
        <w:t xml:space="preserve">• </w:t>
      </w:r>
      <w:r>
        <w:t>Ellen Sasada — Vice President, Supply Chain, Food Safety and Quality Assurance, Del Taco. Relevant to product consistency, vendor performance, operating standards, and supply-chain execution.</w:t>
      </w:r>
    </w:p>
    <w:p>
      <w:pPr>
        <w:pStyle w:val="Heading2"/>
      </w:pPr>
      <w:r>
        <w:t>Reported / Requires Validation</w:t>
      </w:r>
    </w:p>
    <w:p>
      <w:pPr>
        <w:spacing w:after="80"/>
        <w:ind w:left="288" w:hanging="230"/>
      </w:pPr>
      <w:r>
        <w:t xml:space="preserve">• </w:t>
      </w:r>
      <w:r>
        <w:t>Dan Fideli — Priority relationship path. Validate current employer, title, access, and introduction path.</w:t>
      </w:r>
    </w:p>
    <w:p>
      <w:pPr>
        <w:spacing w:after="80"/>
        <w:ind w:left="288" w:hanging="230"/>
      </w:pPr>
      <w:r>
        <w:t xml:space="preserve">• </w:t>
      </w:r>
      <w:r>
        <w:t>Daniel Mears — Reported IT director within the Del Taco technology organization. Introduced to Nick Hulayew by Dean and attended Genius World at Nick's invitation. Validate exact title, reporting line, budget authority, and role in the comprehensive technology review.</w:t>
      </w:r>
    </w:p>
    <w:p>
      <w:pPr>
        <w:spacing w:after="80"/>
        <w:ind w:left="288" w:hanging="230"/>
      </w:pPr>
      <w:r>
        <w:t xml:space="preserve">• </w:t>
      </w:r>
      <w:r>
        <w:t>Dean Kimble — Reported Yadav CTO and Daniel Mears' manager. Nick described Dean as a strong Genius advocate and customer advisory-board member. Validate surname spelling, exact title, scope, and decision authority.</w:t>
      </w:r>
    </w:p>
    <w:p>
      <w:pPr>
        <w:spacing w:after="80"/>
        <w:ind w:left="288" w:hanging="230"/>
      </w:pPr>
      <w:r>
        <w:t xml:space="preserve">• </w:t>
      </w:r>
      <w:r>
        <w:t>Dana King — Former Del Taco technology leader, now reported at Jack in the Box. Reported to have moved to Jack in the Box; confirm current role and residual Del Taco influence.</w:t>
      </w:r>
    </w:p>
    <w:p>
      <w:pPr>
        <w:spacing w:after="80"/>
        <w:ind w:left="288" w:hanging="230"/>
      </w:pPr>
      <w:r>
        <w:t xml:space="preserve">• </w:t>
      </w:r>
      <w:r>
        <w:t>Rob Stevens — Former Del Taco technology contact; reported Director of Restaurant Technology and Field Service at Jack in the Box. Historical Genius advocate during prior POS and digital-menu-board work. Validate current title and whether he retains any Del Taco influence after the divestiture.</w:t>
      </w:r>
    </w:p>
    <w:p>
      <w:pPr>
        <w:spacing w:after="80"/>
        <w:ind w:left="288" w:hanging="230"/>
      </w:pPr>
      <w:r>
        <w:t xml:space="preserve">• </w:t>
      </w:r>
      <w:r>
        <w:t>Nick Hulayew — Internal Yadav and Del Taco relationship path. Dean introduced Nick to Daniel Mears; Nick invited Daniel to Genius World and agreed to reconnect with him, introduce me, and support future calls and the relationship handoff.</w:t>
      </w:r>
    </w:p>
    <w:p>
      <w:pPr>
        <w:pStyle w:val="Heading1"/>
      </w:pPr>
      <w:r>
        <w:t>Technology Environment</w:t>
      </w:r>
    </w:p>
    <w:p>
      <w:pPr>
        <w:jc w:val="left"/>
      </w:pPr>
      <w:r>
        <w:rPr>
          <w:i/>
          <w:color w:val="5A5A5A"/>
          <w:sz w:val="18"/>
        </w:rPr>
        <w:t>"Unknown" means reliable evidence was not found. It does not mean the account lacks the system.</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33"/>
        <w:gridCol w:w="2033"/>
        <w:gridCol w:w="2033"/>
        <w:gridCol w:w="2033"/>
        <w:gridCol w:w="2033"/>
      </w:tblGrid>
      <w:tr>
        <w:tc>
          <w:tcPr>
            <w:tcW w:type="dxa" w:w="2033"/>
            <w:vAlign w:val="center"/>
            <w:shd w:fill="17365D"/>
            <w:tcMar>
              <w:top w:w="100" w:type="dxa"/>
              <w:start w:w="110" w:type="dxa"/>
              <w:bottom w:w="100" w:type="dxa"/>
              <w:end w:w="110" w:type="dxa"/>
            </w:tcMar>
          </w:tcPr>
          <w:p>
            <w:r>
              <w:rPr>
                <w:b/>
                <w:color w:val="FFFFFF"/>
                <w:sz w:val="18"/>
              </w:rPr>
              <w:t>Layer</w:t>
            </w:r>
          </w:p>
        </w:tc>
        <w:tc>
          <w:tcPr>
            <w:tcW w:type="dxa" w:w="2033"/>
            <w:vAlign w:val="center"/>
            <w:shd w:fill="17365D"/>
            <w:tcMar>
              <w:top w:w="100" w:type="dxa"/>
              <w:start w:w="110" w:type="dxa"/>
              <w:bottom w:w="100" w:type="dxa"/>
              <w:end w:w="110" w:type="dxa"/>
            </w:tcMar>
          </w:tcPr>
          <w:p>
            <w:r>
              <w:rPr>
                <w:b/>
                <w:color w:val="FFFFFF"/>
                <w:sz w:val="18"/>
              </w:rPr>
              <w:t>Vendor</w:t>
            </w:r>
          </w:p>
        </w:tc>
        <w:tc>
          <w:tcPr>
            <w:tcW w:type="dxa" w:w="2033"/>
            <w:vAlign w:val="center"/>
            <w:shd w:fill="17365D"/>
            <w:tcMar>
              <w:top w:w="100" w:type="dxa"/>
              <w:start w:w="110" w:type="dxa"/>
              <w:bottom w:w="100" w:type="dxa"/>
              <w:end w:w="110" w:type="dxa"/>
            </w:tcMar>
          </w:tcPr>
          <w:p>
            <w:r>
              <w:rPr>
                <w:b/>
                <w:color w:val="FFFFFF"/>
                <w:sz w:val="18"/>
              </w:rPr>
              <w:t>Status</w:t>
            </w:r>
          </w:p>
        </w:tc>
        <w:tc>
          <w:tcPr>
            <w:tcW w:type="dxa" w:w="2033"/>
            <w:vAlign w:val="center"/>
            <w:shd w:fill="17365D"/>
            <w:tcMar>
              <w:top w:w="100" w:type="dxa"/>
              <w:start w:w="110" w:type="dxa"/>
              <w:bottom w:w="100" w:type="dxa"/>
              <w:end w:w="110" w:type="dxa"/>
            </w:tcMar>
          </w:tcPr>
          <w:p>
            <w:r>
              <w:rPr>
                <w:b/>
                <w:color w:val="FFFFFF"/>
                <w:sz w:val="18"/>
              </w:rPr>
              <w:t>Confidence</w:t>
            </w:r>
          </w:p>
        </w:tc>
        <w:tc>
          <w:tcPr>
            <w:tcW w:type="dxa" w:w="2033"/>
            <w:vAlign w:val="center"/>
            <w:shd w:fill="17365D"/>
            <w:tcMar>
              <w:top w:w="100" w:type="dxa"/>
              <w:start w:w="110" w:type="dxa"/>
              <w:bottom w:w="100" w:type="dxa"/>
              <w:end w:w="110" w:type="dxa"/>
            </w:tcMar>
          </w:tcPr>
          <w:p>
            <w:r>
              <w:rPr>
                <w:b/>
                <w:color w:val="FFFFFF"/>
                <w:sz w:val="18"/>
              </w:rPr>
              <w:t>As of</w:t>
            </w:r>
          </w:p>
        </w:tc>
      </w:tr>
      <w:tr>
        <w:tc>
          <w:tcPr>
            <w:tcW w:type="dxa" w:w="2033"/>
            <w:vAlign w:val="center"/>
            <w:tcMar>
              <w:top w:w="100" w:type="dxa"/>
              <w:start w:w="110" w:type="dxa"/>
              <w:bottom w:w="100" w:type="dxa"/>
              <w:end w:w="110" w:type="dxa"/>
            </w:tcMar>
          </w:tcPr>
          <w:p>
            <w:pPr>
              <w:spacing w:after="0"/>
            </w:pPr>
            <w:r>
              <w:rPr>
                <w:sz w:val="17"/>
              </w:rPr>
              <w:t>payments</w:t>
            </w:r>
          </w:p>
        </w:tc>
        <w:tc>
          <w:tcPr>
            <w:tcW w:type="dxa" w:w="2033"/>
            <w:vAlign w:val="center"/>
            <w:tcMar>
              <w:top w:w="100" w:type="dxa"/>
              <w:start w:w="110" w:type="dxa"/>
              <w:bottom w:w="100" w:type="dxa"/>
              <w:end w:w="110" w:type="dxa"/>
            </w:tcMar>
          </w:tcPr>
          <w:p>
            <w:pPr>
              <w:spacing w:after="0"/>
            </w:pPr>
            <w:r>
              <w:rPr>
                <w:sz w:val="17"/>
              </w:rPr>
              <w:t>Worldpay</w:t>
            </w:r>
          </w:p>
        </w:tc>
        <w:tc>
          <w:tcPr>
            <w:tcW w:type="dxa" w:w="2033"/>
            <w:vAlign w:val="center"/>
            <w:tcMar>
              <w:top w:w="100" w:type="dxa"/>
              <w:start w:w="110" w:type="dxa"/>
              <w:bottom w:w="100" w:type="dxa"/>
              <w:end w:w="110" w:type="dxa"/>
            </w:tcMar>
          </w:tcPr>
          <w:p>
            <w:pPr>
              <w:spacing w:after="0"/>
            </w:pPr>
            <w:r>
              <w:rPr>
                <w:sz w:val="17"/>
              </w:rPr>
              <w:t>contract extension signed</w:t>
            </w:r>
          </w:p>
        </w:tc>
        <w:tc>
          <w:tcPr>
            <w:tcW w:type="dxa" w:w="2033"/>
            <w:vAlign w:val="center"/>
            <w:tcMar>
              <w:top w:w="100" w:type="dxa"/>
              <w:start w:w="110" w:type="dxa"/>
              <w:bottom w:w="100" w:type="dxa"/>
              <w:end w:w="110" w:type="dxa"/>
            </w:tcMar>
          </w:tcPr>
          <w:p>
            <w:pPr>
              <w:spacing w:after="0"/>
            </w:pPr>
            <w:r>
              <w:rPr>
                <w:sz w:val="17"/>
              </w:rPr>
              <w:t>high</w:t>
            </w:r>
          </w:p>
        </w:tc>
        <w:tc>
          <w:tcPr>
            <w:tcW w:type="dxa" w:w="2033"/>
            <w:vAlign w:val="center"/>
            <w:tcMar>
              <w:top w:w="100" w:type="dxa"/>
              <w:start w:w="110" w:type="dxa"/>
              <w:bottom w:w="100" w:type="dxa"/>
              <w:end w:w="110" w:type="dxa"/>
            </w:tcMar>
          </w:tcPr>
          <w:p>
            <w:pPr>
              <w:spacing w:after="0"/>
            </w:pPr>
            <w:r>
              <w:rPr>
                <w:sz w:val="17"/>
              </w:rPr>
              <w:t>2026-09-03</w:t>
            </w:r>
          </w:p>
        </w:tc>
      </w:tr>
      <w:tr>
        <w:tc>
          <w:tcPr>
            <w:tcW w:type="dxa" w:w="2033"/>
            <w:vAlign w:val="center"/>
            <w:tcMar>
              <w:top w:w="100" w:type="dxa"/>
              <w:start w:w="110" w:type="dxa"/>
              <w:bottom w:w="100" w:type="dxa"/>
              <w:end w:w="110" w:type="dxa"/>
            </w:tcMar>
            <w:shd w:fill="F3F6FA"/>
          </w:tcPr>
          <w:p>
            <w:pPr>
              <w:spacing w:after="0"/>
            </w:pPr>
            <w:r>
              <w:rPr>
                <w:sz w:val="17"/>
              </w:rPr>
              <w:t>loyalty / digital ordering</w:t>
            </w:r>
          </w:p>
        </w:tc>
        <w:tc>
          <w:tcPr>
            <w:tcW w:type="dxa" w:w="2033"/>
            <w:vAlign w:val="center"/>
            <w:tcMar>
              <w:top w:w="100" w:type="dxa"/>
              <w:start w:w="110" w:type="dxa"/>
              <w:bottom w:w="100" w:type="dxa"/>
              <w:end w:w="110" w:type="dxa"/>
            </w:tcMar>
            <w:shd w:fill="F3F6FA"/>
          </w:tcPr>
          <w:p>
            <w:pPr>
              <w:spacing w:after="0"/>
            </w:pPr>
            <w:r>
              <w:rPr>
                <w:sz w:val="17"/>
              </w:rPr>
              <w:t>Olo</w:t>
            </w:r>
          </w:p>
        </w:tc>
        <w:tc>
          <w:tcPr>
            <w:tcW w:type="dxa" w:w="2033"/>
            <w:vAlign w:val="center"/>
            <w:tcMar>
              <w:top w:w="100" w:type="dxa"/>
              <w:start w:w="110" w:type="dxa"/>
              <w:bottom w:w="100" w:type="dxa"/>
              <w:end w:w="110" w:type="dxa"/>
            </w:tcMar>
            <w:shd w:fill="F3F6FA"/>
          </w:tcPr>
          <w:p>
            <w:pPr>
              <w:spacing w:after="0"/>
            </w:pPr>
            <w:r>
              <w:rPr>
                <w:sz w:val="17"/>
              </w:rPr>
              <w:t>reported; modules require validation</w:t>
            </w:r>
          </w:p>
        </w:tc>
        <w:tc>
          <w:tcPr>
            <w:tcW w:type="dxa" w:w="2033"/>
            <w:vAlign w:val="center"/>
            <w:tcMar>
              <w:top w:w="100" w:type="dxa"/>
              <w:start w:w="110" w:type="dxa"/>
              <w:bottom w:w="100" w:type="dxa"/>
              <w:end w:w="110" w:type="dxa"/>
            </w:tcMar>
            <w:shd w:fill="F3F6FA"/>
          </w:tcPr>
          <w:p>
            <w:pPr>
              <w:spacing w:after="0"/>
            </w:pPr>
            <w:r>
              <w:rPr>
                <w:sz w:val="17"/>
              </w:rPr>
              <w:t>medium</w:t>
            </w:r>
          </w:p>
        </w:tc>
        <w:tc>
          <w:tcPr>
            <w:tcW w:type="dxa" w:w="2033"/>
            <w:vAlign w:val="center"/>
            <w:tcMar>
              <w:top w:w="100" w:type="dxa"/>
              <w:start w:w="110" w:type="dxa"/>
              <w:bottom w:w="100" w:type="dxa"/>
              <w:end w:w="110" w:type="dxa"/>
            </w:tcMar>
            <w:shd w:fill="F3F6FA"/>
          </w:tcPr>
          <w:p>
            <w:pPr>
              <w:spacing w:after="0"/>
            </w:pPr>
            <w:r>
              <w:rPr>
                <w:sz w:val="17"/>
              </w:rPr>
              <w:t>2026-09-02</w:t>
            </w:r>
          </w:p>
        </w:tc>
      </w:tr>
      <w:tr>
        <w:tc>
          <w:tcPr>
            <w:tcW w:type="dxa" w:w="2033"/>
            <w:vAlign w:val="center"/>
            <w:tcMar>
              <w:top w:w="100" w:type="dxa"/>
              <w:start w:w="110" w:type="dxa"/>
              <w:bottom w:w="100" w:type="dxa"/>
              <w:end w:w="110" w:type="dxa"/>
            </w:tcMar>
          </w:tcPr>
          <w:p>
            <w:pPr>
              <w:spacing w:after="0"/>
            </w:pPr>
            <w:r>
              <w:rPr>
                <w:sz w:val="17"/>
              </w:rPr>
              <w:t>POS / unified commerce</w:t>
            </w:r>
          </w:p>
        </w:tc>
        <w:tc>
          <w:tcPr>
            <w:tcW w:type="dxa" w:w="2033"/>
            <w:vAlign w:val="center"/>
            <w:tcMar>
              <w:top w:w="100" w:type="dxa"/>
              <w:start w:w="110" w:type="dxa"/>
              <w:bottom w:w="100" w:type="dxa"/>
              <w:end w:w="110" w:type="dxa"/>
            </w:tcMar>
          </w:tcPr>
          <w:p>
            <w:pPr>
              <w:spacing w:after="0"/>
            </w:pPr>
            <w:r>
              <w:rPr>
                <w:sz w:val="17"/>
              </w:rPr>
              <w:t>Qu</w:t>
            </w:r>
          </w:p>
        </w:tc>
        <w:tc>
          <w:tcPr>
            <w:tcW w:type="dxa" w:w="2033"/>
            <w:vAlign w:val="center"/>
            <w:tcMar>
              <w:top w:w="100" w:type="dxa"/>
              <w:start w:w="110" w:type="dxa"/>
              <w:bottom w:w="100" w:type="dxa"/>
              <w:end w:w="110" w:type="dxa"/>
            </w:tcMar>
          </w:tcPr>
          <w:p>
            <w:pPr>
              <w:spacing w:after="0"/>
            </w:pPr>
            <w:r>
              <w:rPr>
                <w:sz w:val="17"/>
              </w:rPr>
              <w:t>won the prior Jack in the Box RFP; Del Taco adoption was not confirmed and current Yadav intent remains unknown</w:t>
            </w:r>
          </w:p>
        </w:tc>
        <w:tc>
          <w:tcPr>
            <w:tcW w:type="dxa" w:w="2033"/>
            <w:vAlign w:val="center"/>
            <w:tcMar>
              <w:top w:w="100" w:type="dxa"/>
              <w:start w:w="110" w:type="dxa"/>
              <w:bottom w:w="100" w:type="dxa"/>
              <w:end w:w="110" w:type="dxa"/>
            </w:tcMar>
          </w:tcPr>
          <w:p>
            <w:pPr>
              <w:spacing w:after="0"/>
            </w:pPr>
            <w:r>
              <w:rPr>
                <w:sz w:val="17"/>
              </w:rPr>
              <w:t>medium</w:t>
            </w:r>
          </w:p>
        </w:tc>
        <w:tc>
          <w:tcPr>
            <w:tcW w:type="dxa" w:w="2033"/>
            <w:vAlign w:val="center"/>
            <w:tcMar>
              <w:top w:w="100" w:type="dxa"/>
              <w:start w:w="110" w:type="dxa"/>
              <w:bottom w:w="100" w:type="dxa"/>
              <w:end w:w="110" w:type="dxa"/>
            </w:tcMar>
          </w:tcPr>
          <w:p>
            <w:pPr>
              <w:spacing w:after="0"/>
            </w:pPr>
            <w:r>
              <w:rPr>
                <w:sz w:val="17"/>
              </w:rPr>
              <w:t>2026-09-08</w:t>
            </w:r>
          </w:p>
        </w:tc>
      </w:tr>
      <w:tr>
        <w:tc>
          <w:tcPr>
            <w:tcW w:type="dxa" w:w="2033"/>
            <w:vAlign w:val="center"/>
            <w:tcMar>
              <w:top w:w="100" w:type="dxa"/>
              <w:start w:w="110" w:type="dxa"/>
              <w:bottom w:w="100" w:type="dxa"/>
              <w:end w:w="110" w:type="dxa"/>
            </w:tcMar>
            <w:shd w:fill="F3F6FA"/>
          </w:tcPr>
          <w:p>
            <w:pPr>
              <w:spacing w:after="0"/>
            </w:pPr>
            <w:r>
              <w:rPr>
                <w:sz w:val="17"/>
              </w:rPr>
              <w:t>legacy POS / back office</w:t>
            </w:r>
          </w:p>
        </w:tc>
        <w:tc>
          <w:tcPr>
            <w:tcW w:type="dxa" w:w="2033"/>
            <w:vAlign w:val="center"/>
            <w:tcMar>
              <w:top w:w="100" w:type="dxa"/>
              <w:start w:w="110" w:type="dxa"/>
              <w:bottom w:w="100" w:type="dxa"/>
              <w:end w:w="110" w:type="dxa"/>
            </w:tcMar>
            <w:shd w:fill="F3F6FA"/>
          </w:tcPr>
          <w:p>
            <w:pPr>
              <w:spacing w:after="0"/>
            </w:pPr>
            <w:r>
              <w:rPr>
                <w:sz w:val="17"/>
              </w:rPr>
              <w:t>NCR Aloha / MenuLink</w:t>
            </w:r>
          </w:p>
        </w:tc>
        <w:tc>
          <w:tcPr>
            <w:tcW w:type="dxa" w:w="2033"/>
            <w:vAlign w:val="center"/>
            <w:tcMar>
              <w:top w:w="100" w:type="dxa"/>
              <w:start w:w="110" w:type="dxa"/>
              <w:bottom w:w="100" w:type="dxa"/>
              <w:end w:w="110" w:type="dxa"/>
            </w:tcMar>
            <w:shd w:fill="F3F6FA"/>
          </w:tcPr>
          <w:p>
            <w:pPr>
              <w:spacing w:after="0"/>
            </w:pPr>
            <w:r>
              <w:rPr>
                <w:sz w:val="17"/>
              </w:rPr>
              <w:t>historical; internal account history describes a highly legacy menu structure that was difficult to integrate; current footprint requires validation</w:t>
            </w:r>
          </w:p>
        </w:tc>
        <w:tc>
          <w:tcPr>
            <w:tcW w:type="dxa" w:w="2033"/>
            <w:vAlign w:val="center"/>
            <w:tcMar>
              <w:top w:w="100" w:type="dxa"/>
              <w:start w:w="110" w:type="dxa"/>
              <w:bottom w:w="100" w:type="dxa"/>
              <w:end w:w="110" w:type="dxa"/>
            </w:tcMar>
            <w:shd w:fill="F3F6FA"/>
          </w:tcPr>
          <w:p>
            <w:pPr>
              <w:spacing w:after="0"/>
            </w:pPr>
            <w:r>
              <w:rPr>
                <w:sz w:val="17"/>
              </w:rPr>
              <w:t>medium</w:t>
            </w:r>
          </w:p>
        </w:tc>
        <w:tc>
          <w:tcPr>
            <w:tcW w:type="dxa" w:w="2033"/>
            <w:vAlign w:val="center"/>
            <w:tcMar>
              <w:top w:w="100" w:type="dxa"/>
              <w:start w:w="110" w:type="dxa"/>
              <w:bottom w:w="100" w:type="dxa"/>
              <w:end w:w="110" w:type="dxa"/>
            </w:tcMar>
            <w:shd w:fill="F3F6FA"/>
          </w:tcPr>
          <w:p>
            <w:pPr>
              <w:spacing w:after="0"/>
            </w:pPr>
            <w:r>
              <w:rPr>
                <w:sz w:val="17"/>
              </w:rPr>
              <w:t>2026-09-08</w:t>
            </w:r>
          </w:p>
        </w:tc>
      </w:tr>
      <w:tr>
        <w:tc>
          <w:tcPr>
            <w:tcW w:type="dxa" w:w="2033"/>
            <w:vAlign w:val="center"/>
            <w:tcMar>
              <w:top w:w="100" w:type="dxa"/>
              <w:start w:w="110" w:type="dxa"/>
              <w:bottom w:w="100" w:type="dxa"/>
              <w:end w:w="110" w:type="dxa"/>
            </w:tcMar>
          </w:tcPr>
          <w:p>
            <w:pPr>
              <w:spacing w:after="0"/>
            </w:pPr>
            <w:r>
              <w:rPr>
                <w:sz w:val="17"/>
              </w:rPr>
              <w:t>voice AI</w:t>
            </w:r>
          </w:p>
        </w:tc>
        <w:tc>
          <w:tcPr>
            <w:tcW w:type="dxa" w:w="2033"/>
            <w:vAlign w:val="center"/>
            <w:tcMar>
              <w:top w:w="100" w:type="dxa"/>
              <w:start w:w="110" w:type="dxa"/>
              <w:bottom w:w="100" w:type="dxa"/>
              <w:end w:w="110" w:type="dxa"/>
            </w:tcMar>
          </w:tcPr>
          <w:p>
            <w:pPr>
              <w:spacing w:after="0"/>
            </w:pPr>
            <w:r>
              <w:rPr>
                <w:sz w:val="17"/>
              </w:rPr>
              <w:t>Presto</w:t>
            </w:r>
          </w:p>
        </w:tc>
        <w:tc>
          <w:tcPr>
            <w:tcW w:type="dxa" w:w="2033"/>
            <w:vAlign w:val="center"/>
            <w:tcMar>
              <w:top w:w="100" w:type="dxa"/>
              <w:start w:w="110" w:type="dxa"/>
              <w:bottom w:w="100" w:type="dxa"/>
              <w:end w:w="110" w:type="dxa"/>
            </w:tcMar>
          </w:tcPr>
          <w:p>
            <w:pPr>
              <w:spacing w:after="0"/>
            </w:pPr>
            <w:r>
              <w:rPr>
                <w:sz w:val="17"/>
              </w:rPr>
              <w:t>historical / discontinued</w:t>
            </w:r>
          </w:p>
        </w:tc>
        <w:tc>
          <w:tcPr>
            <w:tcW w:type="dxa" w:w="2033"/>
            <w:vAlign w:val="center"/>
            <w:tcMar>
              <w:top w:w="100" w:type="dxa"/>
              <w:start w:w="110" w:type="dxa"/>
              <w:bottom w:w="100" w:type="dxa"/>
              <w:end w:w="110" w:type="dxa"/>
            </w:tcMar>
          </w:tcPr>
          <w:p>
            <w:pPr>
              <w:spacing w:after="0"/>
            </w:pPr>
            <w:r>
              <w:rPr>
                <w:sz w:val="17"/>
              </w:rPr>
              <w:t>high</w:t>
            </w:r>
          </w:p>
        </w:tc>
        <w:tc>
          <w:tcPr>
            <w:tcW w:type="dxa" w:w="2033"/>
            <w:vAlign w:val="center"/>
            <w:tcMar>
              <w:top w:w="100" w:type="dxa"/>
              <w:start w:w="110" w:type="dxa"/>
              <w:bottom w:w="100" w:type="dxa"/>
              <w:end w:w="110" w:type="dxa"/>
            </w:tcMar>
          </w:tcPr>
          <w:p>
            <w:pPr>
              <w:spacing w:after="0"/>
            </w:pPr>
            <w:r>
              <w:rPr>
                <w:sz w:val="17"/>
              </w:rPr>
              <w:t>2023-11-01</w:t>
            </w:r>
          </w:p>
        </w:tc>
      </w:tr>
      <w:tr>
        <w:tc>
          <w:tcPr>
            <w:tcW w:type="dxa" w:w="2033"/>
            <w:vAlign w:val="center"/>
            <w:tcMar>
              <w:top w:w="100" w:type="dxa"/>
              <w:start w:w="110" w:type="dxa"/>
              <w:bottom w:w="100" w:type="dxa"/>
              <w:end w:w="110" w:type="dxa"/>
            </w:tcMar>
            <w:shd w:fill="F3F6FA"/>
          </w:tcPr>
          <w:p>
            <w:pPr>
              <w:spacing w:after="0"/>
            </w:pPr>
            <w:r>
              <w:rPr>
                <w:sz w:val="17"/>
              </w:rPr>
              <w:t>online_ordering</w:t>
            </w:r>
          </w:p>
        </w:tc>
        <w:tc>
          <w:tcPr>
            <w:tcW w:type="dxa" w:w="2033"/>
            <w:vAlign w:val="center"/>
            <w:tcMar>
              <w:top w:w="100" w:type="dxa"/>
              <w:start w:w="110" w:type="dxa"/>
              <w:bottom w:w="100" w:type="dxa"/>
              <w:end w:w="110" w:type="dxa"/>
            </w:tcMar>
            <w:shd w:fill="F3F6FA"/>
          </w:tcPr>
          <w:p>
            <w:pPr>
              <w:spacing w:after="0"/>
            </w:pPr>
            <w:r>
              <w:rPr>
                <w:sz w:val="17"/>
              </w:rPr>
              <w:t>Del Taco first-party web ordering</w:t>
            </w:r>
          </w:p>
        </w:tc>
        <w:tc>
          <w:tcPr>
            <w:tcW w:type="dxa" w:w="2033"/>
            <w:vAlign w:val="center"/>
            <w:tcMar>
              <w:top w:w="100" w:type="dxa"/>
              <w:start w:w="110" w:type="dxa"/>
              <w:bottom w:w="100" w:type="dxa"/>
              <w:end w:w="110" w:type="dxa"/>
            </w:tcMar>
            <w:shd w:fill="F3F6FA"/>
          </w:tcPr>
          <w:p>
            <w:pPr>
              <w:spacing w:after="0"/>
            </w:pPr>
            <w:r>
              <w:rPr>
                <w:sz w:val="17"/>
              </w:rPr>
              <w:t>confirmed</w:t>
            </w:r>
          </w:p>
        </w:tc>
        <w:tc>
          <w:tcPr>
            <w:tcW w:type="dxa" w:w="2033"/>
            <w:vAlign w:val="center"/>
            <w:tcMar>
              <w:top w:w="100" w:type="dxa"/>
              <w:start w:w="110" w:type="dxa"/>
              <w:bottom w:w="100" w:type="dxa"/>
              <w:end w:w="110" w:type="dxa"/>
            </w:tcMar>
            <w:shd w:fill="F3F6FA"/>
          </w:tcPr>
          <w:p>
            <w:pPr>
              <w:spacing w:after="0"/>
            </w:pPr>
            <w:r>
              <w:rPr>
                <w:sz w:val="17"/>
              </w:rPr>
              <w:t>medium</w:t>
            </w:r>
          </w:p>
        </w:tc>
        <w:tc>
          <w:tcPr>
            <w:tcW w:type="dxa" w:w="2033"/>
            <w:vAlign w:val="center"/>
            <w:tcMar>
              <w:top w:w="100" w:type="dxa"/>
              <w:start w:w="110" w:type="dxa"/>
              <w:bottom w:w="100" w:type="dxa"/>
              <w:end w:w="110" w:type="dxa"/>
            </w:tcMar>
            <w:shd w:fill="F3F6FA"/>
          </w:tcPr>
          <w:p>
            <w:pPr>
              <w:spacing w:after="0"/>
            </w:pPr>
            <w:r>
              <w:rPr>
                <w:sz w:val="17"/>
              </w:rPr>
              <w:t>2026-09-10</w:t>
            </w:r>
          </w:p>
        </w:tc>
      </w:tr>
    </w:tbl>
    <w:p>
      <w:pPr>
        <w:spacing w:after="20"/>
      </w:pPr>
    </w:p>
    <w:p>
      <w:pPr>
        <w:pStyle w:val="Heading1"/>
      </w:pPr>
      <w:r>
        <w:t>Buying Influences</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94"/>
        <w:gridCol w:w="1694"/>
        <w:gridCol w:w="1694"/>
        <w:gridCol w:w="1694"/>
        <w:gridCol w:w="1694"/>
        <w:gridCol w:w="1694"/>
      </w:tblGrid>
      <w:tr>
        <w:tc>
          <w:tcPr>
            <w:tcW w:type="dxa" w:w="1694"/>
            <w:vAlign w:val="center"/>
            <w:shd w:fill="17365D"/>
            <w:tcMar>
              <w:top w:w="100" w:type="dxa"/>
              <w:start w:w="110" w:type="dxa"/>
              <w:bottom w:w="100" w:type="dxa"/>
              <w:end w:w="110" w:type="dxa"/>
            </w:tcMar>
          </w:tcPr>
          <w:p>
            <w:r>
              <w:rPr>
                <w:b/>
                <w:color w:val="FFFFFF"/>
                <w:sz w:val="18"/>
              </w:rPr>
              <w:t>Name</w:t>
            </w:r>
          </w:p>
        </w:tc>
        <w:tc>
          <w:tcPr>
            <w:tcW w:type="dxa" w:w="1694"/>
            <w:vAlign w:val="center"/>
            <w:shd w:fill="17365D"/>
            <w:tcMar>
              <w:top w:w="100" w:type="dxa"/>
              <w:start w:w="110" w:type="dxa"/>
              <w:bottom w:w="100" w:type="dxa"/>
              <w:end w:w="110" w:type="dxa"/>
            </w:tcMar>
          </w:tcPr>
          <w:p>
            <w:r>
              <w:rPr>
                <w:b/>
                <w:color w:val="FFFFFF"/>
                <w:sz w:val="18"/>
              </w:rPr>
              <w:t>Title</w:t>
            </w:r>
          </w:p>
        </w:tc>
        <w:tc>
          <w:tcPr>
            <w:tcW w:type="dxa" w:w="1694"/>
            <w:vAlign w:val="center"/>
            <w:shd w:fill="17365D"/>
            <w:tcMar>
              <w:top w:w="100" w:type="dxa"/>
              <w:start w:w="110" w:type="dxa"/>
              <w:bottom w:w="100" w:type="dxa"/>
              <w:end w:w="110" w:type="dxa"/>
            </w:tcMar>
          </w:tcPr>
          <w:p>
            <w:r>
              <w:rPr>
                <w:b/>
                <w:color w:val="FFFFFF"/>
                <w:sz w:val="18"/>
              </w:rPr>
              <w:t>Role (ETUC)</w:t>
            </w:r>
          </w:p>
        </w:tc>
        <w:tc>
          <w:tcPr>
            <w:tcW w:type="dxa" w:w="1694"/>
            <w:vAlign w:val="center"/>
            <w:shd w:fill="17365D"/>
            <w:tcMar>
              <w:top w:w="100" w:type="dxa"/>
              <w:start w:w="110" w:type="dxa"/>
              <w:bottom w:w="100" w:type="dxa"/>
              <w:end w:w="110" w:type="dxa"/>
            </w:tcMar>
          </w:tcPr>
          <w:p>
            <w:r>
              <w:rPr>
                <w:b/>
                <w:color w:val="FFFFFF"/>
                <w:sz w:val="18"/>
              </w:rPr>
              <w:t>Influence</w:t>
            </w:r>
          </w:p>
        </w:tc>
        <w:tc>
          <w:tcPr>
            <w:tcW w:type="dxa" w:w="1694"/>
            <w:vAlign w:val="center"/>
            <w:shd w:fill="17365D"/>
            <w:tcMar>
              <w:top w:w="100" w:type="dxa"/>
              <w:start w:w="110" w:type="dxa"/>
              <w:bottom w:w="100" w:type="dxa"/>
              <w:end w:w="110" w:type="dxa"/>
            </w:tcMar>
          </w:tcPr>
          <w:p>
            <w:r>
              <w:rPr>
                <w:b/>
                <w:color w:val="FFFFFF"/>
                <w:sz w:val="18"/>
              </w:rPr>
              <w:t>Current Read</w:t>
            </w:r>
          </w:p>
        </w:tc>
        <w:tc>
          <w:tcPr>
            <w:tcW w:type="dxa" w:w="1694"/>
            <w:vAlign w:val="center"/>
            <w:shd w:fill="17365D"/>
            <w:tcMar>
              <w:top w:w="100" w:type="dxa"/>
              <w:start w:w="110" w:type="dxa"/>
              <w:bottom w:w="100" w:type="dxa"/>
              <w:end w:w="110" w:type="dxa"/>
            </w:tcMar>
          </w:tcPr>
          <w:p>
            <w:r>
              <w:rPr>
                <w:b/>
                <w:color w:val="FFFFFF"/>
                <w:sz w:val="18"/>
              </w:rPr>
              <w:t>Next Step</w:t>
            </w:r>
          </w:p>
        </w:tc>
      </w:tr>
      <w:tr>
        <w:tc>
          <w:tcPr>
            <w:tcW w:type="dxa" w:w="1694"/>
            <w:vAlign w:val="center"/>
            <w:tcMar>
              <w:top w:w="100" w:type="dxa"/>
              <w:start w:w="110" w:type="dxa"/>
              <w:bottom w:w="100" w:type="dxa"/>
              <w:end w:w="110" w:type="dxa"/>
            </w:tcMar>
          </w:tcPr>
          <w:p>
            <w:pPr>
              <w:spacing w:after="0"/>
            </w:pPr>
            <w:r>
              <w:rPr>
                <w:sz w:val="17"/>
              </w:rPr>
              <w:t>Daniel Mears</w:t>
            </w:r>
          </w:p>
        </w:tc>
        <w:tc>
          <w:tcPr>
            <w:tcW w:type="dxa" w:w="1694"/>
            <w:vAlign w:val="center"/>
            <w:tcMar>
              <w:top w:w="100" w:type="dxa"/>
              <w:start w:w="110" w:type="dxa"/>
              <w:bottom w:w="100" w:type="dxa"/>
              <w:end w:w="110" w:type="dxa"/>
            </w:tcMar>
          </w:tcPr>
          <w:p>
            <w:pPr>
              <w:spacing w:after="0"/>
            </w:pPr>
            <w:r>
              <w:rPr>
                <w:sz w:val="17"/>
              </w:rPr>
            </w:r>
          </w:p>
        </w:tc>
        <w:tc>
          <w:tcPr>
            <w:tcW w:type="dxa" w:w="1694"/>
            <w:vAlign w:val="center"/>
            <w:tcMar>
              <w:top w:w="100" w:type="dxa"/>
              <w:start w:w="110" w:type="dxa"/>
              <w:bottom w:w="100" w:type="dxa"/>
              <w:end w:w="110" w:type="dxa"/>
            </w:tcMar>
          </w:tcPr>
          <w:p>
            <w:pPr>
              <w:spacing w:after="0"/>
            </w:pPr>
            <w:r>
              <w:rPr>
                <w:sz w:val="17"/>
              </w:rPr>
              <w:t>Unknown</w:t>
            </w:r>
          </w:p>
        </w:tc>
        <w:tc>
          <w:tcPr>
            <w:tcW w:type="dxa" w:w="1694"/>
            <w:vAlign w:val="center"/>
            <w:tcMar>
              <w:top w:w="100" w:type="dxa"/>
              <w:start w:w="110" w:type="dxa"/>
              <w:bottom w:w="100" w:type="dxa"/>
              <w:end w:w="110" w:type="dxa"/>
            </w:tcMar>
          </w:tcPr>
          <w:p>
            <w:pPr>
              <w:spacing w:after="0"/>
            </w:pPr>
            <w:r>
              <w:rPr>
                <w:sz w:val="17"/>
              </w:rPr>
            </w:r>
          </w:p>
        </w:tc>
        <w:tc>
          <w:tcPr>
            <w:tcW w:type="dxa" w:w="1694"/>
            <w:vAlign w:val="center"/>
            <w:tcMar>
              <w:top w:w="100" w:type="dxa"/>
              <w:start w:w="110" w:type="dxa"/>
              <w:bottom w:w="100" w:type="dxa"/>
              <w:end w:w="110" w:type="dxa"/>
            </w:tcMar>
          </w:tcPr>
          <w:p>
            <w:pPr>
              <w:spacing w:after="0"/>
            </w:pPr>
            <w:r>
              <w:rPr>
                <w:sz w:val="17"/>
              </w:rPr>
            </w:r>
          </w:p>
        </w:tc>
        <w:tc>
          <w:tcPr>
            <w:tcW w:type="dxa" w:w="1694"/>
            <w:vAlign w:val="center"/>
            <w:tcMar>
              <w:top w:w="100" w:type="dxa"/>
              <w:start w:w="110" w:type="dxa"/>
              <w:bottom w:w="100" w:type="dxa"/>
              <w:end w:w="110" w:type="dxa"/>
            </w:tcMar>
          </w:tcPr>
          <w:p>
            <w:pPr>
              <w:spacing w:after="0"/>
            </w:pPr>
            <w:r>
              <w:rPr>
                <w:sz w:val="17"/>
              </w:rPr>
            </w:r>
          </w:p>
        </w:tc>
      </w:tr>
      <w:tr>
        <w:tc>
          <w:tcPr>
            <w:tcW w:type="dxa" w:w="1694"/>
            <w:vAlign w:val="center"/>
            <w:tcMar>
              <w:top w:w="100" w:type="dxa"/>
              <w:start w:w="110" w:type="dxa"/>
              <w:bottom w:w="100" w:type="dxa"/>
              <w:end w:w="110" w:type="dxa"/>
            </w:tcMar>
            <w:shd w:fill="F3F6FA"/>
          </w:tcPr>
          <w:p>
            <w:pPr>
              <w:spacing w:after="0"/>
            </w:pPr>
            <w:r>
              <w:rPr>
                <w:sz w:val="17"/>
              </w:rPr>
              <w:t>Dean Kimble</w:t>
            </w:r>
          </w:p>
        </w:tc>
        <w:tc>
          <w:tcPr>
            <w:tcW w:type="dxa" w:w="1694"/>
            <w:vAlign w:val="center"/>
            <w:tcMar>
              <w:top w:w="100" w:type="dxa"/>
              <w:start w:w="110" w:type="dxa"/>
              <w:bottom w:w="100" w:type="dxa"/>
              <w:end w:w="110" w:type="dxa"/>
            </w:tcMar>
            <w:shd w:fill="F3F6FA"/>
          </w:tcPr>
          <w:p>
            <w:pPr>
              <w:spacing w:after="0"/>
            </w:pPr>
            <w:r>
              <w:rPr>
                <w:sz w:val="17"/>
              </w:rPr>
            </w:r>
          </w:p>
        </w:tc>
        <w:tc>
          <w:tcPr>
            <w:tcW w:type="dxa" w:w="1694"/>
            <w:vAlign w:val="center"/>
            <w:tcMar>
              <w:top w:w="100" w:type="dxa"/>
              <w:start w:w="110" w:type="dxa"/>
              <w:bottom w:w="100" w:type="dxa"/>
              <w:end w:w="110" w:type="dxa"/>
            </w:tcMar>
            <w:shd w:fill="F3F6FA"/>
          </w:tcPr>
          <w:p>
            <w:pPr>
              <w:spacing w:after="0"/>
            </w:pPr>
            <w:r>
              <w:rPr>
                <w:sz w:val="17"/>
              </w:rPr>
              <w:t>Unknown</w:t>
            </w:r>
          </w:p>
        </w:tc>
        <w:tc>
          <w:tcPr>
            <w:tcW w:type="dxa" w:w="1694"/>
            <w:vAlign w:val="center"/>
            <w:tcMar>
              <w:top w:w="100" w:type="dxa"/>
              <w:start w:w="110" w:type="dxa"/>
              <w:bottom w:w="100" w:type="dxa"/>
              <w:end w:w="110" w:type="dxa"/>
            </w:tcMar>
            <w:shd w:fill="F3F6FA"/>
          </w:tcPr>
          <w:p>
            <w:pPr>
              <w:spacing w:after="0"/>
            </w:pPr>
            <w:r>
              <w:rPr>
                <w:sz w:val="17"/>
              </w:rPr>
            </w:r>
          </w:p>
        </w:tc>
        <w:tc>
          <w:tcPr>
            <w:tcW w:type="dxa" w:w="1694"/>
            <w:vAlign w:val="center"/>
            <w:tcMar>
              <w:top w:w="100" w:type="dxa"/>
              <w:start w:w="110" w:type="dxa"/>
              <w:bottom w:w="100" w:type="dxa"/>
              <w:end w:w="110" w:type="dxa"/>
            </w:tcMar>
            <w:shd w:fill="F3F6FA"/>
          </w:tcPr>
          <w:p>
            <w:pPr>
              <w:spacing w:after="0"/>
            </w:pPr>
            <w:r>
              <w:rPr>
                <w:sz w:val="17"/>
              </w:rPr>
            </w:r>
          </w:p>
        </w:tc>
        <w:tc>
          <w:tcPr>
            <w:tcW w:type="dxa" w:w="1694"/>
            <w:vAlign w:val="center"/>
            <w:tcMar>
              <w:top w:w="100" w:type="dxa"/>
              <w:start w:w="110" w:type="dxa"/>
              <w:bottom w:w="100" w:type="dxa"/>
              <w:end w:w="110" w:type="dxa"/>
            </w:tcMar>
            <w:shd w:fill="F3F6FA"/>
          </w:tcPr>
          <w:p>
            <w:pPr>
              <w:spacing w:after="0"/>
            </w:pPr>
            <w:r>
              <w:rPr>
                <w:sz w:val="17"/>
              </w:rPr>
            </w:r>
          </w:p>
        </w:tc>
      </w:tr>
      <w:tr>
        <w:tc>
          <w:tcPr>
            <w:tcW w:type="dxa" w:w="1694"/>
            <w:vAlign w:val="center"/>
            <w:tcMar>
              <w:top w:w="100" w:type="dxa"/>
              <w:start w:w="110" w:type="dxa"/>
              <w:bottom w:w="100" w:type="dxa"/>
              <w:end w:w="110" w:type="dxa"/>
            </w:tcMar>
          </w:tcPr>
          <w:p>
            <w:pPr>
              <w:spacing w:after="0"/>
            </w:pPr>
            <w:r>
              <w:rPr>
                <w:sz w:val="17"/>
              </w:rPr>
              <w:t>Dan Fideli</w:t>
            </w:r>
          </w:p>
        </w:tc>
        <w:tc>
          <w:tcPr>
            <w:tcW w:type="dxa" w:w="1694"/>
            <w:vAlign w:val="center"/>
            <w:tcMar>
              <w:top w:w="100" w:type="dxa"/>
              <w:start w:w="110" w:type="dxa"/>
              <w:bottom w:w="100" w:type="dxa"/>
              <w:end w:w="110" w:type="dxa"/>
            </w:tcMar>
          </w:tcPr>
          <w:p>
            <w:pPr>
              <w:spacing w:after="0"/>
            </w:pPr>
            <w:r>
              <w:rPr>
                <w:sz w:val="17"/>
              </w:rPr>
            </w:r>
          </w:p>
        </w:tc>
        <w:tc>
          <w:tcPr>
            <w:tcW w:type="dxa" w:w="1694"/>
            <w:vAlign w:val="center"/>
            <w:tcMar>
              <w:top w:w="100" w:type="dxa"/>
              <w:start w:w="110" w:type="dxa"/>
              <w:bottom w:w="100" w:type="dxa"/>
              <w:end w:w="110" w:type="dxa"/>
            </w:tcMar>
          </w:tcPr>
          <w:p>
            <w:pPr>
              <w:spacing w:after="0"/>
            </w:pPr>
            <w:r>
              <w:rPr>
                <w:sz w:val="17"/>
              </w:rPr>
              <w:t>Unknown</w:t>
            </w:r>
          </w:p>
        </w:tc>
        <w:tc>
          <w:tcPr>
            <w:tcW w:type="dxa" w:w="1694"/>
            <w:vAlign w:val="center"/>
            <w:tcMar>
              <w:top w:w="100" w:type="dxa"/>
              <w:start w:w="110" w:type="dxa"/>
              <w:bottom w:w="100" w:type="dxa"/>
              <w:end w:w="110" w:type="dxa"/>
            </w:tcMar>
          </w:tcPr>
          <w:p>
            <w:pPr>
              <w:spacing w:after="0"/>
            </w:pPr>
            <w:r>
              <w:rPr>
                <w:sz w:val="17"/>
              </w:rPr>
            </w:r>
          </w:p>
        </w:tc>
        <w:tc>
          <w:tcPr>
            <w:tcW w:type="dxa" w:w="1694"/>
            <w:vAlign w:val="center"/>
            <w:tcMar>
              <w:top w:w="100" w:type="dxa"/>
              <w:start w:w="110" w:type="dxa"/>
              <w:bottom w:w="100" w:type="dxa"/>
              <w:end w:w="110" w:type="dxa"/>
            </w:tcMar>
          </w:tcPr>
          <w:p>
            <w:pPr>
              <w:spacing w:after="0"/>
            </w:pPr>
            <w:r>
              <w:rPr>
                <w:sz w:val="17"/>
              </w:rPr>
            </w:r>
          </w:p>
        </w:tc>
        <w:tc>
          <w:tcPr>
            <w:tcW w:type="dxa" w:w="1694"/>
            <w:vAlign w:val="center"/>
            <w:tcMar>
              <w:top w:w="100" w:type="dxa"/>
              <w:start w:w="110" w:type="dxa"/>
              <w:bottom w:w="100" w:type="dxa"/>
              <w:end w:w="110" w:type="dxa"/>
            </w:tcMar>
          </w:tcPr>
          <w:p>
            <w:pPr>
              <w:spacing w:after="0"/>
            </w:pPr>
            <w:r>
              <w:rPr>
                <w:sz w:val="17"/>
              </w:rPr>
            </w:r>
          </w:p>
        </w:tc>
      </w:tr>
      <w:tr>
        <w:tc>
          <w:tcPr>
            <w:tcW w:type="dxa" w:w="1694"/>
            <w:vAlign w:val="center"/>
            <w:tcMar>
              <w:top w:w="100" w:type="dxa"/>
              <w:start w:w="110" w:type="dxa"/>
              <w:bottom w:w="100" w:type="dxa"/>
              <w:end w:w="110" w:type="dxa"/>
            </w:tcMar>
            <w:shd w:fill="F3F6FA"/>
          </w:tcPr>
          <w:p>
            <w:pPr>
              <w:spacing w:after="0"/>
            </w:pPr>
            <w:r>
              <w:rPr>
                <w:sz w:val="17"/>
              </w:rPr>
              <w:t>Rob Stevens</w:t>
            </w:r>
          </w:p>
        </w:tc>
        <w:tc>
          <w:tcPr>
            <w:tcW w:type="dxa" w:w="1694"/>
            <w:vAlign w:val="center"/>
            <w:tcMar>
              <w:top w:w="100" w:type="dxa"/>
              <w:start w:w="110" w:type="dxa"/>
              <w:bottom w:w="100" w:type="dxa"/>
              <w:end w:w="110" w:type="dxa"/>
            </w:tcMar>
            <w:shd w:fill="F3F6FA"/>
          </w:tcPr>
          <w:p>
            <w:pPr>
              <w:spacing w:after="0"/>
            </w:pPr>
            <w:r>
              <w:rPr>
                <w:sz w:val="17"/>
              </w:rPr>
            </w:r>
          </w:p>
        </w:tc>
        <w:tc>
          <w:tcPr>
            <w:tcW w:type="dxa" w:w="1694"/>
            <w:vAlign w:val="center"/>
            <w:tcMar>
              <w:top w:w="100" w:type="dxa"/>
              <w:start w:w="110" w:type="dxa"/>
              <w:bottom w:w="100" w:type="dxa"/>
              <w:end w:w="110" w:type="dxa"/>
            </w:tcMar>
            <w:shd w:fill="F3F6FA"/>
          </w:tcPr>
          <w:p>
            <w:pPr>
              <w:spacing w:after="0"/>
            </w:pPr>
            <w:r>
              <w:rPr>
                <w:sz w:val="17"/>
              </w:rPr>
              <w:t>Unknown</w:t>
            </w:r>
          </w:p>
        </w:tc>
        <w:tc>
          <w:tcPr>
            <w:tcW w:type="dxa" w:w="1694"/>
            <w:vAlign w:val="center"/>
            <w:tcMar>
              <w:top w:w="100" w:type="dxa"/>
              <w:start w:w="110" w:type="dxa"/>
              <w:bottom w:w="100" w:type="dxa"/>
              <w:end w:w="110" w:type="dxa"/>
            </w:tcMar>
            <w:shd w:fill="F3F6FA"/>
          </w:tcPr>
          <w:p>
            <w:pPr>
              <w:spacing w:after="0"/>
            </w:pPr>
            <w:r>
              <w:rPr>
                <w:sz w:val="17"/>
              </w:rPr>
            </w:r>
          </w:p>
        </w:tc>
        <w:tc>
          <w:tcPr>
            <w:tcW w:type="dxa" w:w="1694"/>
            <w:vAlign w:val="center"/>
            <w:tcMar>
              <w:top w:w="100" w:type="dxa"/>
              <w:start w:w="110" w:type="dxa"/>
              <w:bottom w:w="100" w:type="dxa"/>
              <w:end w:w="110" w:type="dxa"/>
            </w:tcMar>
            <w:shd w:fill="F3F6FA"/>
          </w:tcPr>
          <w:p>
            <w:pPr>
              <w:spacing w:after="0"/>
            </w:pPr>
            <w:r>
              <w:rPr>
                <w:sz w:val="17"/>
              </w:rPr>
            </w:r>
          </w:p>
        </w:tc>
        <w:tc>
          <w:tcPr>
            <w:tcW w:type="dxa" w:w="1694"/>
            <w:vAlign w:val="center"/>
            <w:tcMar>
              <w:top w:w="100" w:type="dxa"/>
              <w:start w:w="110" w:type="dxa"/>
              <w:bottom w:w="100" w:type="dxa"/>
              <w:end w:w="110" w:type="dxa"/>
            </w:tcMar>
            <w:shd w:fill="F3F6FA"/>
          </w:tcPr>
          <w:p>
            <w:pPr>
              <w:spacing w:after="0"/>
            </w:pPr>
            <w:r>
              <w:rPr>
                <w:sz w:val="17"/>
              </w:rPr>
            </w:r>
          </w:p>
        </w:tc>
      </w:tr>
      <w:tr>
        <w:tc>
          <w:tcPr>
            <w:tcW w:type="dxa" w:w="1694"/>
            <w:vAlign w:val="center"/>
            <w:tcMar>
              <w:top w:w="100" w:type="dxa"/>
              <w:start w:w="110" w:type="dxa"/>
              <w:bottom w:w="100" w:type="dxa"/>
              <w:end w:w="110" w:type="dxa"/>
            </w:tcMar>
          </w:tcPr>
          <w:p>
            <w:pPr>
              <w:spacing w:after="0"/>
            </w:pPr>
            <w:r>
              <w:rPr>
                <w:sz w:val="17"/>
              </w:rPr>
              <w:t>Nick Hulayew</w:t>
            </w:r>
          </w:p>
        </w:tc>
        <w:tc>
          <w:tcPr>
            <w:tcW w:type="dxa" w:w="1694"/>
            <w:vAlign w:val="center"/>
            <w:tcMar>
              <w:top w:w="100" w:type="dxa"/>
              <w:start w:w="110" w:type="dxa"/>
              <w:bottom w:w="100" w:type="dxa"/>
              <w:end w:w="110" w:type="dxa"/>
            </w:tcMar>
          </w:tcPr>
          <w:p>
            <w:pPr>
              <w:spacing w:after="0"/>
            </w:pPr>
            <w:r>
              <w:rPr>
                <w:sz w:val="17"/>
              </w:rPr>
            </w:r>
          </w:p>
        </w:tc>
        <w:tc>
          <w:tcPr>
            <w:tcW w:type="dxa" w:w="1694"/>
            <w:vAlign w:val="center"/>
            <w:tcMar>
              <w:top w:w="100" w:type="dxa"/>
              <w:start w:w="110" w:type="dxa"/>
              <w:bottom w:w="100" w:type="dxa"/>
              <w:end w:w="110" w:type="dxa"/>
            </w:tcMar>
          </w:tcPr>
          <w:p>
            <w:pPr>
              <w:spacing w:after="0"/>
            </w:pPr>
            <w:r>
              <w:rPr>
                <w:sz w:val="17"/>
              </w:rPr>
              <w:t>Unknown</w:t>
            </w:r>
          </w:p>
        </w:tc>
        <w:tc>
          <w:tcPr>
            <w:tcW w:type="dxa" w:w="1694"/>
            <w:vAlign w:val="center"/>
            <w:tcMar>
              <w:top w:w="100" w:type="dxa"/>
              <w:start w:w="110" w:type="dxa"/>
              <w:bottom w:w="100" w:type="dxa"/>
              <w:end w:w="110" w:type="dxa"/>
            </w:tcMar>
          </w:tcPr>
          <w:p>
            <w:pPr>
              <w:spacing w:after="0"/>
            </w:pPr>
            <w:r>
              <w:rPr>
                <w:sz w:val="17"/>
              </w:rPr>
            </w:r>
          </w:p>
        </w:tc>
        <w:tc>
          <w:tcPr>
            <w:tcW w:type="dxa" w:w="1694"/>
            <w:vAlign w:val="center"/>
            <w:tcMar>
              <w:top w:w="100" w:type="dxa"/>
              <w:start w:w="110" w:type="dxa"/>
              <w:bottom w:w="100" w:type="dxa"/>
              <w:end w:w="110" w:type="dxa"/>
            </w:tcMar>
          </w:tcPr>
          <w:p>
            <w:pPr>
              <w:spacing w:after="0"/>
            </w:pPr>
            <w:r>
              <w:rPr>
                <w:sz w:val="17"/>
              </w:rPr>
            </w:r>
          </w:p>
        </w:tc>
        <w:tc>
          <w:tcPr>
            <w:tcW w:type="dxa" w:w="1694"/>
            <w:vAlign w:val="center"/>
            <w:tcMar>
              <w:top w:w="100" w:type="dxa"/>
              <w:start w:w="110" w:type="dxa"/>
              <w:bottom w:w="100" w:type="dxa"/>
              <w:end w:w="110" w:type="dxa"/>
            </w:tcMar>
          </w:tcPr>
          <w:p>
            <w:pPr>
              <w:spacing w:after="0"/>
            </w:pPr>
            <w:r>
              <w:rPr>
                <w:sz w:val="17"/>
              </w:rPr>
            </w:r>
          </w:p>
        </w:tc>
      </w:tr>
    </w:tbl>
    <w:p>
      <w:pPr>
        <w:spacing w:after="20"/>
      </w:pPr>
    </w:p>
    <w:p>
      <w:pPr>
        <w:pStyle w:val="Heading1"/>
      </w:pPr>
      <w:r>
        <w:t>Account Strategy</w:t>
      </w:r>
    </w:p>
    <w:p>
      <w:r>
        <w:t>I will pursue Del Taco through one coordinated Worldpay/Genius motion led by Maggie Lenhart's trusted Worldpay relationship and Nick Hulayew's direct path to Daniel Mears; we will not run parallel outreach. The immediate objective is to convert Nick's promised introduction and Maggie's follow-up into a qualified discovery meeting focused on Project Sunrise and the reported comprehensive review of payments, digital menu boards, POS hardware, and POS software. I will lead with business and operating outcomes—execution consistency, faster menu and price changes, reduced capital burden, and practical modernization—not a generic core-POS replacement pitch. I will use the Pollo Tropical NCR CX-5 retrofit as evidence that Genius may reuse existing hardware and reduce near-term capital requirements. DMB is the likely first wedge while I qualify the broader platform opportunity in parallel. Before advancing a commercial position, I need to verify Daniel's and Dean's authority, the review's stage, governance, budget and timetable, the deployed NCR/Qu estate, hardware refresh timing, DMB requirements, menu-data and integration constraints, and the scope of the signed Worldpay extension. I will treat the reported Anil Yadav–Qu investment relationship as unconfirmed competitive intelligence and never present it externally as fact. My next decision gate is whether direct customer discovery confirms a real, funded modernization event with a credible Genius wedge and an accountable buyer; if not, I will narrow, park, or stop the motion.</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Del Taco Account Plan  |  Internal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 Taco Account Plan</dc:title>
  <dc:subject>Top of funnel account strategy and qualification plan</dc:subject>
  <dc:creator>Todd Vahlsing</dc:creator>
  <cp:keywords/>
  <dc:description>generated by python-docx</dc:description>
  <cp:lastModifiedBy/>
  <cp:revision>1</cp:revision>
  <dcterms:created xsi:type="dcterms:W3CDTF">2013-12-23T23:15:00Z</dcterms:created>
  <dcterms:modified xsi:type="dcterms:W3CDTF">2013-12-23T23:15:00Z</dcterms:modified>
  <cp:category/>
</cp:coreProperties>
</file>