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80"/>
      </w:pPr>
      <w:r>
        <w:rPr>
          <w:rFonts w:ascii="Arial" w:hAnsi="Arial"/>
          <w:b/>
          <w:i w:val="0"/>
          <w:color w:val="00A6D6"/>
          <w:sz w:val="18"/>
        </w:rPr>
        <w:t>PRODUCT PORTFOLIO MAP</w:t>
      </w:r>
    </w:p>
    <w:p>
      <w:pPr>
        <w:spacing w:after="200"/>
      </w:pPr>
      <w:r>
        <w:rPr>
          <w:rFonts w:ascii="Arial" w:hAnsi="Arial"/>
          <w:b/>
          <w:i w:val="0"/>
          <w:color w:val="14233B"/>
          <w:sz w:val="62"/>
        </w:rPr>
        <w:t>Genius restaurant</w:t>
        <w:br/>
        <w:t>technology</w:t>
      </w:r>
    </w:p>
    <w:p>
      <w:pPr>
        <w:spacing w:after="440"/>
      </w:pPr>
      <w:r>
        <w:rPr>
          <w:rFonts w:ascii="Arial" w:hAnsi="Arial"/>
          <w:b/>
          <w:i w:val="0"/>
          <w:color w:val="2764FF"/>
          <w:sz w:val="34"/>
        </w:rPr>
        <w:t>McDonald’s capability overview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216"/>
      </w:tblGrid>
      <w:tr>
        <w:tc>
          <w:tcPr>
            <w:tcW w:type="dxa" w:w="5083"/>
            <w:shd w:fill="2764FF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083"/>
            <w:shd w:fill="EAF0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/>
                <w:b/>
                <w:i w:val="0"/>
                <w:color w:val="14233B"/>
                <w:sz w:val="18"/>
              </w:rPr>
              <w:t>One connected restaurant technology portfolio</w:t>
              <w:br/>
            </w:r>
            <w:r>
              <w:rPr>
                <w:rFonts w:ascii="Arial" w:hAnsi="Arial"/>
                <w:b w:val="0"/>
                <w:i w:val="0"/>
                <w:color w:val="1D2939"/>
                <w:sz w:val="18"/>
              </w:rPr>
              <w:t>Genius brings enterprise commerce, kitchen operations, digital experience, drive-thru, self-service, purpose-built hardware, payments and back-office capabilities together within a flexible platform.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6912"/>
      </w:tblGrid>
      <w:t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rPr>
                <w:rFonts w:ascii="Arial" w:hAnsi="Arial"/>
                <w:b/>
                <w:i w:val="0"/>
                <w:color w:val="14233B"/>
                <w:sz w:val="17"/>
              </w:rPr>
              <w:t>Prepared for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rPr>
                <w:rFonts w:ascii="Arial" w:hAnsi="Arial"/>
                <w:b w:val="0"/>
                <w:i w:val="0"/>
                <w:color w:val="1D2939"/>
                <w:sz w:val="17"/>
              </w:rPr>
              <w:t>Jeff Coffland</w:t>
            </w:r>
          </w:p>
        </w:tc>
      </w:tr>
      <w:t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r>
              <w:rPr>
                <w:rFonts w:ascii="Arial" w:hAnsi="Arial"/>
                <w:b/>
                <w:i w:val="0"/>
                <w:color w:val="14233B"/>
                <w:sz w:val="17"/>
              </w:rPr>
              <w:t>As of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1D2939"/>
                <w:sz w:val="17"/>
              </w:rPr>
              <w:t>August 12, 2026</w:t>
            </w:r>
          </w:p>
        </w:tc>
      </w:tr>
      <w:t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rPr>
                <w:rFonts w:ascii="Arial" w:hAnsi="Arial"/>
                <w:b/>
                <w:i w:val="0"/>
                <w:color w:val="14233B"/>
                <w:sz w:val="17"/>
              </w:rPr>
              <w:t>Company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rPr>
                <w:rFonts w:ascii="Arial" w:hAnsi="Arial"/>
                <w:b w:val="0"/>
                <w:i w:val="0"/>
                <w:color w:val="1D2939"/>
                <w:sz w:val="17"/>
              </w:rPr>
              <w:t>Global Payments</w:t>
            </w:r>
          </w:p>
        </w:tc>
      </w:tr>
    </w:tbl>
    <w:p>
      <w:pPr>
        <w:pStyle w:val="Heading2"/>
        <w:keepNext/>
      </w:pPr>
      <w:r>
        <w:t>Portfolio at a glance</w:t>
      </w:r>
    </w:p>
    <w:p>
      <w:pPr>
        <w:pStyle w:val="ListBullet"/>
        <w:spacing w:after="50"/>
      </w:pPr>
      <w:r>
        <w:rPr>
          <w:rFonts w:ascii="Arial" w:hAnsi="Arial"/>
          <w:b w:val="0"/>
          <w:i w:val="0"/>
          <w:color w:val="1D2939"/>
          <w:sz w:val="18"/>
        </w:rPr>
        <w:t>Genius POS, Kitchen, Digital Menu Board, Drive Thru, Kiosk, Hardware, Payments and Back Office.</w:t>
      </w:r>
    </w:p>
    <w:p>
      <w:pPr>
        <w:pStyle w:val="ListBullet"/>
        <w:spacing w:after="50"/>
      </w:pPr>
      <w:r>
        <w:rPr>
          <w:rFonts w:ascii="Arial" w:hAnsi="Arial"/>
          <w:b w:val="0"/>
          <w:i w:val="0"/>
          <w:color w:val="1D2939"/>
          <w:sz w:val="18"/>
        </w:rPr>
        <w:t>Each entry summarizes product heritage, capabilities, relevance to McDonald’s and selected experience.</w:t>
      </w:r>
    </w:p>
    <w:p>
      <w:pPr>
        <w:pStyle w:val="ListBullet"/>
        <w:spacing w:after="50"/>
      </w:pPr>
      <w:r>
        <w:rPr>
          <w:rFonts w:ascii="Arial" w:hAnsi="Arial"/>
          <w:b w:val="0"/>
          <w:i w:val="0"/>
          <w:color w:val="1D2939"/>
          <w:sz w:val="18"/>
        </w:rPr>
        <w:t>CosMc’s is presented first where it provides the most directly relevant experience.</w:t>
      </w:r>
    </w:p>
    <w:p>
      <w:r>
        <w:br w:type="page"/>
      </w:r>
    </w:p>
    <w:p>
      <w:pPr>
        <w:keepNext/>
        <w:spacing w:after="40"/>
      </w:pPr>
      <w:r>
        <w:rPr>
          <w:rFonts w:ascii="Arial" w:hAnsi="Arial"/>
          <w:b/>
          <w:i w:val="0"/>
          <w:color w:val="00A6D6"/>
          <w:sz w:val="16"/>
        </w:rPr>
        <w:t>PRODUCT MAP 1 OF 5</w:t>
      </w:r>
    </w:p>
    <w:p>
      <w:pPr>
        <w:pStyle w:val="Heading1"/>
        <w:keepNext/>
      </w:pPr>
      <w:r>
        <w:t>Commerce and kitchen operations</w:t>
      </w:r>
    </w:p>
    <w:p>
      <w:pPr>
        <w:keepNext/>
        <w:spacing w:before="140" w:after="60"/>
      </w:pPr>
      <w:r>
        <w:rPr>
          <w:rFonts w:ascii="Arial" w:hAnsi="Arial"/>
          <w:b/>
          <w:i w:val="0"/>
          <w:color w:val="14233B"/>
          <w:sz w:val="26"/>
        </w:rPr>
        <w:t>Genius POS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7517"/>
      </w:tblGrid>
      <w:tr>
        <w:tc>
          <w:tcPr>
            <w:tcW w:type="dxa" w:w="1843"/>
            <w:tcMar>
              <w:top w:w="70" w:type="dxa"/>
              <w:start w:w="95" w:type="dxa"/>
              <w:bottom w:w="70" w:type="dxa"/>
              <w:end w:w="95" w:type="dxa"/>
            </w:tcMar>
            <w:vAlign w:val="top"/>
            <w:shd w:fill="F4F6F8"/>
          </w:tcPr>
          <w:p>
            <w:r>
              <w:rPr>
                <w:rFonts w:ascii="Arial" w:hAnsi="Arial"/>
                <w:b/>
                <w:i w:val="0"/>
                <w:color w:val="14233B"/>
                <w:sz w:val="16"/>
              </w:rPr>
              <w:t>Heritage</w:t>
            </w:r>
          </w:p>
        </w:tc>
        <w:tc>
          <w:tcPr>
            <w:tcW w:type="dxa" w:w="7517"/>
            <w:tcMar>
              <w:top w:w="70" w:type="dxa"/>
              <w:start w:w="95" w:type="dxa"/>
              <w:bottom w:w="70" w:type="dxa"/>
              <w:end w:w="95" w:type="dxa"/>
            </w:tcMar>
            <w:vAlign w:val="top"/>
            <w:shd w:fill="FFFFFF"/>
          </w:tcPr>
          <w:p>
            <w:r>
              <w:rPr>
                <w:rFonts w:ascii="Arial" w:hAnsi="Arial"/>
                <w:b w:val="0"/>
                <w:i w:val="0"/>
                <w:color w:val="1D2939"/>
                <w:sz w:val="16"/>
              </w:rPr>
              <w:t>Xenial enterprise POS and Xenial Ordering, now part of the Genius Cloud portfolio.</w:t>
            </w:r>
          </w:p>
        </w:tc>
      </w:tr>
      <w:tr>
        <w:tc>
          <w:tcPr>
            <w:tcW w:type="dxa" w:w="1843"/>
            <w:tcMar>
              <w:top w:w="70" w:type="dxa"/>
              <w:start w:w="95" w:type="dxa"/>
              <w:bottom w:w="70" w:type="dxa"/>
              <w:end w:w="95" w:type="dxa"/>
            </w:tcMar>
            <w:vAlign w:val="top"/>
            <w:shd w:fill="E9EDF2"/>
          </w:tcPr>
          <w:p>
            <w:r>
              <w:rPr>
                <w:rFonts w:ascii="Arial" w:hAnsi="Arial"/>
                <w:b/>
                <w:i w:val="0"/>
                <w:color w:val="14233B"/>
                <w:sz w:val="16"/>
              </w:rPr>
              <w:t>Capabilities</w:t>
            </w:r>
          </w:p>
        </w:tc>
        <w:tc>
          <w:tcPr>
            <w:tcW w:type="dxa" w:w="7517"/>
            <w:tcMar>
              <w:top w:w="70" w:type="dxa"/>
              <w:start w:w="95" w:type="dxa"/>
              <w:bottom w:w="70" w:type="dxa"/>
              <w:end w:w="95" w:type="dxa"/>
            </w:tcMar>
            <w:vAlign w:val="top"/>
            <w:shd w:fill="FAFBFC"/>
          </w:tcPr>
          <w:p>
            <w:r>
              <w:rPr>
                <w:rFonts w:ascii="Arial" w:hAnsi="Arial"/>
                <w:b w:val="0"/>
                <w:i w:val="0"/>
                <w:color w:val="1D2939"/>
                <w:sz w:val="16"/>
              </w:rPr>
              <w:t>Cloud enterprise POS with centralized management, real-time synchronization, device and operating-system flexibility, rapid terminal failover and offline operation for up to 30 days.</w:t>
            </w:r>
          </w:p>
        </w:tc>
      </w:tr>
      <w:tr>
        <w:tc>
          <w:tcPr>
            <w:tcW w:type="dxa" w:w="1843"/>
            <w:tcMar>
              <w:top w:w="70" w:type="dxa"/>
              <w:start w:w="95" w:type="dxa"/>
              <w:bottom w:w="70" w:type="dxa"/>
              <w:end w:w="95" w:type="dxa"/>
            </w:tcMar>
            <w:vAlign w:val="top"/>
            <w:shd w:fill="F4F6F8"/>
          </w:tcPr>
          <w:p>
            <w:r>
              <w:rPr>
                <w:rFonts w:ascii="Arial" w:hAnsi="Arial"/>
                <w:b/>
                <w:i w:val="0"/>
                <w:color w:val="14233B"/>
                <w:sz w:val="16"/>
              </w:rPr>
              <w:t>McDonald’s relevance</w:t>
            </w:r>
          </w:p>
        </w:tc>
        <w:tc>
          <w:tcPr>
            <w:tcW w:type="dxa" w:w="7517"/>
            <w:tcMar>
              <w:top w:w="70" w:type="dxa"/>
              <w:start w:w="95" w:type="dxa"/>
              <w:bottom w:w="70" w:type="dxa"/>
              <w:end w:w="95" w:type="dxa"/>
            </w:tcMar>
            <w:vAlign w:val="top"/>
            <w:shd w:fill="FFFFFF"/>
          </w:tcPr>
          <w:p>
            <w:r>
              <w:rPr>
                <w:rFonts w:ascii="Arial" w:hAnsi="Arial"/>
                <w:b w:val="0"/>
                <w:i w:val="0"/>
                <w:color w:val="1D2939"/>
                <w:sz w:val="16"/>
              </w:rPr>
              <w:t>A flexible restaurant-commerce and integration platform that can connect front-of-house channels with enterprise services.</w:t>
            </w:r>
          </w:p>
        </w:tc>
      </w:tr>
      <w:tr>
        <w:tc>
          <w:tcPr>
            <w:tcW w:type="dxa" w:w="1843"/>
            <w:tcMar>
              <w:top w:w="70" w:type="dxa"/>
              <w:start w:w="95" w:type="dxa"/>
              <w:bottom w:w="70" w:type="dxa"/>
              <w:end w:w="95" w:type="dxa"/>
            </w:tcMar>
            <w:vAlign w:val="top"/>
            <w:shd w:fill="E9EDF2"/>
          </w:tcPr>
          <w:p>
            <w:r>
              <w:rPr>
                <w:rFonts w:ascii="Arial" w:hAnsi="Arial"/>
                <w:b/>
                <w:i w:val="0"/>
                <w:color w:val="14233B"/>
                <w:sz w:val="16"/>
              </w:rPr>
              <w:t>Selected experience</w:t>
            </w:r>
          </w:p>
        </w:tc>
        <w:tc>
          <w:tcPr>
            <w:tcW w:type="dxa" w:w="7517"/>
            <w:tcMar>
              <w:top w:w="70" w:type="dxa"/>
              <w:start w:w="95" w:type="dxa"/>
              <w:bottom w:w="70" w:type="dxa"/>
              <w:end w:w="95" w:type="dxa"/>
            </w:tcMar>
            <w:vAlign w:val="top"/>
            <w:shd w:fill="FAFBFC"/>
          </w:tcPr>
          <w:p>
            <w:r>
              <w:rPr>
                <w:rFonts w:ascii="Arial" w:hAnsi="Arial"/>
                <w:b w:val="0"/>
                <w:i w:val="0"/>
                <w:color w:val="1D2939"/>
                <w:sz w:val="16"/>
              </w:rPr>
              <w:t>CosMc’s selected Genius Cloud POS as part of its integrated restaurant technology platform. Additional enterprise experience includes A&amp;W Canada across 1,032 restaurants and 7 Brew across more than 530 locations.</w:t>
            </w:r>
          </w:p>
        </w:tc>
      </w:tr>
    </w:tbl>
    <w:p>
      <w:pPr>
        <w:keepNext/>
        <w:spacing w:before="140" w:after="60"/>
      </w:pPr>
      <w:r>
        <w:rPr>
          <w:rFonts w:ascii="Arial" w:hAnsi="Arial"/>
          <w:b/>
          <w:i w:val="0"/>
          <w:color w:val="14233B"/>
          <w:sz w:val="26"/>
        </w:rPr>
        <w:t>Genius Kitchen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7517"/>
      </w:tblGrid>
      <w:tr>
        <w:tc>
          <w:tcPr>
            <w:tcW w:type="dxa" w:w="1843"/>
            <w:tcMar>
              <w:top w:w="70" w:type="dxa"/>
              <w:start w:w="95" w:type="dxa"/>
              <w:bottom w:w="70" w:type="dxa"/>
              <w:end w:w="95" w:type="dxa"/>
            </w:tcMar>
            <w:vAlign w:val="top"/>
            <w:shd w:fill="F4F6F8"/>
          </w:tcPr>
          <w:p>
            <w:r>
              <w:rPr>
                <w:rFonts w:ascii="Arial" w:hAnsi="Arial"/>
                <w:b/>
                <w:i w:val="0"/>
                <w:color w:val="14233B"/>
                <w:sz w:val="16"/>
              </w:rPr>
              <w:t>Heritage</w:t>
            </w:r>
          </w:p>
        </w:tc>
        <w:tc>
          <w:tcPr>
            <w:tcW w:type="dxa" w:w="7517"/>
            <w:tcMar>
              <w:top w:w="70" w:type="dxa"/>
              <w:start w:w="95" w:type="dxa"/>
              <w:bottom w:w="70" w:type="dxa"/>
              <w:end w:w="95" w:type="dxa"/>
            </w:tcMar>
            <w:vAlign w:val="top"/>
            <w:shd w:fill="FFFFFF"/>
          </w:tcPr>
          <w:p>
            <w:r>
              <w:rPr>
                <w:rFonts w:ascii="Arial" w:hAnsi="Arial"/>
                <w:b w:val="0"/>
                <w:i w:val="0"/>
                <w:color w:val="1D2939"/>
                <w:sz w:val="16"/>
              </w:rPr>
              <w:t>Xenial Kitchen Management (XKM), Kitchen Management and Order Management System (OMS), now within the Genius portfolio.</w:t>
            </w:r>
          </w:p>
        </w:tc>
      </w:tr>
      <w:tr>
        <w:tc>
          <w:tcPr>
            <w:tcW w:type="dxa" w:w="1843"/>
            <w:tcMar>
              <w:top w:w="70" w:type="dxa"/>
              <w:start w:w="95" w:type="dxa"/>
              <w:bottom w:w="70" w:type="dxa"/>
              <w:end w:w="95" w:type="dxa"/>
            </w:tcMar>
            <w:vAlign w:val="top"/>
            <w:shd w:fill="E9EDF2"/>
          </w:tcPr>
          <w:p>
            <w:r>
              <w:rPr>
                <w:rFonts w:ascii="Arial" w:hAnsi="Arial"/>
                <w:b/>
                <w:i w:val="0"/>
                <w:color w:val="14233B"/>
                <w:sz w:val="16"/>
              </w:rPr>
              <w:t>Capabilities</w:t>
            </w:r>
          </w:p>
        </w:tc>
        <w:tc>
          <w:tcPr>
            <w:tcW w:type="dxa" w:w="7517"/>
            <w:tcMar>
              <w:top w:w="70" w:type="dxa"/>
              <w:start w:w="95" w:type="dxa"/>
              <w:bottom w:w="70" w:type="dxa"/>
              <w:end w:w="95" w:type="dxa"/>
            </w:tcMar>
            <w:vAlign w:val="top"/>
            <w:shd w:fill="FAFBFC"/>
          </w:tcPr>
          <w:p>
            <w:r>
              <w:rPr>
                <w:rFonts w:ascii="Arial" w:hAnsi="Arial"/>
                <w:b w:val="0"/>
                <w:i w:val="0"/>
                <w:color w:val="1D2939"/>
                <w:sz w:val="16"/>
              </w:rPr>
              <w:t>Kitchen displays route items to configured production stations, support drive-thru and other destination-specific views, provide order-ready status and support configurable touchscreen or bump-bar workflows.</w:t>
            </w:r>
          </w:p>
        </w:tc>
      </w:tr>
      <w:tr>
        <w:tc>
          <w:tcPr>
            <w:tcW w:type="dxa" w:w="1843"/>
            <w:tcMar>
              <w:top w:w="70" w:type="dxa"/>
              <w:start w:w="95" w:type="dxa"/>
              <w:bottom w:w="70" w:type="dxa"/>
              <w:end w:w="95" w:type="dxa"/>
            </w:tcMar>
            <w:vAlign w:val="top"/>
            <w:shd w:fill="F4F6F8"/>
          </w:tcPr>
          <w:p>
            <w:r>
              <w:rPr>
                <w:rFonts w:ascii="Arial" w:hAnsi="Arial"/>
                <w:b/>
                <w:i w:val="0"/>
                <w:color w:val="14233B"/>
                <w:sz w:val="16"/>
              </w:rPr>
              <w:t>McDonald’s relevance</w:t>
            </w:r>
          </w:p>
        </w:tc>
        <w:tc>
          <w:tcPr>
            <w:tcW w:type="dxa" w:w="7517"/>
            <w:tcMar>
              <w:top w:w="70" w:type="dxa"/>
              <w:start w:w="95" w:type="dxa"/>
              <w:bottom w:w="70" w:type="dxa"/>
              <w:end w:w="95" w:type="dxa"/>
            </w:tcMar>
            <w:vAlign w:val="top"/>
            <w:shd w:fill="FFFFFF"/>
          </w:tcPr>
          <w:p>
            <w:r>
              <w:rPr>
                <w:rFonts w:ascii="Arial" w:hAnsi="Arial"/>
                <w:b w:val="0"/>
                <w:i w:val="0"/>
                <w:color w:val="1D2939"/>
                <w:sz w:val="16"/>
              </w:rPr>
              <w:t>Connects order channels with production workflows to support throughput, order accuracy and operational visibility.</w:t>
            </w:r>
          </w:p>
        </w:tc>
      </w:tr>
      <w:tr>
        <w:tc>
          <w:tcPr>
            <w:tcW w:type="dxa" w:w="1843"/>
            <w:tcMar>
              <w:top w:w="70" w:type="dxa"/>
              <w:start w:w="95" w:type="dxa"/>
              <w:bottom w:w="70" w:type="dxa"/>
              <w:end w:w="95" w:type="dxa"/>
            </w:tcMar>
            <w:vAlign w:val="top"/>
            <w:shd w:fill="E9EDF2"/>
          </w:tcPr>
          <w:p>
            <w:r>
              <w:rPr>
                <w:rFonts w:ascii="Arial" w:hAnsi="Arial"/>
                <w:b/>
                <w:i w:val="0"/>
                <w:color w:val="14233B"/>
                <w:sz w:val="16"/>
              </w:rPr>
              <w:t>Selected experience</w:t>
            </w:r>
          </w:p>
        </w:tc>
        <w:tc>
          <w:tcPr>
            <w:tcW w:type="dxa" w:w="7517"/>
            <w:tcMar>
              <w:top w:w="70" w:type="dxa"/>
              <w:start w:w="95" w:type="dxa"/>
              <w:bottom w:w="70" w:type="dxa"/>
              <w:end w:w="95" w:type="dxa"/>
            </w:tcMar>
            <w:vAlign w:val="top"/>
            <w:shd w:fill="FAFBFC"/>
          </w:tcPr>
          <w:p>
            <w:r>
              <w:rPr>
                <w:rFonts w:ascii="Arial" w:hAnsi="Arial"/>
                <w:b w:val="0"/>
                <w:i w:val="0"/>
                <w:color w:val="1D2939"/>
                <w:sz w:val="16"/>
              </w:rPr>
              <w:t>Genius Kitchen is supported by active product documentation and a continuing Xenial Kitchen release history.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rFonts w:ascii="Arial" w:hAnsi="Arial"/>
          <w:b/>
          <w:i w:val="0"/>
          <w:color w:val="00A6D6"/>
          <w:sz w:val="16"/>
        </w:rPr>
        <w:t>PRODUCT MAP 2 OF 5</w:t>
      </w:r>
    </w:p>
    <w:p>
      <w:pPr>
        <w:pStyle w:val="Heading1"/>
        <w:keepNext/>
      </w:pPr>
      <w:r>
        <w:t>Digital menu boards and drive-thru</w:t>
      </w:r>
    </w:p>
    <w:p>
      <w:pPr>
        <w:keepNext/>
        <w:spacing w:before="140" w:after="60"/>
      </w:pPr>
      <w:r>
        <w:rPr>
          <w:rFonts w:ascii="Arial" w:hAnsi="Arial"/>
          <w:b/>
          <w:i w:val="0"/>
          <w:color w:val="14233B"/>
          <w:sz w:val="26"/>
        </w:rPr>
        <w:t>Genius Digital Menu Board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7517"/>
      </w:tblGrid>
      <w:tr>
        <w:tc>
          <w:tcPr>
            <w:tcW w:type="dxa" w:w="1843"/>
            <w:tcMar>
              <w:top w:w="70" w:type="dxa"/>
              <w:start w:w="95" w:type="dxa"/>
              <w:bottom w:w="70" w:type="dxa"/>
              <w:end w:w="95" w:type="dxa"/>
            </w:tcMar>
            <w:vAlign w:val="top"/>
            <w:shd w:fill="F4F6F8"/>
          </w:tcPr>
          <w:p>
            <w:r>
              <w:rPr>
                <w:rFonts w:ascii="Arial" w:hAnsi="Arial"/>
                <w:b/>
                <w:i w:val="0"/>
                <w:color w:val="14233B"/>
                <w:sz w:val="16"/>
              </w:rPr>
              <w:t>Heritage</w:t>
            </w:r>
          </w:p>
        </w:tc>
        <w:tc>
          <w:tcPr>
            <w:tcW w:type="dxa" w:w="7517"/>
            <w:tcMar>
              <w:top w:w="70" w:type="dxa"/>
              <w:start w:w="95" w:type="dxa"/>
              <w:bottom w:w="70" w:type="dxa"/>
              <w:end w:w="95" w:type="dxa"/>
            </w:tcMar>
            <w:vAlign w:val="top"/>
            <w:shd w:fill="FFFFFF"/>
          </w:tcPr>
          <w:p>
            <w:r>
              <w:rPr>
                <w:rFonts w:ascii="Arial" w:hAnsi="Arial"/>
                <w:b w:val="0"/>
                <w:i w:val="0"/>
                <w:color w:val="1D2939"/>
                <w:sz w:val="16"/>
              </w:rPr>
              <w:t>SICOM DMB, first developed in 2009, was replaced by the next-generation Genius digital menu platform following Global Payments’ acquisition of SICOM.</w:t>
            </w:r>
          </w:p>
        </w:tc>
      </w:tr>
      <w:tr>
        <w:tc>
          <w:tcPr>
            <w:tcW w:type="dxa" w:w="1843"/>
            <w:tcMar>
              <w:top w:w="70" w:type="dxa"/>
              <w:start w:w="95" w:type="dxa"/>
              <w:bottom w:w="70" w:type="dxa"/>
              <w:end w:w="95" w:type="dxa"/>
            </w:tcMar>
            <w:vAlign w:val="top"/>
            <w:shd w:fill="E9EDF2"/>
          </w:tcPr>
          <w:p>
            <w:r>
              <w:rPr>
                <w:rFonts w:ascii="Arial" w:hAnsi="Arial"/>
                <w:b/>
                <w:i w:val="0"/>
                <w:color w:val="14233B"/>
                <w:sz w:val="16"/>
              </w:rPr>
              <w:t>Capabilities</w:t>
            </w:r>
          </w:p>
        </w:tc>
        <w:tc>
          <w:tcPr>
            <w:tcW w:type="dxa" w:w="7517"/>
            <w:tcMar>
              <w:top w:w="70" w:type="dxa"/>
              <w:start w:w="95" w:type="dxa"/>
              <w:bottom w:w="70" w:type="dxa"/>
              <w:end w:w="95" w:type="dxa"/>
            </w:tcMar>
            <w:vAlign w:val="top"/>
            <w:shd w:fill="FAFBFC"/>
          </w:tcPr>
          <w:p>
            <w:r>
              <w:rPr>
                <w:rFonts w:ascii="Arial" w:hAnsi="Arial"/>
                <w:b w:val="0"/>
                <w:i w:val="0"/>
                <w:color w:val="1D2939"/>
                <w:sz w:val="16"/>
              </w:rPr>
              <w:t>Centralized content management, scheduled dayparts, local and corporate control, indoor/outdoor menus and order-confirmation boards. System-on-chip displays can retain scheduled content during an internet outage.</w:t>
            </w:r>
          </w:p>
        </w:tc>
      </w:tr>
      <w:tr>
        <w:tc>
          <w:tcPr>
            <w:tcW w:type="dxa" w:w="1843"/>
            <w:tcMar>
              <w:top w:w="70" w:type="dxa"/>
              <w:start w:w="95" w:type="dxa"/>
              <w:bottom w:w="70" w:type="dxa"/>
              <w:end w:w="95" w:type="dxa"/>
            </w:tcMar>
            <w:vAlign w:val="top"/>
            <w:shd w:fill="F4F6F8"/>
          </w:tcPr>
          <w:p>
            <w:r>
              <w:rPr>
                <w:rFonts w:ascii="Arial" w:hAnsi="Arial"/>
                <w:b/>
                <w:i w:val="0"/>
                <w:color w:val="14233B"/>
                <w:sz w:val="16"/>
              </w:rPr>
              <w:t>McDonald’s relevance</w:t>
            </w:r>
          </w:p>
        </w:tc>
        <w:tc>
          <w:tcPr>
            <w:tcW w:type="dxa" w:w="7517"/>
            <w:tcMar>
              <w:top w:w="70" w:type="dxa"/>
              <w:start w:w="95" w:type="dxa"/>
              <w:bottom w:w="70" w:type="dxa"/>
              <w:end w:w="95" w:type="dxa"/>
            </w:tcMar>
            <w:vAlign w:val="top"/>
            <w:shd w:fill="FFFFFF"/>
          </w:tcPr>
          <w:p>
            <w:r>
              <w:rPr>
                <w:rFonts w:ascii="Arial" w:hAnsi="Arial"/>
                <w:b w:val="0"/>
                <w:i w:val="0"/>
                <w:color w:val="1D2939"/>
                <w:sz w:val="16"/>
              </w:rPr>
              <w:t>Offers a flexible digital-menu architecture for targeted indoor, drive-thru and order-confirmation requirements.</w:t>
            </w:r>
          </w:p>
        </w:tc>
      </w:tr>
      <w:tr>
        <w:tc>
          <w:tcPr>
            <w:tcW w:type="dxa" w:w="1843"/>
            <w:tcMar>
              <w:top w:w="70" w:type="dxa"/>
              <w:start w:w="95" w:type="dxa"/>
              <w:bottom w:w="70" w:type="dxa"/>
              <w:end w:w="95" w:type="dxa"/>
            </w:tcMar>
            <w:vAlign w:val="top"/>
            <w:shd w:fill="E9EDF2"/>
          </w:tcPr>
          <w:p>
            <w:r>
              <w:rPr>
                <w:rFonts w:ascii="Arial" w:hAnsi="Arial"/>
                <w:b/>
                <w:i w:val="0"/>
                <w:color w:val="14233B"/>
                <w:sz w:val="16"/>
              </w:rPr>
              <w:t>Selected experience</w:t>
            </w:r>
          </w:p>
        </w:tc>
        <w:tc>
          <w:tcPr>
            <w:tcW w:type="dxa" w:w="7517"/>
            <w:tcMar>
              <w:top w:w="70" w:type="dxa"/>
              <w:start w:w="95" w:type="dxa"/>
              <w:bottom w:w="70" w:type="dxa"/>
              <w:end w:w="95" w:type="dxa"/>
            </w:tcMar>
            <w:vAlign w:val="top"/>
            <w:shd w:fill="FAFBFC"/>
          </w:tcPr>
          <w:p>
            <w:r>
              <w:rPr>
                <w:rFonts w:ascii="Arial" w:hAnsi="Arial"/>
                <w:b w:val="0"/>
                <w:i w:val="0"/>
                <w:color w:val="1D2939"/>
                <w:sz w:val="16"/>
              </w:rPr>
              <w:t>CosMc’s selected Genius indoor and drive-thru digital menu boards as part of its integrated restaurant technology platform. Yoshinoya deployed digital menu boards at 106 locations.</w:t>
            </w:r>
          </w:p>
        </w:tc>
      </w:tr>
    </w:tbl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3474720" cy="19545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1_shape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954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rial" w:hAnsi="Arial"/>
          <w:b w:val="0"/>
          <w:i/>
          <w:color w:val="64748B"/>
          <w:sz w:val="16"/>
        </w:rPr>
        <w:t>Representative Genius system-on-chip digital menu board configuration</w:t>
      </w:r>
    </w:p>
    <w:p>
      <w:pPr>
        <w:keepNext/>
        <w:spacing w:before="140" w:after="60"/>
      </w:pPr>
      <w:r>
        <w:rPr>
          <w:rFonts w:ascii="Arial" w:hAnsi="Arial"/>
          <w:b/>
          <w:i w:val="0"/>
          <w:color w:val="14233B"/>
          <w:sz w:val="26"/>
        </w:rPr>
        <w:t>Genius Drive Thru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7517"/>
      </w:tblGrid>
      <w:tr>
        <w:tc>
          <w:tcPr>
            <w:tcW w:type="dxa" w:w="1843"/>
            <w:tcMar>
              <w:top w:w="70" w:type="dxa"/>
              <w:start w:w="95" w:type="dxa"/>
              <w:bottom w:w="70" w:type="dxa"/>
              <w:end w:w="95" w:type="dxa"/>
            </w:tcMar>
            <w:vAlign w:val="top"/>
            <w:shd w:fill="F4F6F8"/>
          </w:tcPr>
          <w:p>
            <w:r>
              <w:rPr>
                <w:rFonts w:ascii="Arial" w:hAnsi="Arial"/>
                <w:b/>
                <w:i w:val="0"/>
                <w:color w:val="14233B"/>
                <w:sz w:val="16"/>
              </w:rPr>
              <w:t>Heritage</w:t>
            </w:r>
          </w:p>
        </w:tc>
        <w:tc>
          <w:tcPr>
            <w:tcW w:type="dxa" w:w="7517"/>
            <w:tcMar>
              <w:top w:w="70" w:type="dxa"/>
              <w:start w:w="95" w:type="dxa"/>
              <w:bottom w:w="70" w:type="dxa"/>
              <w:end w:w="95" w:type="dxa"/>
            </w:tcMar>
            <w:vAlign w:val="top"/>
            <w:shd w:fill="FFFFFF"/>
          </w:tcPr>
          <w:p>
            <w:r>
              <w:rPr>
                <w:rFonts w:ascii="Arial" w:hAnsi="Arial"/>
                <w:b w:val="0"/>
                <w:i w:val="0"/>
                <w:color w:val="1D2939"/>
                <w:sz w:val="16"/>
              </w:rPr>
              <w:t>SICOM Timer → Drive-Thru Director → Vision, the Genius next-generation drive-thru timer platform.</w:t>
            </w:r>
          </w:p>
        </w:tc>
      </w:tr>
      <w:tr>
        <w:tc>
          <w:tcPr>
            <w:tcW w:type="dxa" w:w="1843"/>
            <w:tcMar>
              <w:top w:w="70" w:type="dxa"/>
              <w:start w:w="95" w:type="dxa"/>
              <w:bottom w:w="70" w:type="dxa"/>
              <w:end w:w="95" w:type="dxa"/>
            </w:tcMar>
            <w:vAlign w:val="top"/>
            <w:shd w:fill="E9EDF2"/>
          </w:tcPr>
          <w:p>
            <w:r>
              <w:rPr>
                <w:rFonts w:ascii="Arial" w:hAnsi="Arial"/>
                <w:b/>
                <w:i w:val="0"/>
                <w:color w:val="14233B"/>
                <w:sz w:val="16"/>
              </w:rPr>
              <w:t>Capabilities</w:t>
            </w:r>
          </w:p>
        </w:tc>
        <w:tc>
          <w:tcPr>
            <w:tcW w:type="dxa" w:w="7517"/>
            <w:tcMar>
              <w:top w:w="70" w:type="dxa"/>
              <w:start w:w="95" w:type="dxa"/>
              <w:bottom w:w="70" w:type="dxa"/>
              <w:end w:w="95" w:type="dxa"/>
            </w:tcMar>
            <w:vAlign w:val="top"/>
            <w:shd w:fill="FAFBFC"/>
          </w:tcPr>
          <w:p>
            <w:r>
              <w:rPr>
                <w:rFonts w:ascii="Arial" w:hAnsi="Arial"/>
                <w:b w:val="0"/>
                <w:i w:val="0"/>
                <w:color w:val="1D2939"/>
                <w:sz w:val="16"/>
              </w:rPr>
              <w:t>Lane events from detectors, cameras and order-confirmation units; real-time vehicle visualization; single/dual-lane workflows; reporting and APIs; zone configuration for queue, pickup and pull-forward activity.</w:t>
            </w:r>
          </w:p>
        </w:tc>
      </w:tr>
      <w:tr>
        <w:tc>
          <w:tcPr>
            <w:tcW w:type="dxa" w:w="1843"/>
            <w:tcMar>
              <w:top w:w="70" w:type="dxa"/>
              <w:start w:w="95" w:type="dxa"/>
              <w:bottom w:w="70" w:type="dxa"/>
              <w:end w:w="95" w:type="dxa"/>
            </w:tcMar>
            <w:vAlign w:val="top"/>
            <w:shd w:fill="F4F6F8"/>
          </w:tcPr>
          <w:p>
            <w:r>
              <w:rPr>
                <w:rFonts w:ascii="Arial" w:hAnsi="Arial"/>
                <w:b/>
                <w:i w:val="0"/>
                <w:color w:val="14233B"/>
                <w:sz w:val="16"/>
              </w:rPr>
              <w:t>McDonald’s relevance</w:t>
            </w:r>
          </w:p>
        </w:tc>
        <w:tc>
          <w:tcPr>
            <w:tcW w:type="dxa" w:w="7517"/>
            <w:tcMar>
              <w:top w:w="70" w:type="dxa"/>
              <w:start w:w="95" w:type="dxa"/>
              <w:bottom w:w="70" w:type="dxa"/>
              <w:end w:w="95" w:type="dxa"/>
            </w:tcMar>
            <w:vAlign w:val="top"/>
            <w:shd w:fill="FFFFFF"/>
          </w:tcPr>
          <w:p>
            <w:r>
              <w:rPr>
                <w:rFonts w:ascii="Arial" w:hAnsi="Arial"/>
                <w:b w:val="0"/>
                <w:i w:val="0"/>
                <w:color w:val="1D2939"/>
                <w:sz w:val="16"/>
              </w:rPr>
              <w:t>Supports speed-of-service visibility and a more complete operational view of the drive-thru journey.</w:t>
            </w:r>
          </w:p>
        </w:tc>
      </w:tr>
      <w:tr>
        <w:tc>
          <w:tcPr>
            <w:tcW w:type="dxa" w:w="1843"/>
            <w:tcMar>
              <w:top w:w="70" w:type="dxa"/>
              <w:start w:w="95" w:type="dxa"/>
              <w:bottom w:w="70" w:type="dxa"/>
              <w:end w:w="95" w:type="dxa"/>
            </w:tcMar>
            <w:vAlign w:val="top"/>
            <w:shd w:fill="E9EDF2"/>
          </w:tcPr>
          <w:p>
            <w:r>
              <w:rPr>
                <w:rFonts w:ascii="Arial" w:hAnsi="Arial"/>
                <w:b/>
                <w:i w:val="0"/>
                <w:color w:val="14233B"/>
                <w:sz w:val="16"/>
              </w:rPr>
              <w:t>Selected experience</w:t>
            </w:r>
          </w:p>
        </w:tc>
        <w:tc>
          <w:tcPr>
            <w:tcW w:type="dxa" w:w="7517"/>
            <w:tcMar>
              <w:top w:w="70" w:type="dxa"/>
              <w:start w:w="95" w:type="dxa"/>
              <w:bottom w:w="70" w:type="dxa"/>
              <w:end w:w="95" w:type="dxa"/>
            </w:tcMar>
            <w:vAlign w:val="top"/>
            <w:shd w:fill="FAFBFC"/>
          </w:tcPr>
          <w:p>
            <w:r>
              <w:rPr>
                <w:rFonts w:ascii="Arial" w:hAnsi="Arial"/>
                <w:b w:val="0"/>
                <w:i w:val="0"/>
                <w:color w:val="1D2939"/>
                <w:sz w:val="16"/>
              </w:rPr>
              <w:t>CosMc’s selected Genius drive-thru timer technology as part of its integrated platform. At Yoshinoya, 34 drive-thru locations paired menu boards with a timer and reported a 35% improvement in service time.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rFonts w:ascii="Arial" w:hAnsi="Arial"/>
          <w:b/>
          <w:i w:val="0"/>
          <w:color w:val="00A6D6"/>
          <w:sz w:val="16"/>
        </w:rPr>
        <w:t>PRODUCT MAP 3 OF 5</w:t>
      </w:r>
    </w:p>
    <w:p>
      <w:pPr>
        <w:pStyle w:val="Heading1"/>
        <w:keepNext/>
      </w:pPr>
      <w:r>
        <w:t>Self-service ordering</w:t>
      </w:r>
    </w:p>
    <w:p>
      <w:pPr>
        <w:keepNext/>
        <w:spacing w:before="140" w:after="60"/>
      </w:pPr>
      <w:r>
        <w:rPr>
          <w:rFonts w:ascii="Arial" w:hAnsi="Arial"/>
          <w:b/>
          <w:i w:val="0"/>
          <w:color w:val="14233B"/>
          <w:sz w:val="26"/>
        </w:rPr>
        <w:t>Genius Kiosk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7517"/>
      </w:tblGrid>
      <w:tr>
        <w:tc>
          <w:tcPr>
            <w:tcW w:type="dxa" w:w="1843"/>
            <w:tcMar>
              <w:top w:w="70" w:type="dxa"/>
              <w:start w:w="95" w:type="dxa"/>
              <w:bottom w:w="70" w:type="dxa"/>
              <w:end w:w="95" w:type="dxa"/>
            </w:tcMar>
            <w:vAlign w:val="top"/>
            <w:shd w:fill="F4F6F8"/>
          </w:tcPr>
          <w:p>
            <w:r>
              <w:rPr>
                <w:rFonts w:ascii="Arial" w:hAnsi="Arial"/>
                <w:b/>
                <w:i w:val="0"/>
                <w:color w:val="14233B"/>
                <w:sz w:val="16"/>
              </w:rPr>
              <w:t>Heritage</w:t>
            </w:r>
          </w:p>
        </w:tc>
        <w:tc>
          <w:tcPr>
            <w:tcW w:type="dxa" w:w="7517"/>
            <w:tcMar>
              <w:top w:w="70" w:type="dxa"/>
              <w:start w:w="95" w:type="dxa"/>
              <w:bottom w:w="70" w:type="dxa"/>
              <w:end w:w="95" w:type="dxa"/>
            </w:tcMar>
            <w:vAlign w:val="top"/>
            <w:shd w:fill="FFFFFF"/>
          </w:tcPr>
          <w:p>
            <w:r>
              <w:rPr>
                <w:rFonts w:ascii="Arial" w:hAnsi="Arial"/>
                <w:b w:val="0"/>
                <w:i w:val="0"/>
                <w:color w:val="1D2939"/>
                <w:sz w:val="16"/>
              </w:rPr>
              <w:t>Xenial Kiosk hardware and software and Xenial Ordering Kiosk, now within the Genius portfolio.</w:t>
            </w:r>
          </w:p>
        </w:tc>
      </w:tr>
      <w:tr>
        <w:tc>
          <w:tcPr>
            <w:tcW w:type="dxa" w:w="1843"/>
            <w:tcMar>
              <w:top w:w="70" w:type="dxa"/>
              <w:start w:w="95" w:type="dxa"/>
              <w:bottom w:w="70" w:type="dxa"/>
              <w:end w:w="95" w:type="dxa"/>
            </w:tcMar>
            <w:vAlign w:val="top"/>
            <w:shd w:fill="E9EDF2"/>
          </w:tcPr>
          <w:p>
            <w:r>
              <w:rPr>
                <w:rFonts w:ascii="Arial" w:hAnsi="Arial"/>
                <w:b/>
                <w:i w:val="0"/>
                <w:color w:val="14233B"/>
                <w:sz w:val="16"/>
              </w:rPr>
              <w:t>Capabilities</w:t>
            </w:r>
          </w:p>
        </w:tc>
        <w:tc>
          <w:tcPr>
            <w:tcW w:type="dxa" w:w="7517"/>
            <w:tcMar>
              <w:top w:w="70" w:type="dxa"/>
              <w:start w:w="95" w:type="dxa"/>
              <w:bottom w:w="70" w:type="dxa"/>
              <w:end w:w="95" w:type="dxa"/>
            </w:tcMar>
            <w:vAlign w:val="top"/>
            <w:shd w:fill="FAFBFC"/>
          </w:tcPr>
          <w:p>
            <w:r>
              <w:rPr>
                <w:rFonts w:ascii="Arial" w:hAnsi="Arial"/>
                <w:b w:val="0"/>
                <w:i w:val="0"/>
                <w:color w:val="1D2939"/>
                <w:sz w:val="16"/>
              </w:rPr>
              <w:t>Indoor/outdoor self-service ordering with multiple mounting options, favorites and repeat orders, multilingual and accessibility features, dynamic splash screens and pickup workflows.</w:t>
            </w:r>
          </w:p>
        </w:tc>
      </w:tr>
      <w:tr>
        <w:tc>
          <w:tcPr>
            <w:tcW w:type="dxa" w:w="1843"/>
            <w:tcMar>
              <w:top w:w="70" w:type="dxa"/>
              <w:start w:w="95" w:type="dxa"/>
              <w:bottom w:w="70" w:type="dxa"/>
              <w:end w:w="95" w:type="dxa"/>
            </w:tcMar>
            <w:vAlign w:val="top"/>
            <w:shd w:fill="F4F6F8"/>
          </w:tcPr>
          <w:p>
            <w:r>
              <w:rPr>
                <w:rFonts w:ascii="Arial" w:hAnsi="Arial"/>
                <w:b/>
                <w:i w:val="0"/>
                <w:color w:val="14233B"/>
                <w:sz w:val="16"/>
              </w:rPr>
              <w:t>McDonald’s relevance</w:t>
            </w:r>
          </w:p>
        </w:tc>
        <w:tc>
          <w:tcPr>
            <w:tcW w:type="dxa" w:w="7517"/>
            <w:tcMar>
              <w:top w:w="70" w:type="dxa"/>
              <w:start w:w="95" w:type="dxa"/>
              <w:bottom w:w="70" w:type="dxa"/>
              <w:end w:w="95" w:type="dxa"/>
            </w:tcMar>
            <w:vAlign w:val="top"/>
            <w:shd w:fill="FFFFFF"/>
          </w:tcPr>
          <w:p>
            <w:r>
              <w:rPr>
                <w:rFonts w:ascii="Arial" w:hAnsi="Arial"/>
                <w:b w:val="0"/>
                <w:i w:val="0"/>
                <w:color w:val="1D2939"/>
                <w:sz w:val="16"/>
              </w:rPr>
              <w:t>Provides modular self-service and integration options for restaurant environments, subject to McDonald’s store and accessibility standards.</w:t>
            </w:r>
          </w:p>
        </w:tc>
      </w:tr>
      <w:tr>
        <w:tc>
          <w:tcPr>
            <w:tcW w:type="dxa" w:w="1843"/>
            <w:tcMar>
              <w:top w:w="70" w:type="dxa"/>
              <w:start w:w="95" w:type="dxa"/>
              <w:bottom w:w="70" w:type="dxa"/>
              <w:end w:w="95" w:type="dxa"/>
            </w:tcMar>
            <w:vAlign w:val="top"/>
            <w:shd w:fill="E9EDF2"/>
          </w:tcPr>
          <w:p>
            <w:r>
              <w:rPr>
                <w:rFonts w:ascii="Arial" w:hAnsi="Arial"/>
                <w:b/>
                <w:i w:val="0"/>
                <w:color w:val="14233B"/>
                <w:sz w:val="16"/>
              </w:rPr>
              <w:t>Selected experience</w:t>
            </w:r>
          </w:p>
        </w:tc>
        <w:tc>
          <w:tcPr>
            <w:tcW w:type="dxa" w:w="7517"/>
            <w:tcMar>
              <w:top w:w="70" w:type="dxa"/>
              <w:start w:w="95" w:type="dxa"/>
              <w:bottom w:w="70" w:type="dxa"/>
              <w:end w:w="95" w:type="dxa"/>
            </w:tcMar>
            <w:vAlign w:val="top"/>
            <w:shd w:fill="FAFBFC"/>
          </w:tcPr>
          <w:p>
            <w:r>
              <w:rPr>
                <w:rFonts w:ascii="Arial" w:hAnsi="Arial"/>
                <w:b w:val="0"/>
                <w:i w:val="0"/>
                <w:color w:val="1D2939"/>
                <w:sz w:val="16"/>
              </w:rPr>
              <w:t>CosMc’s selected Genius indoor and outdoor kiosks as part of its integrated platform. Genius brings more than 20 years of kiosk development and 15,000+ self-service installations worldwide.</w:t>
            </w:r>
          </w:p>
        </w:tc>
      </w:tr>
    </w:tbl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4846320" cy="30711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2_shape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071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rial" w:hAnsi="Arial"/>
          <w:b w:val="0"/>
          <w:i/>
          <w:color w:val="64748B"/>
          <w:sz w:val="16"/>
        </w:rPr>
        <w:t>Freestanding Genius self-service kiosks in a restaurant environment</w:t>
      </w:r>
    </w:p>
    <w:p>
      <w:r>
        <w:br w:type="page"/>
      </w:r>
    </w:p>
    <w:p>
      <w:pPr>
        <w:keepNext/>
        <w:spacing w:after="40"/>
      </w:pPr>
      <w:r>
        <w:rPr>
          <w:rFonts w:ascii="Arial" w:hAnsi="Arial"/>
          <w:b/>
          <w:i w:val="0"/>
          <w:color w:val="00A6D6"/>
          <w:sz w:val="16"/>
        </w:rPr>
        <w:t>PRODUCT MAP 4 OF 5</w:t>
      </w:r>
    </w:p>
    <w:p>
      <w:pPr>
        <w:pStyle w:val="Heading1"/>
        <w:keepNext/>
      </w:pPr>
      <w:r>
        <w:t>Genius hardware</w:t>
      </w:r>
    </w:p>
    <w:p>
      <w:pPr>
        <w:keepNext/>
        <w:spacing w:before="140" w:after="60"/>
      </w:pPr>
      <w:r>
        <w:rPr>
          <w:rFonts w:ascii="Arial" w:hAnsi="Arial"/>
          <w:b/>
          <w:i w:val="0"/>
          <w:color w:val="14233B"/>
          <w:sz w:val="26"/>
        </w:rPr>
        <w:t>Genius Hardware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7517"/>
      </w:tblGrid>
      <w:tr>
        <w:tc>
          <w:tcPr>
            <w:tcW w:type="dxa" w:w="1843"/>
            <w:tcMar>
              <w:top w:w="70" w:type="dxa"/>
              <w:start w:w="95" w:type="dxa"/>
              <w:bottom w:w="70" w:type="dxa"/>
              <w:end w:w="95" w:type="dxa"/>
            </w:tcMar>
            <w:vAlign w:val="top"/>
            <w:shd w:fill="F4F6F8"/>
          </w:tcPr>
          <w:p>
            <w:r>
              <w:rPr>
                <w:rFonts w:ascii="Arial" w:hAnsi="Arial"/>
                <w:b/>
                <w:i w:val="0"/>
                <w:color w:val="14233B"/>
                <w:sz w:val="16"/>
              </w:rPr>
              <w:t>Heritage</w:t>
            </w:r>
          </w:p>
        </w:tc>
        <w:tc>
          <w:tcPr>
            <w:tcW w:type="dxa" w:w="7517"/>
            <w:tcMar>
              <w:top w:w="70" w:type="dxa"/>
              <w:start w:w="95" w:type="dxa"/>
              <w:bottom w:w="70" w:type="dxa"/>
              <w:end w:w="95" w:type="dxa"/>
            </w:tcMar>
            <w:vAlign w:val="top"/>
            <w:shd w:fill="FFFFFF"/>
          </w:tcPr>
          <w:p>
            <w:r>
              <w:rPr>
                <w:rFonts w:ascii="Arial" w:hAnsi="Arial"/>
                <w:b w:val="0"/>
                <w:i w:val="0"/>
                <w:color w:val="1D2939"/>
                <w:sz w:val="16"/>
              </w:rPr>
              <w:t>Xenial and SICOM POS hardware, portable tablets and rugged terminals, unified under the Genius hardware identity.</w:t>
            </w:r>
          </w:p>
        </w:tc>
      </w:tr>
      <w:tr>
        <w:tc>
          <w:tcPr>
            <w:tcW w:type="dxa" w:w="1843"/>
            <w:tcMar>
              <w:top w:w="70" w:type="dxa"/>
              <w:start w:w="95" w:type="dxa"/>
              <w:bottom w:w="70" w:type="dxa"/>
              <w:end w:w="95" w:type="dxa"/>
            </w:tcMar>
            <w:vAlign w:val="top"/>
            <w:shd w:fill="E9EDF2"/>
          </w:tcPr>
          <w:p>
            <w:r>
              <w:rPr>
                <w:rFonts w:ascii="Arial" w:hAnsi="Arial"/>
                <w:b/>
                <w:i w:val="0"/>
                <w:color w:val="14233B"/>
                <w:sz w:val="16"/>
              </w:rPr>
              <w:t>Capabilities</w:t>
            </w:r>
          </w:p>
        </w:tc>
        <w:tc>
          <w:tcPr>
            <w:tcW w:type="dxa" w:w="7517"/>
            <w:tcMar>
              <w:top w:w="70" w:type="dxa"/>
              <w:start w:w="95" w:type="dxa"/>
              <w:bottom w:w="70" w:type="dxa"/>
              <w:end w:w="95" w:type="dxa"/>
            </w:tcMar>
            <w:vAlign w:val="top"/>
            <w:shd w:fill="FAFBFC"/>
          </w:tcPr>
          <w:p>
            <w:r>
              <w:rPr>
                <w:rFonts w:ascii="Arial" w:hAnsi="Arial"/>
                <w:b w:val="0"/>
                <w:i w:val="0"/>
                <w:color w:val="1D2939"/>
                <w:sz w:val="16"/>
              </w:rPr>
              <w:t>Global Payments designs and owns the core Genius hardware specification, with Flytech as manufacturing partner. The portfolio supports modular countertop, handheld, kiosk and tethered configurations.</w:t>
            </w:r>
          </w:p>
        </w:tc>
      </w:tr>
      <w:tr>
        <w:tc>
          <w:tcPr>
            <w:tcW w:type="dxa" w:w="1843"/>
            <w:tcMar>
              <w:top w:w="70" w:type="dxa"/>
              <w:start w:w="95" w:type="dxa"/>
              <w:bottom w:w="70" w:type="dxa"/>
              <w:end w:w="95" w:type="dxa"/>
            </w:tcMar>
            <w:vAlign w:val="top"/>
            <w:shd w:fill="F4F6F8"/>
          </w:tcPr>
          <w:p>
            <w:r>
              <w:rPr>
                <w:rFonts w:ascii="Arial" w:hAnsi="Arial"/>
                <w:b/>
                <w:i w:val="0"/>
                <w:color w:val="14233B"/>
                <w:sz w:val="16"/>
              </w:rPr>
              <w:t>McDonald’s relevance</w:t>
            </w:r>
          </w:p>
        </w:tc>
        <w:tc>
          <w:tcPr>
            <w:tcW w:type="dxa" w:w="7517"/>
            <w:tcMar>
              <w:top w:w="70" w:type="dxa"/>
              <w:start w:w="95" w:type="dxa"/>
              <w:bottom w:w="70" w:type="dxa"/>
              <w:end w:w="95" w:type="dxa"/>
            </w:tcMar>
            <w:vAlign w:val="top"/>
            <w:shd w:fill="FFFFFF"/>
          </w:tcPr>
          <w:p>
            <w:r>
              <w:rPr>
                <w:rFonts w:ascii="Arial" w:hAnsi="Arial"/>
                <w:b w:val="0"/>
                <w:i w:val="0"/>
                <w:color w:val="1D2939"/>
                <w:sz w:val="16"/>
              </w:rPr>
              <w:t>Provides a consistent device experience across counter, line-busting and self-service workflows, subject to McDonald’s hardware, certification and service requirements.</w:t>
            </w:r>
          </w:p>
        </w:tc>
      </w:tr>
      <w:tr>
        <w:tc>
          <w:tcPr>
            <w:tcW w:type="dxa" w:w="1843"/>
            <w:tcMar>
              <w:top w:w="70" w:type="dxa"/>
              <w:start w:w="95" w:type="dxa"/>
              <w:bottom w:w="70" w:type="dxa"/>
              <w:end w:w="95" w:type="dxa"/>
            </w:tcMar>
            <w:vAlign w:val="top"/>
            <w:shd w:fill="E9EDF2"/>
          </w:tcPr>
          <w:p>
            <w:r>
              <w:rPr>
                <w:rFonts w:ascii="Arial" w:hAnsi="Arial"/>
                <w:b/>
                <w:i w:val="0"/>
                <w:color w:val="14233B"/>
                <w:sz w:val="16"/>
              </w:rPr>
              <w:t>Selected experience</w:t>
            </w:r>
          </w:p>
        </w:tc>
        <w:tc>
          <w:tcPr>
            <w:tcW w:type="dxa" w:w="7517"/>
            <w:tcMar>
              <w:top w:w="70" w:type="dxa"/>
              <w:start w:w="95" w:type="dxa"/>
              <w:bottom w:w="70" w:type="dxa"/>
              <w:end w:w="95" w:type="dxa"/>
            </w:tcMar>
            <w:vAlign w:val="top"/>
            <w:shd w:fill="FAFBFC"/>
          </w:tcPr>
          <w:p>
            <w:r>
              <w:rPr>
                <w:rFonts w:ascii="Arial" w:hAnsi="Arial"/>
                <w:b w:val="0"/>
                <w:i w:val="0"/>
                <w:color w:val="1D2939"/>
                <w:sz w:val="16"/>
              </w:rPr>
              <w:t>CosMc’s selected Genius hardware across its cloud POS and indoor/outdoor self-service environment.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tcMar>
              <w:top w:w="120" w:type="dxa"/>
              <w:start w:w="105" w:type="dxa"/>
              <w:bottom w:w="120" w:type="dxa"/>
              <w:end w:w="105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4233B"/>
                <w:sz w:val="21"/>
              </w:rPr>
              <w:t>Countertop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00200" cy="90011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14_shape1_Google Shape;2008;p267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900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hAnsi="Arial"/>
                <w:b w:val="0"/>
                <w:i w:val="0"/>
                <w:color w:val="1D2939"/>
                <w:sz w:val="16"/>
              </w:rPr>
              <w:t>Modular merchant and customer-facing displays.</w:t>
            </w:r>
          </w:p>
        </w:tc>
        <w:tc>
          <w:tcPr>
            <w:tcW w:type="dxa" w:w="3389"/>
            <w:tcMar>
              <w:top w:w="120" w:type="dxa"/>
              <w:start w:w="105" w:type="dxa"/>
              <w:bottom w:w="120" w:type="dxa"/>
              <w:end w:w="105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4233B"/>
                <w:sz w:val="21"/>
              </w:rPr>
              <w:t>Handheld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00200" cy="90011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17_shape3_Google Shape;2049;p270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900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hAnsi="Arial"/>
                <w:b w:val="0"/>
                <w:i w:val="0"/>
                <w:color w:val="1D2939"/>
                <w:sz w:val="16"/>
              </w:rPr>
              <w:t>Portable POS with integrated payment.</w:t>
            </w:r>
          </w:p>
        </w:tc>
        <w:tc>
          <w:tcPr>
            <w:tcW w:type="dxa" w:w="3389"/>
            <w:tcMar>
              <w:top w:w="120" w:type="dxa"/>
              <w:start w:w="105" w:type="dxa"/>
              <w:bottom w:w="120" w:type="dxa"/>
              <w:end w:w="105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4233B"/>
                <w:sz w:val="21"/>
              </w:rPr>
              <w:t>Counter and kiosk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00200" cy="896987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18_shape17_Google Shape;2091;p271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8969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hAnsi="Arial"/>
                <w:b w:val="0"/>
                <w:i w:val="0"/>
                <w:color w:val="1D2939"/>
                <w:sz w:val="16"/>
              </w:rPr>
              <w:t>Multiple configurations within one hardware family.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rFonts w:ascii="Arial" w:hAnsi="Arial"/>
          <w:b/>
          <w:i w:val="0"/>
          <w:color w:val="00A6D6"/>
          <w:sz w:val="16"/>
        </w:rPr>
        <w:t>PRODUCT MAP 5 OF 5</w:t>
      </w:r>
    </w:p>
    <w:p>
      <w:pPr>
        <w:pStyle w:val="Heading1"/>
        <w:keepNext/>
      </w:pPr>
      <w:r>
        <w:t>Payments and back office</w:t>
      </w:r>
    </w:p>
    <w:p>
      <w:pPr>
        <w:keepNext/>
        <w:spacing w:before="140" w:after="60"/>
      </w:pPr>
      <w:r>
        <w:rPr>
          <w:rFonts w:ascii="Arial" w:hAnsi="Arial"/>
          <w:b/>
          <w:i w:val="0"/>
          <w:color w:val="14233B"/>
          <w:sz w:val="26"/>
        </w:rPr>
        <w:t>Genius Payments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7517"/>
      </w:tblGrid>
      <w:tr>
        <w:tc>
          <w:tcPr>
            <w:tcW w:type="dxa" w:w="1843"/>
            <w:tcMar>
              <w:top w:w="70" w:type="dxa"/>
              <w:start w:w="95" w:type="dxa"/>
              <w:bottom w:w="70" w:type="dxa"/>
              <w:end w:w="95" w:type="dxa"/>
            </w:tcMar>
            <w:vAlign w:val="top"/>
            <w:shd w:fill="F4F6F8"/>
          </w:tcPr>
          <w:p>
            <w:r>
              <w:rPr>
                <w:rFonts w:ascii="Arial" w:hAnsi="Arial"/>
                <w:b/>
                <w:i w:val="0"/>
                <w:color w:val="14233B"/>
                <w:sz w:val="16"/>
              </w:rPr>
              <w:t>Heritage</w:t>
            </w:r>
          </w:p>
        </w:tc>
        <w:tc>
          <w:tcPr>
            <w:tcW w:type="dxa" w:w="7517"/>
            <w:tcMar>
              <w:top w:w="70" w:type="dxa"/>
              <w:start w:w="95" w:type="dxa"/>
              <w:bottom w:w="70" w:type="dxa"/>
              <w:end w:w="95" w:type="dxa"/>
            </w:tcMar>
            <w:vAlign w:val="top"/>
            <w:shd w:fill="FFFFFF"/>
          </w:tcPr>
          <w:p>
            <w:r>
              <w:rPr>
                <w:rFonts w:ascii="Arial" w:hAnsi="Arial"/>
                <w:b w:val="0"/>
                <w:i w:val="0"/>
                <w:color w:val="1D2939"/>
                <w:sz w:val="16"/>
              </w:rPr>
              <w:t>Global Payments Integrated and Portico capabilities, with Merchantware/Cayan heritage and Global Payments + Worldpay processing reach.</w:t>
            </w:r>
          </w:p>
        </w:tc>
      </w:tr>
      <w:tr>
        <w:tc>
          <w:tcPr>
            <w:tcW w:type="dxa" w:w="1843"/>
            <w:tcMar>
              <w:top w:w="70" w:type="dxa"/>
              <w:start w:w="95" w:type="dxa"/>
              <w:bottom w:w="70" w:type="dxa"/>
              <w:end w:w="95" w:type="dxa"/>
            </w:tcMar>
            <w:vAlign w:val="top"/>
            <w:shd w:fill="E9EDF2"/>
          </w:tcPr>
          <w:p>
            <w:r>
              <w:rPr>
                <w:rFonts w:ascii="Arial" w:hAnsi="Arial"/>
                <w:b/>
                <w:i w:val="0"/>
                <w:color w:val="14233B"/>
                <w:sz w:val="16"/>
              </w:rPr>
              <w:t>Capabilities</w:t>
            </w:r>
          </w:p>
        </w:tc>
        <w:tc>
          <w:tcPr>
            <w:tcW w:type="dxa" w:w="7517"/>
            <w:tcMar>
              <w:top w:w="70" w:type="dxa"/>
              <w:start w:w="95" w:type="dxa"/>
              <w:bottom w:w="70" w:type="dxa"/>
              <w:end w:w="95" w:type="dxa"/>
            </w:tcMar>
            <w:vAlign w:val="top"/>
            <w:shd w:fill="FAFBFC"/>
          </w:tcPr>
          <w:p>
            <w:r>
              <w:rPr>
                <w:rFonts w:ascii="Arial" w:hAnsi="Arial"/>
                <w:b w:val="0"/>
                <w:i w:val="0"/>
                <w:color w:val="1D2939"/>
                <w:sz w:val="16"/>
              </w:rPr>
              <w:t>Integrated acceptance across counter, drive-thru, kiosk and digital commerce; EMV/contactless and wallets; card-present and online acceptance; P2PE/tokenization; terminal management and store-and-forward.</w:t>
            </w:r>
          </w:p>
        </w:tc>
      </w:tr>
      <w:tr>
        <w:tc>
          <w:tcPr>
            <w:tcW w:type="dxa" w:w="1843"/>
            <w:tcMar>
              <w:top w:w="70" w:type="dxa"/>
              <w:start w:w="95" w:type="dxa"/>
              <w:bottom w:w="70" w:type="dxa"/>
              <w:end w:w="95" w:type="dxa"/>
            </w:tcMar>
            <w:vAlign w:val="top"/>
            <w:shd w:fill="F4F6F8"/>
          </w:tcPr>
          <w:p>
            <w:r>
              <w:rPr>
                <w:rFonts w:ascii="Arial" w:hAnsi="Arial"/>
                <w:b/>
                <w:i w:val="0"/>
                <w:color w:val="14233B"/>
                <w:sz w:val="16"/>
              </w:rPr>
              <w:t>McDonald’s relevance</w:t>
            </w:r>
          </w:p>
        </w:tc>
        <w:tc>
          <w:tcPr>
            <w:tcW w:type="dxa" w:w="7517"/>
            <w:tcMar>
              <w:top w:w="70" w:type="dxa"/>
              <w:start w:w="95" w:type="dxa"/>
              <w:bottom w:w="70" w:type="dxa"/>
              <w:end w:w="95" w:type="dxa"/>
            </w:tcMar>
            <w:vAlign w:val="top"/>
            <w:shd w:fill="FFFFFF"/>
          </w:tcPr>
          <w:p>
            <w:r>
              <w:rPr>
                <w:rFonts w:ascii="Arial" w:hAnsi="Arial"/>
                <w:b w:val="0"/>
                <w:i w:val="0"/>
                <w:color w:val="1D2939"/>
                <w:sz w:val="16"/>
              </w:rPr>
              <w:t>Supports cross-channel orchestration, processor flexibility, centralized device control, offline resilience and token continuity.</w:t>
            </w:r>
          </w:p>
        </w:tc>
      </w:tr>
      <w:tr>
        <w:tc>
          <w:tcPr>
            <w:tcW w:type="dxa" w:w="1843"/>
            <w:tcMar>
              <w:top w:w="70" w:type="dxa"/>
              <w:start w:w="95" w:type="dxa"/>
              <w:bottom w:w="70" w:type="dxa"/>
              <w:end w:w="95" w:type="dxa"/>
            </w:tcMar>
            <w:vAlign w:val="top"/>
            <w:shd w:fill="E9EDF2"/>
          </w:tcPr>
          <w:p>
            <w:r>
              <w:rPr>
                <w:rFonts w:ascii="Arial" w:hAnsi="Arial"/>
                <w:b/>
                <w:i w:val="0"/>
                <w:color w:val="14233B"/>
                <w:sz w:val="16"/>
              </w:rPr>
              <w:t>Selected experience</w:t>
            </w:r>
          </w:p>
        </w:tc>
        <w:tc>
          <w:tcPr>
            <w:tcW w:type="dxa" w:w="7517"/>
            <w:tcMar>
              <w:top w:w="70" w:type="dxa"/>
              <w:start w:w="95" w:type="dxa"/>
              <w:bottom w:w="70" w:type="dxa"/>
              <w:end w:w="95" w:type="dxa"/>
            </w:tcMar>
            <w:vAlign w:val="top"/>
            <w:shd w:fill="FAFBFC"/>
          </w:tcPr>
          <w:p>
            <w:r>
              <w:rPr>
                <w:rFonts w:ascii="Arial" w:hAnsi="Arial"/>
                <w:b w:val="0"/>
                <w:i w:val="0"/>
                <w:color w:val="1D2939"/>
                <w:sz w:val="16"/>
              </w:rPr>
              <w:t>CosMc’s used Global Payments for payment processing; FreedomPay supplied the gateway for its unattended-payment requirement.</w:t>
            </w:r>
          </w:p>
        </w:tc>
      </w:tr>
    </w:tbl>
    <w:p>
      <w:pPr>
        <w:keepNext/>
        <w:spacing w:before="140" w:after="60"/>
      </w:pPr>
      <w:r>
        <w:rPr>
          <w:rFonts w:ascii="Arial" w:hAnsi="Arial"/>
          <w:b/>
          <w:i w:val="0"/>
          <w:color w:val="14233B"/>
          <w:sz w:val="26"/>
        </w:rPr>
        <w:t>Genius Back Office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7517"/>
      </w:tblGrid>
      <w:tr>
        <w:tc>
          <w:tcPr>
            <w:tcW w:type="dxa" w:w="1843"/>
            <w:tcMar>
              <w:top w:w="70" w:type="dxa"/>
              <w:start w:w="95" w:type="dxa"/>
              <w:bottom w:w="70" w:type="dxa"/>
              <w:end w:w="95" w:type="dxa"/>
            </w:tcMar>
            <w:vAlign w:val="top"/>
            <w:shd w:fill="F4F6F8"/>
          </w:tcPr>
          <w:p>
            <w:r>
              <w:rPr>
                <w:rFonts w:ascii="Arial" w:hAnsi="Arial"/>
                <w:b/>
                <w:i w:val="0"/>
                <w:color w:val="14233B"/>
                <w:sz w:val="16"/>
              </w:rPr>
              <w:t>Heritage</w:t>
            </w:r>
          </w:p>
        </w:tc>
        <w:tc>
          <w:tcPr>
            <w:tcW w:type="dxa" w:w="7517"/>
            <w:tcMar>
              <w:top w:w="70" w:type="dxa"/>
              <w:start w:w="95" w:type="dxa"/>
              <w:bottom w:w="70" w:type="dxa"/>
              <w:end w:w="95" w:type="dxa"/>
            </w:tcMar>
            <w:vAlign w:val="top"/>
            <w:shd w:fill="FFFFFF"/>
          </w:tcPr>
          <w:p>
            <w:r>
              <w:rPr>
                <w:rFonts w:ascii="Arial" w:hAnsi="Arial"/>
                <w:b w:val="0"/>
                <w:i w:val="0"/>
                <w:color w:val="1D2939"/>
                <w:sz w:val="16"/>
              </w:rPr>
              <w:t>The Portal RTI, RTI Financial Accounting, Back Office and enterprise reporting heritage.</w:t>
            </w:r>
          </w:p>
        </w:tc>
      </w:tr>
      <w:tr>
        <w:tc>
          <w:tcPr>
            <w:tcW w:type="dxa" w:w="1843"/>
            <w:tcMar>
              <w:top w:w="70" w:type="dxa"/>
              <w:start w:w="95" w:type="dxa"/>
              <w:bottom w:w="70" w:type="dxa"/>
              <w:end w:w="95" w:type="dxa"/>
            </w:tcMar>
            <w:vAlign w:val="top"/>
            <w:shd w:fill="E9EDF2"/>
          </w:tcPr>
          <w:p>
            <w:r>
              <w:rPr>
                <w:rFonts w:ascii="Arial" w:hAnsi="Arial"/>
                <w:b/>
                <w:i w:val="0"/>
                <w:color w:val="14233B"/>
                <w:sz w:val="16"/>
              </w:rPr>
              <w:t>Capabilities</w:t>
            </w:r>
          </w:p>
        </w:tc>
        <w:tc>
          <w:tcPr>
            <w:tcW w:type="dxa" w:w="7517"/>
            <w:tcMar>
              <w:top w:w="70" w:type="dxa"/>
              <w:start w:w="95" w:type="dxa"/>
              <w:bottom w:w="70" w:type="dxa"/>
              <w:end w:w="95" w:type="dxa"/>
            </w:tcMar>
            <w:vAlign w:val="top"/>
            <w:shd w:fill="FAFBFC"/>
          </w:tcPr>
          <w:p>
            <w:r>
              <w:rPr>
                <w:rFonts w:ascii="Arial" w:hAnsi="Arial"/>
                <w:b w:val="0"/>
                <w:i w:val="0"/>
                <w:color w:val="1D2939"/>
                <w:sz w:val="16"/>
              </w:rPr>
              <w:t>Back-office and enterprise reporting capabilities spanning restaurant operations, inventory, labor, financial information and enterprise-level visibility.</w:t>
            </w:r>
          </w:p>
        </w:tc>
      </w:tr>
      <w:tr>
        <w:tc>
          <w:tcPr>
            <w:tcW w:type="dxa" w:w="1843"/>
            <w:tcMar>
              <w:top w:w="70" w:type="dxa"/>
              <w:start w:w="95" w:type="dxa"/>
              <w:bottom w:w="70" w:type="dxa"/>
              <w:end w:w="95" w:type="dxa"/>
            </w:tcMar>
            <w:vAlign w:val="top"/>
            <w:shd w:fill="F4F6F8"/>
          </w:tcPr>
          <w:p>
            <w:r>
              <w:rPr>
                <w:rFonts w:ascii="Arial" w:hAnsi="Arial"/>
                <w:b/>
                <w:i w:val="0"/>
                <w:color w:val="14233B"/>
                <w:sz w:val="16"/>
              </w:rPr>
              <w:t>McDonald’s relevance</w:t>
            </w:r>
          </w:p>
        </w:tc>
        <w:tc>
          <w:tcPr>
            <w:tcW w:type="dxa" w:w="7517"/>
            <w:tcMar>
              <w:top w:w="70" w:type="dxa"/>
              <w:start w:w="95" w:type="dxa"/>
              <w:bottom w:w="70" w:type="dxa"/>
              <w:end w:w="95" w:type="dxa"/>
            </w:tcMar>
            <w:vAlign w:val="top"/>
            <w:shd w:fill="FFFFFF"/>
          </w:tcPr>
          <w:p>
            <w:r>
              <w:rPr>
                <w:rFonts w:ascii="Arial" w:hAnsi="Arial"/>
                <w:b w:val="0"/>
                <w:i w:val="0"/>
                <w:color w:val="1D2939"/>
                <w:sz w:val="16"/>
              </w:rPr>
              <w:t>Connects restaurant activity with operational and enterprise reporting to support more consistent decision-making across the system.</w:t>
            </w:r>
          </w:p>
        </w:tc>
      </w:tr>
      <w:tr>
        <w:tc>
          <w:tcPr>
            <w:tcW w:type="dxa" w:w="1843"/>
            <w:tcMar>
              <w:top w:w="70" w:type="dxa"/>
              <w:start w:w="95" w:type="dxa"/>
              <w:bottom w:w="70" w:type="dxa"/>
              <w:end w:w="95" w:type="dxa"/>
            </w:tcMar>
            <w:vAlign w:val="top"/>
            <w:shd w:fill="E9EDF2"/>
          </w:tcPr>
          <w:p>
            <w:r>
              <w:rPr>
                <w:rFonts w:ascii="Arial" w:hAnsi="Arial"/>
                <w:b/>
                <w:i w:val="0"/>
                <w:color w:val="14233B"/>
                <w:sz w:val="16"/>
              </w:rPr>
              <w:t>Selected experience</w:t>
            </w:r>
          </w:p>
        </w:tc>
        <w:tc>
          <w:tcPr>
            <w:tcW w:type="dxa" w:w="7517"/>
            <w:tcMar>
              <w:top w:w="70" w:type="dxa"/>
              <w:start w:w="95" w:type="dxa"/>
              <w:bottom w:w="70" w:type="dxa"/>
              <w:end w:w="95" w:type="dxa"/>
            </w:tcMar>
            <w:vAlign w:val="top"/>
            <w:shd w:fill="FAFBFC"/>
          </w:tcPr>
          <w:p>
            <w:r>
              <w:rPr>
                <w:rFonts w:ascii="Arial" w:hAnsi="Arial"/>
                <w:b w:val="0"/>
                <w:i w:val="0"/>
                <w:color w:val="1D2939"/>
                <w:sz w:val="16"/>
              </w:rPr>
              <w:t>Global Payments continues to support customers across The Portal RTI, RTI Financial Accounting and Back Office product families.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35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 xml:space="preserve">CONFIDENTIAL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i w:val="0"/>
        <w:color w:val="14233B"/>
        <w:sz w:val="26"/>
      </w:rPr>
      <w:t>globalpayments</w:t>
    </w:r>
    <w:r>
      <w:rPr>
        <w:rFonts w:ascii="Arial" w:hAnsi="Arial"/>
        <w:b/>
        <w:i w:val="0"/>
        <w:color w:val="2764FF"/>
        <w:sz w:val="18"/>
      </w:rPr>
      <w:t xml:space="preserve">  /  GENIUS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color w:val="1D2939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4233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4233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2764F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Genius Restaurant Technology Product Map</dc:title>
  <dc:subject>McDonald’s capability overview for Jeff Coffland</dc:subject>
  <dc:creator>Todd Vahlsing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