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80"/>
      </w:pPr>
      <w:r>
        <w:rPr>
          <w:rFonts w:ascii="Arial" w:hAnsi="Arial"/>
          <w:b/>
          <w:i w:val="0"/>
          <w:color w:val="00A6D6"/>
          <w:sz w:val="18"/>
        </w:rPr>
        <w:t>PRODUCT PORTFOLIO MAP</w:t>
      </w:r>
    </w:p>
    <w:p>
      <w:pPr>
        <w:spacing w:after="200"/>
      </w:pPr>
      <w:r>
        <w:rPr>
          <w:rFonts w:ascii="Arial" w:hAnsi="Arial"/>
          <w:b/>
          <w:i w:val="0"/>
          <w:color w:val="14233B"/>
          <w:sz w:val="62"/>
        </w:rPr>
        <w:t>Genius restaurant</w:t>
        <w:br/>
        <w:t>technology</w:t>
      </w:r>
    </w:p>
    <w:p>
      <w:pPr>
        <w:spacing w:after="440"/>
      </w:pPr>
      <w:r>
        <w:rPr>
          <w:rFonts w:ascii="Arial" w:hAnsi="Arial"/>
          <w:b/>
          <w:i w:val="0"/>
          <w:color w:val="2764FF"/>
          <w:sz w:val="34"/>
        </w:rPr>
        <w:t>McDonald’s routing reference</w:t>
      </w:r>
    </w:p>
    <w:tbl>
      <w:tblPr>
        <w:tblW w:type="auto" w:w="0"/>
        <w:jc w:val="center"/>
        <w:tblLayout w:type="fixed"/>
        <w:tblLook w:firstColumn="1" w:firstRow="1" w:lastColumn="0" w:lastRow="0" w:noHBand="0" w:noVBand="1" w:val="04A0"/>
      </w:tblPr>
      <w:tblGrid>
        <w:gridCol w:w="144"/>
        <w:gridCol w:w="9216"/>
      </w:tblGrid>
      <w:tr>
        <w:tc>
          <w:tcPr>
            <w:tcW w:type="dxa" w:w="5083"/>
            <w:shd w:fill="F2B705"/>
            <w:tcMar>
              <w:top w:w="0" w:type="dxa"/>
              <w:start w:w="0" w:type="dxa"/>
              <w:bottom w:w="0" w:type="dxa"/>
              <w:end w:w="0" w:type="dxa"/>
            </w:tcMar>
          </w:tcPr>
          <w:p/>
        </w:tc>
        <w:tc>
          <w:tcPr>
            <w:tcW w:type="dxa" w:w="5083"/>
            <w:shd w:fill="FFF5D6"/>
            <w:tcMar>
              <w:top w:w="120" w:type="dxa"/>
              <w:start w:w="150" w:type="dxa"/>
              <w:bottom w:w="120" w:type="dxa"/>
              <w:end w:w="150" w:type="dxa"/>
            </w:tcMar>
          </w:tcPr>
          <w:p>
            <w:r>
              <w:rPr>
                <w:rFonts w:ascii="Arial" w:hAnsi="Arial"/>
                <w:b/>
                <w:i w:val="0"/>
                <w:color w:val="14233B"/>
                <w:sz w:val="18"/>
              </w:rPr>
              <w:t>VALIDATION COPY — NOT YET FOR EXTERNAL DISTRIBUTION</w:t>
              <w:br/>
            </w:r>
            <w:r>
              <w:rPr>
                <w:rFonts w:ascii="Arial" w:hAnsi="Arial"/>
                <w:b w:val="0"/>
                <w:i w:val="0"/>
                <w:color w:val="1D2939"/>
                <w:sz w:val="18"/>
              </w:rPr>
              <w:t>A concise view of the Genius restaurant portfolio, its product heritage and its relevance to McDonald’s. Ryan Hildebrand or Michael Schwartz should validate the highlighted confirmation items before it is shared with Jeff Coffland.</w:t>
            </w:r>
          </w:p>
        </w:tc>
      </w:tr>
    </w:tbl>
    <w:p>
      <w:pPr>
        <w:spacing w:after="0"/>
      </w:pPr>
    </w:p>
    <w:tbl>
      <w:tblPr>
        <w:tblW w:type="auto" w:w="0"/>
        <w:jc w:val="left"/>
        <w:tblLayout w:type="fixed"/>
        <w:tblLook w:firstColumn="1" w:firstRow="1" w:lastColumn="0" w:lastRow="0" w:noHBand="0" w:noVBand="1" w:val="04A0"/>
      </w:tblPr>
      <w:tblGrid>
        <w:gridCol w:w="1944"/>
        <w:gridCol w:w="6912"/>
      </w:tblGrid>
      <w:tr>
        <w:tc>
          <w:tcPr>
            <w:tcW w:type="dxa" w:w="5083"/>
            <w:tcMar>
              <w:top w:w="70" w:type="dxa"/>
              <w:start w:w="80" w:type="dxa"/>
              <w:bottom w:w="70" w:type="dxa"/>
              <w:end w:w="80" w:type="dxa"/>
            </w:tcMar>
            <w:shd w:fill="F4F6F8"/>
          </w:tcPr>
          <w:p>
            <w:r>
              <w:rPr>
                <w:rFonts w:ascii="Arial" w:hAnsi="Arial"/>
                <w:b/>
                <w:i w:val="0"/>
                <w:color w:val="14233B"/>
                <w:sz w:val="17"/>
              </w:rPr>
              <w:t>Prepared for</w:t>
            </w:r>
          </w:p>
        </w:tc>
        <w:tc>
          <w:tcPr>
            <w:tcW w:type="dxa" w:w="5083"/>
            <w:tcMar>
              <w:top w:w="70" w:type="dxa"/>
              <w:start w:w="80" w:type="dxa"/>
              <w:bottom w:w="70" w:type="dxa"/>
              <w:end w:w="80" w:type="dxa"/>
            </w:tcMar>
            <w:shd w:fill="F4F6F8"/>
          </w:tcPr>
          <w:p>
            <w:r>
              <w:rPr>
                <w:rFonts w:ascii="Arial" w:hAnsi="Arial"/>
                <w:b w:val="0"/>
                <w:i w:val="0"/>
                <w:color w:val="1D2939"/>
                <w:sz w:val="17"/>
              </w:rPr>
              <w:t>Jeff Coffland — McDonald’s capability overview</w:t>
            </w:r>
          </w:p>
        </w:tc>
      </w:tr>
      <w:tr>
        <w:tc>
          <w:tcPr>
            <w:tcW w:type="dxa" w:w="5083"/>
            <w:tcMar>
              <w:top w:w="70" w:type="dxa"/>
              <w:start w:w="80" w:type="dxa"/>
              <w:bottom w:w="70" w:type="dxa"/>
              <w:end w:w="80" w:type="dxa"/>
            </w:tcMar>
            <w:shd w:fill="FFFFFF"/>
          </w:tcPr>
          <w:p>
            <w:r>
              <w:rPr>
                <w:rFonts w:ascii="Arial" w:hAnsi="Arial"/>
                <w:b/>
                <w:i w:val="0"/>
                <w:color w:val="14233B"/>
                <w:sz w:val="17"/>
              </w:rPr>
              <w:t>Validation</w:t>
            </w:r>
          </w:p>
        </w:tc>
        <w:tc>
          <w:tcPr>
            <w:tcW w:type="dxa" w:w="5083"/>
            <w:tcMar>
              <w:top w:w="70" w:type="dxa"/>
              <w:start w:w="80" w:type="dxa"/>
              <w:bottom w:w="70" w:type="dxa"/>
              <w:end w:w="80" w:type="dxa"/>
            </w:tcMar>
            <w:shd w:fill="FFFFFF"/>
          </w:tcPr>
          <w:p>
            <w:r>
              <w:rPr>
                <w:rFonts w:ascii="Arial" w:hAnsi="Arial"/>
                <w:b w:val="0"/>
                <w:i w:val="0"/>
                <w:color w:val="1D2939"/>
                <w:sz w:val="17"/>
              </w:rPr>
              <w:t>Ryan Hildebrand or Michael Schwartz</w:t>
            </w:r>
          </w:p>
        </w:tc>
      </w:tr>
      <w:tr>
        <w:tc>
          <w:tcPr>
            <w:tcW w:type="dxa" w:w="5083"/>
            <w:tcMar>
              <w:top w:w="70" w:type="dxa"/>
              <w:start w:w="80" w:type="dxa"/>
              <w:bottom w:w="70" w:type="dxa"/>
              <w:end w:w="80" w:type="dxa"/>
            </w:tcMar>
            <w:shd w:fill="F4F6F8"/>
          </w:tcPr>
          <w:p>
            <w:r>
              <w:rPr>
                <w:rFonts w:ascii="Arial" w:hAnsi="Arial"/>
                <w:b/>
                <w:i w:val="0"/>
                <w:color w:val="14233B"/>
                <w:sz w:val="17"/>
              </w:rPr>
              <w:t>As of</w:t>
            </w:r>
          </w:p>
        </w:tc>
        <w:tc>
          <w:tcPr>
            <w:tcW w:type="dxa" w:w="5083"/>
            <w:tcMar>
              <w:top w:w="70" w:type="dxa"/>
              <w:start w:w="80" w:type="dxa"/>
              <w:bottom w:w="70" w:type="dxa"/>
              <w:end w:w="80" w:type="dxa"/>
            </w:tcMar>
            <w:shd w:fill="F4F6F8"/>
          </w:tcPr>
          <w:p>
            <w:r>
              <w:rPr>
                <w:rFonts w:ascii="Arial" w:hAnsi="Arial"/>
                <w:b w:val="0"/>
                <w:i w:val="0"/>
                <w:color w:val="1D2939"/>
                <w:sz w:val="17"/>
              </w:rPr>
              <w:t>August 12, 2026</w:t>
            </w:r>
          </w:p>
        </w:tc>
      </w:tr>
      <w:tr>
        <w:tc>
          <w:tcPr>
            <w:tcW w:type="dxa" w:w="5083"/>
            <w:tcMar>
              <w:top w:w="70" w:type="dxa"/>
              <w:start w:w="80" w:type="dxa"/>
              <w:bottom w:w="70" w:type="dxa"/>
              <w:end w:w="80" w:type="dxa"/>
            </w:tcMar>
            <w:shd w:fill="FFFFFF"/>
          </w:tcPr>
          <w:p>
            <w:r>
              <w:rPr>
                <w:rFonts w:ascii="Arial" w:hAnsi="Arial"/>
                <w:b/>
                <w:i w:val="0"/>
                <w:color w:val="14233B"/>
                <w:sz w:val="17"/>
              </w:rPr>
              <w:t>Basis</w:t>
            </w:r>
          </w:p>
        </w:tc>
        <w:tc>
          <w:tcPr>
            <w:tcW w:type="dxa" w:w="5083"/>
            <w:tcMar>
              <w:top w:w="70" w:type="dxa"/>
              <w:start w:w="80" w:type="dxa"/>
              <w:bottom w:w="70" w:type="dxa"/>
              <w:end w:w="80" w:type="dxa"/>
            </w:tcMar>
            <w:shd w:fill="FFFFFF"/>
          </w:tcPr>
          <w:p>
            <w:r>
              <w:rPr>
                <w:rFonts w:ascii="Arial" w:hAnsi="Arial"/>
                <w:b w:val="0"/>
                <w:i w:val="0"/>
                <w:color w:val="1D2939"/>
                <w:sz w:val="17"/>
              </w:rPr>
              <w:t>Official Global Payments/Xenial materials + internal product and payments inputs</w:t>
            </w:r>
          </w:p>
        </w:tc>
      </w:tr>
    </w:tbl>
    <w:p>
      <w:pPr>
        <w:spacing w:after="160"/>
      </w:pPr>
    </w:p>
    <w:p>
      <w:pPr>
        <w:pStyle w:val="Heading2"/>
        <w:keepNext/>
      </w:pPr>
      <w:r>
        <w:t>How to read this map</w:t>
      </w:r>
    </w:p>
    <w:p>
      <w:pPr>
        <w:pStyle w:val="ListBullet"/>
        <w:spacing w:after="50"/>
      </w:pPr>
      <w:r>
        <w:rPr>
          <w:rFonts w:ascii="Arial" w:hAnsi="Arial"/>
          <w:b w:val="0"/>
          <w:i w:val="0"/>
          <w:color w:val="1D2939"/>
          <w:sz w:val="18"/>
        </w:rPr>
        <w:t>Each entry identifies the current product, its former Xenial/SICOM/RTI heritage, supported capabilities and relevance to McDonald’s.</w:t>
      </w:r>
    </w:p>
    <w:p>
      <w:pPr>
        <w:pStyle w:val="ListBullet"/>
        <w:spacing w:after="50"/>
      </w:pPr>
      <w:r>
        <w:rPr>
          <w:rFonts w:ascii="Arial" w:hAnsi="Arial"/>
          <w:b w:val="0"/>
          <w:i w:val="0"/>
          <w:color w:val="1D2939"/>
          <w:sz w:val="18"/>
        </w:rPr>
        <w:t>Customer examples show demonstrated fit; they do not imply McDonald’s approval or a production entitlement.</w:t>
      </w:r>
    </w:p>
    <w:p>
      <w:pPr>
        <w:pStyle w:val="ListBullet"/>
        <w:spacing w:after="50"/>
      </w:pPr>
      <w:r>
        <w:rPr>
          <w:rFonts w:ascii="Arial" w:hAnsi="Arial"/>
          <w:b w:val="0"/>
          <w:i w:val="0"/>
          <w:color w:val="1D2939"/>
          <w:sz w:val="18"/>
        </w:rPr>
        <w:t>Items marked “Confirm before sharing” are reviewer checks, not part of the final external narrative.</w:t>
      </w:r>
    </w:p>
    <w:p>
      <w:r>
        <w:br w:type="page"/>
      </w:r>
    </w:p>
    <w:p>
      <w:pPr>
        <w:keepNext/>
        <w:spacing w:after="40"/>
      </w:pPr>
      <w:r>
        <w:rPr>
          <w:rFonts w:ascii="Arial" w:hAnsi="Arial"/>
          <w:b/>
          <w:i w:val="0"/>
          <w:color w:val="00A6D6"/>
          <w:sz w:val="16"/>
        </w:rPr>
        <w:t>PRODUCT MAP 1 OF 4</w:t>
      </w:r>
    </w:p>
    <w:p>
      <w:pPr>
        <w:pStyle w:val="Heading1"/>
        <w:keepNext/>
      </w:pPr>
      <w:r>
        <w:t>Core commerce and self-service</w:t>
      </w:r>
    </w:p>
    <w:p>
      <w:pPr>
        <w:keepNext/>
        <w:spacing w:before="140" w:after="60"/>
      </w:pPr>
      <w:r>
        <w:rPr>
          <w:rFonts w:ascii="Arial" w:hAnsi="Arial"/>
          <w:b/>
          <w:i w:val="0"/>
          <w:color w:val="14233B"/>
          <w:sz w:val="26"/>
        </w:rPr>
        <w:t>Genius Enterprise POS</w:t>
      </w:r>
      <w:r>
        <w:rPr>
          <w:rFonts w:ascii="Arial" w:hAnsi="Arial"/>
          <w:b/>
          <w:i w:val="0"/>
          <w:color w:val="17745A"/>
          <w:sz w:val="15"/>
        </w:rPr>
        <w:t xml:space="preserve">   PUBLICLY GROUNDED</w:t>
      </w:r>
    </w:p>
    <w:tbl>
      <w:tblPr>
        <w:tblW w:type="auto" w:w="0"/>
        <w:jc w:val="center"/>
        <w:tblLayout w:type="fixed"/>
        <w:tblLook w:firstColumn="1" w:firstRow="1" w:lastColumn="0" w:lastRow="0" w:noHBand="0" w:noVBand="1" w:val="04A0"/>
      </w:tblPr>
      <w:tblGrid>
        <w:gridCol w:w="1843"/>
        <w:gridCol w:w="7517"/>
      </w:tblGrid>
      <w:tr>
        <w:tc>
          <w:tcPr>
            <w:tcW w:type="dxa" w:w="1843"/>
            <w:tcMar>
              <w:top w:w="70" w:type="dxa"/>
              <w:start w:w="95" w:type="dxa"/>
              <w:bottom w:w="70" w:type="dxa"/>
              <w:end w:w="95" w:type="dxa"/>
            </w:tcMar>
            <w:vAlign w:val="top"/>
            <w:shd w:fill="F4F6F8"/>
          </w:tcPr>
          <w:p>
            <w:r>
              <w:rPr>
                <w:rFonts w:ascii="Arial" w:hAnsi="Arial"/>
                <w:b/>
                <w:i w:val="0"/>
                <w:color w:val="14233B"/>
                <w:sz w:val="16"/>
              </w:rPr>
              <w:t>Current label</w:t>
            </w:r>
          </w:p>
        </w:tc>
        <w:tc>
          <w:tcPr>
            <w:tcW w:type="dxa" w:w="7517"/>
            <w:tcMar>
              <w:top w:w="70" w:type="dxa"/>
              <w:start w:w="95" w:type="dxa"/>
              <w:bottom w:w="70" w:type="dxa"/>
              <w:end w:w="95" w:type="dxa"/>
            </w:tcMar>
            <w:vAlign w:val="top"/>
            <w:shd w:fill="FFFFFF"/>
          </w:tcPr>
          <w:p>
            <w:r>
              <w:rPr>
                <w:rFonts w:ascii="Arial" w:hAnsi="Arial"/>
                <w:b w:val="0"/>
                <w:i w:val="0"/>
                <w:color w:val="1D2939"/>
                <w:sz w:val="16"/>
              </w:rPr>
              <w:t>Genius Enterprise POS</w:t>
            </w:r>
          </w:p>
        </w:tc>
      </w:tr>
      <w:tr>
        <w:tc>
          <w:tcPr>
            <w:tcW w:type="dxa" w:w="1843"/>
            <w:tcMar>
              <w:top w:w="70" w:type="dxa"/>
              <w:start w:w="95" w:type="dxa"/>
              <w:bottom w:w="70" w:type="dxa"/>
              <w:end w:w="95" w:type="dxa"/>
            </w:tcMar>
            <w:vAlign w:val="top"/>
            <w:shd w:fill="E9EDF2"/>
          </w:tcPr>
          <w:p>
            <w:r>
              <w:rPr>
                <w:rFonts w:ascii="Arial" w:hAnsi="Arial"/>
                <w:b/>
                <w:i w:val="0"/>
                <w:color w:val="14233B"/>
                <w:sz w:val="16"/>
              </w:rPr>
              <w:t>Lineage</w:t>
            </w:r>
          </w:p>
        </w:tc>
        <w:tc>
          <w:tcPr>
            <w:tcW w:type="dxa" w:w="7517"/>
            <w:tcMar>
              <w:top w:w="70" w:type="dxa"/>
              <w:start w:w="95" w:type="dxa"/>
              <w:bottom w:w="70" w:type="dxa"/>
              <w:end w:w="95" w:type="dxa"/>
            </w:tcMar>
            <w:vAlign w:val="top"/>
            <w:shd w:fill="FAFBFC"/>
          </w:tcPr>
          <w:p>
            <w:r>
              <w:rPr>
                <w:rFonts w:ascii="Arial" w:hAnsi="Arial"/>
                <w:b w:val="0"/>
                <w:i w:val="0"/>
                <w:color w:val="1D2939"/>
                <w:sz w:val="16"/>
              </w:rPr>
              <w:t>Working lineage: Xenial enterprise POS / Xenial Ordering. Confirm the exact product-to-product mapping.</w:t>
            </w:r>
          </w:p>
        </w:tc>
      </w:tr>
      <w:tr>
        <w:tc>
          <w:tcPr>
            <w:tcW w:type="dxa" w:w="1843"/>
            <w:tcMar>
              <w:top w:w="70" w:type="dxa"/>
              <w:start w:w="95" w:type="dxa"/>
              <w:bottom w:w="70" w:type="dxa"/>
              <w:end w:w="95" w:type="dxa"/>
            </w:tcMar>
            <w:vAlign w:val="top"/>
            <w:shd w:fill="F4F6F8"/>
          </w:tcPr>
          <w:p>
            <w:r>
              <w:rPr>
                <w:rFonts w:ascii="Arial" w:hAnsi="Arial"/>
                <w:b/>
                <w:i w:val="0"/>
                <w:color w:val="14233B"/>
                <w:sz w:val="16"/>
              </w:rPr>
              <w:t>What is supported</w:t>
            </w:r>
          </w:p>
        </w:tc>
        <w:tc>
          <w:tcPr>
            <w:tcW w:type="dxa" w:w="7517"/>
            <w:tcMar>
              <w:top w:w="70" w:type="dxa"/>
              <w:start w:w="95" w:type="dxa"/>
              <w:bottom w:w="70" w:type="dxa"/>
              <w:end w:w="95" w:type="dxa"/>
            </w:tcMar>
            <w:vAlign w:val="top"/>
            <w:shd w:fill="FFFFFF"/>
          </w:tcPr>
          <w:p>
            <w:r>
              <w:rPr>
                <w:rFonts w:ascii="Arial" w:hAnsi="Arial"/>
                <w:b w:val="0"/>
                <w:i w:val="0"/>
                <w:color w:val="1D2939"/>
                <w:sz w:val="16"/>
              </w:rPr>
              <w:t>Cloud enterprise POS with centralized management, real-time synchronization, device/OS flexibility and offline operation. The internal pitch deck describes serverless in-store architecture, rapid terminal failover and offline capability for up to 30 days; validate those specifics before external use.</w:t>
            </w:r>
          </w:p>
        </w:tc>
      </w:tr>
      <w:tr>
        <w:tc>
          <w:tcPr>
            <w:tcW w:type="dxa" w:w="1843"/>
            <w:tcMar>
              <w:top w:w="70" w:type="dxa"/>
              <w:start w:w="95" w:type="dxa"/>
              <w:bottom w:w="70" w:type="dxa"/>
              <w:end w:w="95" w:type="dxa"/>
            </w:tcMar>
            <w:vAlign w:val="top"/>
            <w:shd w:fill="E9EDF2"/>
          </w:tcPr>
          <w:p>
            <w:r>
              <w:rPr>
                <w:rFonts w:ascii="Arial" w:hAnsi="Arial"/>
                <w:b/>
                <w:i w:val="0"/>
                <w:color w:val="14233B"/>
                <w:sz w:val="16"/>
              </w:rPr>
              <w:t>McDonald’s relevance</w:t>
            </w:r>
          </w:p>
        </w:tc>
        <w:tc>
          <w:tcPr>
            <w:tcW w:type="dxa" w:w="7517"/>
            <w:tcMar>
              <w:top w:w="70" w:type="dxa"/>
              <w:start w:w="95" w:type="dxa"/>
              <w:bottom w:w="70" w:type="dxa"/>
              <w:end w:w="95" w:type="dxa"/>
            </w:tcMar>
            <w:vAlign w:val="top"/>
            <w:shd w:fill="FAFBFC"/>
          </w:tcPr>
          <w:p>
            <w:r>
              <w:rPr>
                <w:rFonts w:ascii="Arial" w:hAnsi="Arial"/>
                <w:b w:val="0"/>
                <w:i w:val="0"/>
                <w:color w:val="1D2939"/>
                <w:sz w:val="16"/>
              </w:rPr>
              <w:t>Relevant as an integration and restaurant-commerce platform reference. Do not position it as a proposed NEWPOS replacement without an explicit McDonald’s request.</w:t>
            </w:r>
          </w:p>
        </w:tc>
      </w:tr>
      <w:tr>
        <w:tc>
          <w:tcPr>
            <w:tcW w:type="dxa" w:w="1843"/>
            <w:tcMar>
              <w:top w:w="70" w:type="dxa"/>
              <w:start w:w="95" w:type="dxa"/>
              <w:bottom w:w="70" w:type="dxa"/>
              <w:end w:w="95" w:type="dxa"/>
            </w:tcMar>
            <w:vAlign w:val="top"/>
            <w:shd w:fill="F4F6F8"/>
          </w:tcPr>
          <w:p>
            <w:r>
              <w:rPr>
                <w:rFonts w:ascii="Arial" w:hAnsi="Arial"/>
                <w:b/>
                <w:i w:val="0"/>
                <w:color w:val="14233B"/>
                <w:sz w:val="16"/>
              </w:rPr>
              <w:t>Proof point</w:t>
            </w:r>
          </w:p>
        </w:tc>
        <w:tc>
          <w:tcPr>
            <w:tcW w:type="dxa" w:w="7517"/>
            <w:tcMar>
              <w:top w:w="70" w:type="dxa"/>
              <w:start w:w="95" w:type="dxa"/>
              <w:bottom w:w="70" w:type="dxa"/>
              <w:end w:w="95" w:type="dxa"/>
            </w:tcMar>
            <w:vAlign w:val="top"/>
            <w:shd w:fill="FFFFFF"/>
          </w:tcPr>
          <w:p>
            <w:r>
              <w:rPr>
                <w:rFonts w:ascii="Arial" w:hAnsi="Arial"/>
                <w:b w:val="0"/>
                <w:i w:val="0"/>
                <w:color w:val="1D2939"/>
                <w:sz w:val="16"/>
              </w:rPr>
              <w:t>A&amp;W Canada: 1,032 restaurants in under three years. Internal deck: 7 Brew deployed 530+ locations in nine weeks and supports millions of transactions weekly.</w:t>
            </w:r>
          </w:p>
        </w:tc>
      </w:tr>
      <w:tr>
        <w:tc>
          <w:tcPr>
            <w:tcW w:type="dxa" w:w="1843"/>
            <w:tcMar>
              <w:top w:w="70" w:type="dxa"/>
              <w:start w:w="95" w:type="dxa"/>
              <w:bottom w:w="70" w:type="dxa"/>
              <w:end w:w="95" w:type="dxa"/>
            </w:tcMar>
            <w:vAlign w:val="top"/>
            <w:shd w:fill="E9EDF2"/>
          </w:tcPr>
          <w:p>
            <w:r>
              <w:rPr>
                <w:rFonts w:ascii="Arial" w:hAnsi="Arial"/>
                <w:b/>
                <w:i w:val="0"/>
                <w:color w:val="14233B"/>
                <w:sz w:val="16"/>
              </w:rPr>
              <w:t>Confirm before sharing</w:t>
            </w:r>
          </w:p>
        </w:tc>
        <w:tc>
          <w:tcPr>
            <w:tcW w:type="dxa" w:w="7517"/>
            <w:tcMar>
              <w:top w:w="70" w:type="dxa"/>
              <w:start w:w="95" w:type="dxa"/>
              <w:bottom w:w="70" w:type="dxa"/>
              <w:end w:w="95" w:type="dxa"/>
            </w:tcMar>
            <w:vAlign w:val="top"/>
            <w:shd w:fill="FAFBFC"/>
          </w:tcPr>
          <w:p>
            <w:r>
              <w:rPr>
                <w:rFonts w:ascii="Arial" w:hAnsi="Arial"/>
                <w:b w:val="0"/>
                <w:i w:val="0"/>
                <w:color w:val="1D2939"/>
                <w:sz w:val="16"/>
              </w:rPr>
              <w:t>Current sellable edition/SKU; exact Xenial lineage; offline/failover claims; supported markets and service model; permission to use 7 Brew metrics; what POS version CosMc’s used.</w:t>
            </w:r>
          </w:p>
        </w:tc>
      </w:tr>
    </w:tbl>
    <w:p>
      <w:pPr>
        <w:keepNext/>
        <w:spacing w:before="140" w:after="60"/>
      </w:pPr>
      <w:r>
        <w:rPr>
          <w:rFonts w:ascii="Arial" w:hAnsi="Arial"/>
          <w:b/>
          <w:i w:val="0"/>
          <w:color w:val="14233B"/>
          <w:sz w:val="26"/>
        </w:rPr>
        <w:t>Genius Kiosk</w:t>
      </w:r>
      <w:r>
        <w:rPr>
          <w:rFonts w:ascii="Arial" w:hAnsi="Arial"/>
          <w:b/>
          <w:i w:val="0"/>
          <w:color w:val="17745A"/>
          <w:sz w:val="15"/>
        </w:rPr>
        <w:t xml:space="preserve">   PUBLICLY GROUNDED</w:t>
      </w:r>
    </w:p>
    <w:tbl>
      <w:tblPr>
        <w:tblW w:type="auto" w:w="0"/>
        <w:jc w:val="center"/>
        <w:tblLayout w:type="fixed"/>
        <w:tblLook w:firstColumn="1" w:firstRow="1" w:lastColumn="0" w:lastRow="0" w:noHBand="0" w:noVBand="1" w:val="04A0"/>
      </w:tblPr>
      <w:tblGrid>
        <w:gridCol w:w="1843"/>
        <w:gridCol w:w="7517"/>
      </w:tblGrid>
      <w:tr>
        <w:tc>
          <w:tcPr>
            <w:tcW w:type="dxa" w:w="1843"/>
            <w:tcMar>
              <w:top w:w="70" w:type="dxa"/>
              <w:start w:w="95" w:type="dxa"/>
              <w:bottom w:w="70" w:type="dxa"/>
              <w:end w:w="95" w:type="dxa"/>
            </w:tcMar>
            <w:vAlign w:val="top"/>
            <w:shd w:fill="F4F6F8"/>
          </w:tcPr>
          <w:p>
            <w:r>
              <w:rPr>
                <w:rFonts w:ascii="Arial" w:hAnsi="Arial"/>
                <w:b/>
                <w:i w:val="0"/>
                <w:color w:val="14233B"/>
                <w:sz w:val="16"/>
              </w:rPr>
              <w:t>Current label</w:t>
            </w:r>
          </w:p>
        </w:tc>
        <w:tc>
          <w:tcPr>
            <w:tcW w:type="dxa" w:w="7517"/>
            <w:tcMar>
              <w:top w:w="70" w:type="dxa"/>
              <w:start w:w="95" w:type="dxa"/>
              <w:bottom w:w="70" w:type="dxa"/>
              <w:end w:w="95" w:type="dxa"/>
            </w:tcMar>
            <w:vAlign w:val="top"/>
            <w:shd w:fill="FFFFFF"/>
          </w:tcPr>
          <w:p>
            <w:r>
              <w:rPr>
                <w:rFonts w:ascii="Arial" w:hAnsi="Arial"/>
                <w:b w:val="0"/>
                <w:i w:val="0"/>
                <w:color w:val="1D2939"/>
                <w:sz w:val="16"/>
              </w:rPr>
              <w:t>Genius Kiosk / enterprise self-service ordering</w:t>
            </w:r>
          </w:p>
        </w:tc>
      </w:tr>
      <w:tr>
        <w:tc>
          <w:tcPr>
            <w:tcW w:type="dxa" w:w="1843"/>
            <w:tcMar>
              <w:top w:w="70" w:type="dxa"/>
              <w:start w:w="95" w:type="dxa"/>
              <w:bottom w:w="70" w:type="dxa"/>
              <w:end w:w="95" w:type="dxa"/>
            </w:tcMar>
            <w:vAlign w:val="top"/>
            <w:shd w:fill="E9EDF2"/>
          </w:tcPr>
          <w:p>
            <w:r>
              <w:rPr>
                <w:rFonts w:ascii="Arial" w:hAnsi="Arial"/>
                <w:b/>
                <w:i w:val="0"/>
                <w:color w:val="14233B"/>
                <w:sz w:val="16"/>
              </w:rPr>
              <w:t>Lineage</w:t>
            </w:r>
          </w:p>
        </w:tc>
        <w:tc>
          <w:tcPr>
            <w:tcW w:type="dxa" w:w="7517"/>
            <w:tcMar>
              <w:top w:w="70" w:type="dxa"/>
              <w:start w:w="95" w:type="dxa"/>
              <w:bottom w:w="70" w:type="dxa"/>
              <w:end w:w="95" w:type="dxa"/>
            </w:tcMar>
            <w:vAlign w:val="top"/>
            <w:shd w:fill="FAFBFC"/>
          </w:tcPr>
          <w:p>
            <w:r>
              <w:rPr>
                <w:rFonts w:ascii="Arial" w:hAnsi="Arial"/>
                <w:b w:val="0"/>
                <w:i w:val="0"/>
                <w:color w:val="1D2939"/>
                <w:sz w:val="16"/>
              </w:rPr>
              <w:t>Former public label: Xenial Kiosk hardware and software / Xenial Ordering Kiosk.</w:t>
            </w:r>
          </w:p>
        </w:tc>
      </w:tr>
      <w:tr>
        <w:tc>
          <w:tcPr>
            <w:tcW w:type="dxa" w:w="1843"/>
            <w:tcMar>
              <w:top w:w="70" w:type="dxa"/>
              <w:start w:w="95" w:type="dxa"/>
              <w:bottom w:w="70" w:type="dxa"/>
              <w:end w:w="95" w:type="dxa"/>
            </w:tcMar>
            <w:vAlign w:val="top"/>
            <w:shd w:fill="F4F6F8"/>
          </w:tcPr>
          <w:p>
            <w:r>
              <w:rPr>
                <w:rFonts w:ascii="Arial" w:hAnsi="Arial"/>
                <w:b/>
                <w:i w:val="0"/>
                <w:color w:val="14233B"/>
                <w:sz w:val="16"/>
              </w:rPr>
              <w:t>What is supported</w:t>
            </w:r>
          </w:p>
        </w:tc>
        <w:tc>
          <w:tcPr>
            <w:tcW w:type="dxa" w:w="7517"/>
            <w:tcMar>
              <w:top w:w="70" w:type="dxa"/>
              <w:start w:w="95" w:type="dxa"/>
              <w:bottom w:w="70" w:type="dxa"/>
              <w:end w:w="95" w:type="dxa"/>
            </w:tcMar>
            <w:vAlign w:val="top"/>
            <w:shd w:fill="FFFFFF"/>
          </w:tcPr>
          <w:p>
            <w:r>
              <w:rPr>
                <w:rFonts w:ascii="Arial" w:hAnsi="Arial"/>
                <w:b w:val="0"/>
                <w:i w:val="0"/>
                <w:color w:val="1D2939"/>
                <w:sz w:val="16"/>
              </w:rPr>
              <w:t>Self-service ordering with indoor/outdoor and multiple mounting options. The internal deck adds 20+ years of kiosk development, 15,000+ self-service installations, favorites/repeat orders, multilingual and accessibility options, dynamic splash screens and pickup workflows.</w:t>
            </w:r>
          </w:p>
        </w:tc>
      </w:tr>
      <w:tr>
        <w:tc>
          <w:tcPr>
            <w:tcW w:type="dxa" w:w="1843"/>
            <w:tcMar>
              <w:top w:w="70" w:type="dxa"/>
              <w:start w:w="95" w:type="dxa"/>
              <w:bottom w:w="70" w:type="dxa"/>
              <w:end w:w="95" w:type="dxa"/>
            </w:tcMar>
            <w:vAlign w:val="top"/>
            <w:shd w:fill="E9EDF2"/>
          </w:tcPr>
          <w:p>
            <w:r>
              <w:rPr>
                <w:rFonts w:ascii="Arial" w:hAnsi="Arial"/>
                <w:b/>
                <w:i w:val="0"/>
                <w:color w:val="14233B"/>
                <w:sz w:val="16"/>
              </w:rPr>
              <w:t>McDonald’s relevance</w:t>
            </w:r>
          </w:p>
        </w:tc>
        <w:tc>
          <w:tcPr>
            <w:tcW w:type="dxa" w:w="7517"/>
            <w:tcMar>
              <w:top w:w="70" w:type="dxa"/>
              <w:start w:w="95" w:type="dxa"/>
              <w:bottom w:w="70" w:type="dxa"/>
              <w:end w:w="95" w:type="dxa"/>
            </w:tcMar>
            <w:vAlign w:val="top"/>
            <w:shd w:fill="FAFBFC"/>
          </w:tcPr>
          <w:p>
            <w:r>
              <w:rPr>
                <w:rFonts w:ascii="Arial" w:hAnsi="Arial"/>
                <w:b w:val="0"/>
                <w:i w:val="0"/>
                <w:color w:val="1D2939"/>
                <w:sz w:val="16"/>
              </w:rPr>
              <w:t>Relevant where McDonald’s wants modular self-service or integration options, subject to global store standards and accessibility requirements.</w:t>
            </w:r>
          </w:p>
        </w:tc>
      </w:tr>
      <w:tr>
        <w:tc>
          <w:tcPr>
            <w:tcW w:type="dxa" w:w="1843"/>
            <w:tcMar>
              <w:top w:w="70" w:type="dxa"/>
              <w:start w:w="95" w:type="dxa"/>
              <w:bottom w:w="70" w:type="dxa"/>
              <w:end w:w="95" w:type="dxa"/>
            </w:tcMar>
            <w:vAlign w:val="top"/>
            <w:shd w:fill="F4F6F8"/>
          </w:tcPr>
          <w:p>
            <w:r>
              <w:rPr>
                <w:rFonts w:ascii="Arial" w:hAnsi="Arial"/>
                <w:b/>
                <w:i w:val="0"/>
                <w:color w:val="14233B"/>
                <w:sz w:val="16"/>
              </w:rPr>
              <w:t>Proof point</w:t>
            </w:r>
          </w:p>
        </w:tc>
        <w:tc>
          <w:tcPr>
            <w:tcW w:type="dxa" w:w="7517"/>
            <w:tcMar>
              <w:top w:w="70" w:type="dxa"/>
              <w:start w:w="95" w:type="dxa"/>
              <w:bottom w:w="70" w:type="dxa"/>
              <w:end w:w="95" w:type="dxa"/>
            </w:tcMar>
            <w:vAlign w:val="top"/>
            <w:shd w:fill="FFFFFF"/>
          </w:tcPr>
          <w:p>
            <w:r>
              <w:rPr>
                <w:rFonts w:ascii="Arial" w:hAnsi="Arial"/>
                <w:b w:val="0"/>
                <w:i w:val="0"/>
                <w:color w:val="1D2939"/>
                <w:sz w:val="16"/>
              </w:rPr>
              <w:t>Xenial materials describe hardware/software plus an SDK path; the internal deck states 15,000+ self-service solutions installed worldwide.</w:t>
            </w:r>
          </w:p>
        </w:tc>
      </w:tr>
      <w:tr>
        <w:tc>
          <w:tcPr>
            <w:tcW w:type="dxa" w:w="1843"/>
            <w:tcMar>
              <w:top w:w="70" w:type="dxa"/>
              <w:start w:w="95" w:type="dxa"/>
              <w:bottom w:w="70" w:type="dxa"/>
              <w:end w:w="95" w:type="dxa"/>
            </w:tcMar>
            <w:vAlign w:val="top"/>
            <w:shd w:fill="E9EDF2"/>
          </w:tcPr>
          <w:p>
            <w:r>
              <w:rPr>
                <w:rFonts w:ascii="Arial" w:hAnsi="Arial"/>
                <w:b/>
                <w:i w:val="0"/>
                <w:color w:val="14233B"/>
                <w:sz w:val="16"/>
              </w:rPr>
              <w:t>Confirm before sharing</w:t>
            </w:r>
          </w:p>
        </w:tc>
        <w:tc>
          <w:tcPr>
            <w:tcW w:type="dxa" w:w="7517"/>
            <w:tcMar>
              <w:top w:w="70" w:type="dxa"/>
              <w:start w:w="95" w:type="dxa"/>
              <w:bottom w:w="70" w:type="dxa"/>
              <w:end w:w="95" w:type="dxa"/>
            </w:tcMar>
            <w:vAlign w:val="top"/>
            <w:shd w:fill="FAFBFC"/>
          </w:tcPr>
          <w:p>
            <w:r>
              <w:rPr>
                <w:rFonts w:ascii="Arial" w:hAnsi="Arial"/>
                <w:b w:val="0"/>
                <w:i w:val="0"/>
                <w:color w:val="1D2939"/>
                <w:sz w:val="16"/>
              </w:rPr>
              <w:t>Current external name/configurations; validation and external-use permission for the 20+ year and 15,000+ claims; vendors; accessibility/security; payments; CosMc’s use; service coverage.</w:t>
            </w:r>
          </w:p>
        </w:tc>
      </w:tr>
    </w:tbl>
    <w:p>
      <w:r>
        <w:br w:type="page"/>
      </w:r>
    </w:p>
    <w:p>
      <w:pPr>
        <w:keepNext/>
        <w:spacing w:after="40"/>
      </w:pPr>
      <w:r>
        <w:rPr>
          <w:rFonts w:ascii="Arial" w:hAnsi="Arial"/>
          <w:b/>
          <w:i w:val="0"/>
          <w:color w:val="00A6D6"/>
          <w:sz w:val="16"/>
        </w:rPr>
        <w:t>PRODUCT MAP 2 OF 4</w:t>
      </w:r>
    </w:p>
    <w:p>
      <w:pPr>
        <w:pStyle w:val="Heading1"/>
        <w:keepNext/>
      </w:pPr>
      <w:r>
        <w:t>Kitchen, back office and payments</w:t>
      </w:r>
    </w:p>
    <w:p>
      <w:pPr>
        <w:keepNext/>
        <w:spacing w:before="140" w:after="60"/>
      </w:pPr>
      <w:r>
        <w:rPr>
          <w:rFonts w:ascii="Arial" w:hAnsi="Arial"/>
          <w:b/>
          <w:i w:val="0"/>
          <w:color w:val="14233B"/>
          <w:sz w:val="26"/>
        </w:rPr>
        <w:t>Genius Kitchen</w:t>
      </w:r>
      <w:r>
        <w:rPr>
          <w:rFonts w:ascii="Arial" w:hAnsi="Arial"/>
          <w:b/>
          <w:i w:val="0"/>
          <w:color w:val="17745A"/>
          <w:sz w:val="15"/>
        </w:rPr>
        <w:t xml:space="preserve">   PUBLICLY GROUNDED</w:t>
      </w:r>
    </w:p>
    <w:tbl>
      <w:tblPr>
        <w:tblW w:type="auto" w:w="0"/>
        <w:jc w:val="center"/>
        <w:tblLayout w:type="fixed"/>
        <w:tblLook w:firstColumn="1" w:firstRow="1" w:lastColumn="0" w:lastRow="0" w:noHBand="0" w:noVBand="1" w:val="04A0"/>
      </w:tblPr>
      <w:tblGrid>
        <w:gridCol w:w="1843"/>
        <w:gridCol w:w="7517"/>
      </w:tblGrid>
      <w:tr>
        <w:tc>
          <w:tcPr>
            <w:tcW w:type="dxa" w:w="1843"/>
            <w:tcMar>
              <w:top w:w="70" w:type="dxa"/>
              <w:start w:w="95" w:type="dxa"/>
              <w:bottom w:w="70" w:type="dxa"/>
              <w:end w:w="95" w:type="dxa"/>
            </w:tcMar>
            <w:vAlign w:val="top"/>
            <w:shd w:fill="F4F6F8"/>
          </w:tcPr>
          <w:p>
            <w:r>
              <w:rPr>
                <w:rFonts w:ascii="Arial" w:hAnsi="Arial"/>
                <w:b/>
                <w:i w:val="0"/>
                <w:color w:val="14233B"/>
                <w:sz w:val="16"/>
              </w:rPr>
              <w:t>Current label</w:t>
            </w:r>
          </w:p>
        </w:tc>
        <w:tc>
          <w:tcPr>
            <w:tcW w:type="dxa" w:w="7517"/>
            <w:tcMar>
              <w:top w:w="70" w:type="dxa"/>
              <w:start w:w="95" w:type="dxa"/>
              <w:bottom w:w="70" w:type="dxa"/>
              <w:end w:w="95" w:type="dxa"/>
            </w:tcMar>
            <w:vAlign w:val="top"/>
            <w:shd w:fill="FFFFFF"/>
          </w:tcPr>
          <w:p>
            <w:r>
              <w:rPr>
                <w:rFonts w:ascii="Arial" w:hAnsi="Arial"/>
                <w:b w:val="0"/>
                <w:i w:val="0"/>
                <w:color w:val="1D2939"/>
                <w:sz w:val="16"/>
              </w:rPr>
              <w:t>Genius Kitchen / Kitchen Display System (KDS)</w:t>
            </w:r>
          </w:p>
        </w:tc>
      </w:tr>
      <w:tr>
        <w:tc>
          <w:tcPr>
            <w:tcW w:type="dxa" w:w="1843"/>
            <w:tcMar>
              <w:top w:w="70" w:type="dxa"/>
              <w:start w:w="95" w:type="dxa"/>
              <w:bottom w:w="70" w:type="dxa"/>
              <w:end w:w="95" w:type="dxa"/>
            </w:tcMar>
            <w:vAlign w:val="top"/>
            <w:shd w:fill="E9EDF2"/>
          </w:tcPr>
          <w:p>
            <w:r>
              <w:rPr>
                <w:rFonts w:ascii="Arial" w:hAnsi="Arial"/>
                <w:b/>
                <w:i w:val="0"/>
                <w:color w:val="14233B"/>
                <w:sz w:val="16"/>
              </w:rPr>
              <w:t>Lineage</w:t>
            </w:r>
          </w:p>
        </w:tc>
        <w:tc>
          <w:tcPr>
            <w:tcW w:type="dxa" w:w="7517"/>
            <w:tcMar>
              <w:top w:w="70" w:type="dxa"/>
              <w:start w:w="95" w:type="dxa"/>
              <w:bottom w:w="70" w:type="dxa"/>
              <w:end w:w="95" w:type="dxa"/>
            </w:tcMar>
            <w:vAlign w:val="top"/>
            <w:shd w:fill="FAFBFC"/>
          </w:tcPr>
          <w:p>
            <w:r>
              <w:rPr>
                <w:rFonts w:ascii="Arial" w:hAnsi="Arial"/>
                <w:b w:val="0"/>
                <w:i w:val="0"/>
                <w:color w:val="1D2939"/>
                <w:sz w:val="16"/>
              </w:rPr>
              <w:t>Former/current documentation labels include Xenial Kitchen Management (XKM), Kitchen Management and Order Management System (OMS). Confirm portfolio boundaries.</w:t>
            </w:r>
          </w:p>
        </w:tc>
      </w:tr>
      <w:tr>
        <w:tc>
          <w:tcPr>
            <w:tcW w:type="dxa" w:w="1843"/>
            <w:tcMar>
              <w:top w:w="70" w:type="dxa"/>
              <w:start w:w="95" w:type="dxa"/>
              <w:bottom w:w="70" w:type="dxa"/>
              <w:end w:w="95" w:type="dxa"/>
            </w:tcMar>
            <w:vAlign w:val="top"/>
            <w:shd w:fill="F4F6F8"/>
          </w:tcPr>
          <w:p>
            <w:r>
              <w:rPr>
                <w:rFonts w:ascii="Arial" w:hAnsi="Arial"/>
                <w:b/>
                <w:i w:val="0"/>
                <w:color w:val="14233B"/>
                <w:sz w:val="16"/>
              </w:rPr>
              <w:t>What is supported</w:t>
            </w:r>
          </w:p>
        </w:tc>
        <w:tc>
          <w:tcPr>
            <w:tcW w:type="dxa" w:w="7517"/>
            <w:tcMar>
              <w:top w:w="70" w:type="dxa"/>
              <w:start w:w="95" w:type="dxa"/>
              <w:bottom w:w="70" w:type="dxa"/>
              <w:end w:w="95" w:type="dxa"/>
            </w:tcMar>
            <w:vAlign w:val="top"/>
            <w:shd w:fill="FFFFFF"/>
          </w:tcPr>
          <w:p>
            <w:r>
              <w:rPr>
                <w:rFonts w:ascii="Arial" w:hAnsi="Arial"/>
                <w:b w:val="0"/>
                <w:i w:val="0"/>
                <w:color w:val="1D2939"/>
                <w:sz w:val="16"/>
              </w:rPr>
              <w:t>Kitchen displays route items to configured production stations, support destination-specific views such as drive-thru, and can provide order-ready status. Public documentation describes touchscreen and bump-bar interaction plus configurable ticket views.</w:t>
            </w:r>
          </w:p>
        </w:tc>
      </w:tr>
      <w:tr>
        <w:tc>
          <w:tcPr>
            <w:tcW w:type="dxa" w:w="1843"/>
            <w:tcMar>
              <w:top w:w="70" w:type="dxa"/>
              <w:start w:w="95" w:type="dxa"/>
              <w:bottom w:w="70" w:type="dxa"/>
              <w:end w:w="95" w:type="dxa"/>
            </w:tcMar>
            <w:vAlign w:val="top"/>
            <w:shd w:fill="E9EDF2"/>
          </w:tcPr>
          <w:p>
            <w:r>
              <w:rPr>
                <w:rFonts w:ascii="Arial" w:hAnsi="Arial"/>
                <w:b/>
                <w:i w:val="0"/>
                <w:color w:val="14233B"/>
                <w:sz w:val="16"/>
              </w:rPr>
              <w:t>McDonald’s relevance</w:t>
            </w:r>
          </w:p>
        </w:tc>
        <w:tc>
          <w:tcPr>
            <w:tcW w:type="dxa" w:w="7517"/>
            <w:tcMar>
              <w:top w:w="70" w:type="dxa"/>
              <w:start w:w="95" w:type="dxa"/>
              <w:bottom w:w="70" w:type="dxa"/>
              <w:end w:w="95" w:type="dxa"/>
            </w:tcMar>
            <w:vAlign w:val="top"/>
            <w:shd w:fill="FAFBFC"/>
          </w:tcPr>
          <w:p>
            <w:r>
              <w:rPr>
                <w:rFonts w:ascii="Arial" w:hAnsi="Arial"/>
                <w:b w:val="0"/>
                <w:i w:val="0"/>
                <w:color w:val="1D2939"/>
                <w:sz w:val="16"/>
              </w:rPr>
              <w:t>Relevant to end-to-end order flow, throughput and integration conversations—not as an assumed replacement for McDonald’s kitchen production systems.</w:t>
            </w:r>
          </w:p>
        </w:tc>
      </w:tr>
      <w:tr>
        <w:tc>
          <w:tcPr>
            <w:tcW w:type="dxa" w:w="1843"/>
            <w:tcMar>
              <w:top w:w="70" w:type="dxa"/>
              <w:start w:w="95" w:type="dxa"/>
              <w:bottom w:w="70" w:type="dxa"/>
              <w:end w:w="95" w:type="dxa"/>
            </w:tcMar>
            <w:vAlign w:val="top"/>
            <w:shd w:fill="F4F6F8"/>
          </w:tcPr>
          <w:p>
            <w:r>
              <w:rPr>
                <w:rFonts w:ascii="Arial" w:hAnsi="Arial"/>
                <w:b/>
                <w:i w:val="0"/>
                <w:color w:val="14233B"/>
                <w:sz w:val="16"/>
              </w:rPr>
              <w:t>Proof point</w:t>
            </w:r>
          </w:p>
        </w:tc>
        <w:tc>
          <w:tcPr>
            <w:tcW w:type="dxa" w:w="7517"/>
            <w:tcMar>
              <w:top w:w="70" w:type="dxa"/>
              <w:start w:w="95" w:type="dxa"/>
              <w:bottom w:w="70" w:type="dxa"/>
              <w:end w:w="95" w:type="dxa"/>
            </w:tcMar>
            <w:vAlign w:val="top"/>
            <w:shd w:fill="FFFFFF"/>
          </w:tcPr>
          <w:p>
            <w:r>
              <w:rPr>
                <w:rFonts w:ascii="Arial" w:hAnsi="Arial"/>
                <w:b w:val="0"/>
                <w:i w:val="0"/>
                <w:color w:val="1D2939"/>
                <w:sz w:val="16"/>
              </w:rPr>
              <w:t>Current Xenial documentation shows active Genius Kitchen product documentation and Xenial Kitchen release notes.</w:t>
            </w:r>
          </w:p>
        </w:tc>
      </w:tr>
      <w:tr>
        <w:tc>
          <w:tcPr>
            <w:tcW w:type="dxa" w:w="1843"/>
            <w:tcMar>
              <w:top w:w="70" w:type="dxa"/>
              <w:start w:w="95" w:type="dxa"/>
              <w:bottom w:w="70" w:type="dxa"/>
              <w:end w:w="95" w:type="dxa"/>
            </w:tcMar>
            <w:vAlign w:val="top"/>
            <w:shd w:fill="E9EDF2"/>
          </w:tcPr>
          <w:p>
            <w:r>
              <w:rPr>
                <w:rFonts w:ascii="Arial" w:hAnsi="Arial"/>
                <w:b/>
                <w:i w:val="0"/>
                <w:color w:val="14233B"/>
                <w:sz w:val="16"/>
              </w:rPr>
              <w:t>Confirm before sharing</w:t>
            </w:r>
          </w:p>
        </w:tc>
        <w:tc>
          <w:tcPr>
            <w:tcW w:type="dxa" w:w="7517"/>
            <w:tcMar>
              <w:top w:w="70" w:type="dxa"/>
              <w:start w:w="95" w:type="dxa"/>
              <w:bottom w:w="70" w:type="dxa"/>
              <w:end w:w="95" w:type="dxa"/>
            </w:tcMar>
            <w:vAlign w:val="top"/>
            <w:shd w:fill="FAFBFC"/>
          </w:tcPr>
          <w:p>
            <w:r>
              <w:rPr>
                <w:rFonts w:ascii="Arial" w:hAnsi="Arial"/>
                <w:b w:val="0"/>
                <w:i w:val="0"/>
                <w:color w:val="1D2939"/>
                <w:sz w:val="16"/>
              </w:rPr>
              <w:t>Which KDS/OMS components are current, their external names, integration interfaces, hardware requirements, enterprise deployments and any CosMc’s footprint.</w:t>
            </w:r>
          </w:p>
        </w:tc>
      </w:tr>
    </w:tbl>
    <w:p>
      <w:pPr>
        <w:keepNext/>
        <w:spacing w:before="140" w:after="60"/>
      </w:pPr>
      <w:r>
        <w:rPr>
          <w:rFonts w:ascii="Arial" w:hAnsi="Arial"/>
          <w:b/>
          <w:i w:val="0"/>
          <w:color w:val="14233B"/>
          <w:sz w:val="26"/>
        </w:rPr>
        <w:t>Genius Back Office</w:t>
      </w:r>
      <w:r>
        <w:rPr>
          <w:rFonts w:ascii="Arial" w:hAnsi="Arial"/>
          <w:b/>
          <w:i w:val="0"/>
          <w:color w:val="9A6700"/>
          <w:sz w:val="15"/>
        </w:rPr>
        <w:t xml:space="preserve">   CONFIRM BEFORE EXTERNAL USE</w:t>
      </w:r>
    </w:p>
    <w:tbl>
      <w:tblPr>
        <w:tblW w:type="auto" w:w="0"/>
        <w:jc w:val="center"/>
        <w:tblLayout w:type="fixed"/>
        <w:tblLook w:firstColumn="1" w:firstRow="1" w:lastColumn="0" w:lastRow="0" w:noHBand="0" w:noVBand="1" w:val="04A0"/>
      </w:tblPr>
      <w:tblGrid>
        <w:gridCol w:w="1843"/>
        <w:gridCol w:w="7517"/>
      </w:tblGrid>
      <w:tr>
        <w:tc>
          <w:tcPr>
            <w:tcW w:type="dxa" w:w="1843"/>
            <w:tcMar>
              <w:top w:w="70" w:type="dxa"/>
              <w:start w:w="95" w:type="dxa"/>
              <w:bottom w:w="70" w:type="dxa"/>
              <w:end w:w="95" w:type="dxa"/>
            </w:tcMar>
            <w:vAlign w:val="top"/>
            <w:shd w:fill="F4F6F8"/>
          </w:tcPr>
          <w:p>
            <w:r>
              <w:rPr>
                <w:rFonts w:ascii="Arial" w:hAnsi="Arial"/>
                <w:b/>
                <w:i w:val="0"/>
                <w:color w:val="14233B"/>
                <w:sz w:val="16"/>
              </w:rPr>
              <w:t>Current label</w:t>
            </w:r>
          </w:p>
        </w:tc>
        <w:tc>
          <w:tcPr>
            <w:tcW w:type="dxa" w:w="7517"/>
            <w:tcMar>
              <w:top w:w="70" w:type="dxa"/>
              <w:start w:w="95" w:type="dxa"/>
              <w:bottom w:w="70" w:type="dxa"/>
              <w:end w:w="95" w:type="dxa"/>
            </w:tcMar>
            <w:vAlign w:val="top"/>
            <w:shd w:fill="FFFFFF"/>
          </w:tcPr>
          <w:p>
            <w:r>
              <w:rPr>
                <w:rFonts w:ascii="Arial" w:hAnsi="Arial"/>
                <w:b w:val="0"/>
                <w:i w:val="0"/>
                <w:color w:val="1D2939"/>
                <w:sz w:val="16"/>
              </w:rPr>
              <w:t>Working label: Genius Back Office / enterprise reporting</w:t>
            </w:r>
          </w:p>
        </w:tc>
      </w:tr>
      <w:tr>
        <w:tc>
          <w:tcPr>
            <w:tcW w:type="dxa" w:w="1843"/>
            <w:tcMar>
              <w:top w:w="70" w:type="dxa"/>
              <w:start w:w="95" w:type="dxa"/>
              <w:bottom w:w="70" w:type="dxa"/>
              <w:end w:w="95" w:type="dxa"/>
            </w:tcMar>
            <w:vAlign w:val="top"/>
            <w:shd w:fill="E9EDF2"/>
          </w:tcPr>
          <w:p>
            <w:r>
              <w:rPr>
                <w:rFonts w:ascii="Arial" w:hAnsi="Arial"/>
                <w:b/>
                <w:i w:val="0"/>
                <w:color w:val="14233B"/>
                <w:sz w:val="16"/>
              </w:rPr>
              <w:t>Lineage</w:t>
            </w:r>
          </w:p>
        </w:tc>
        <w:tc>
          <w:tcPr>
            <w:tcW w:type="dxa" w:w="7517"/>
            <w:tcMar>
              <w:top w:w="70" w:type="dxa"/>
              <w:start w:w="95" w:type="dxa"/>
              <w:bottom w:w="70" w:type="dxa"/>
              <w:end w:w="95" w:type="dxa"/>
            </w:tcMar>
            <w:vAlign w:val="top"/>
            <w:shd w:fill="FAFBFC"/>
          </w:tcPr>
          <w:p>
            <w:r>
              <w:rPr>
                <w:rFonts w:ascii="Arial" w:hAnsi="Arial"/>
                <w:b w:val="0"/>
                <w:i w:val="0"/>
                <w:color w:val="1D2939"/>
                <w:sz w:val="16"/>
              </w:rPr>
              <w:t>Historical labels visible in Xenial support materials: The Portal RTI, RTI Financial Accounting, Back Office and enterprise reporting.</w:t>
            </w:r>
          </w:p>
        </w:tc>
      </w:tr>
      <w:tr>
        <w:tc>
          <w:tcPr>
            <w:tcW w:type="dxa" w:w="1843"/>
            <w:tcMar>
              <w:top w:w="70" w:type="dxa"/>
              <w:start w:w="95" w:type="dxa"/>
              <w:bottom w:w="70" w:type="dxa"/>
              <w:end w:w="95" w:type="dxa"/>
            </w:tcMar>
            <w:vAlign w:val="top"/>
            <w:shd w:fill="F4F6F8"/>
          </w:tcPr>
          <w:p>
            <w:r>
              <w:rPr>
                <w:rFonts w:ascii="Arial" w:hAnsi="Arial"/>
                <w:b/>
                <w:i w:val="0"/>
                <w:color w:val="14233B"/>
                <w:sz w:val="16"/>
              </w:rPr>
              <w:t>What is supported</w:t>
            </w:r>
          </w:p>
        </w:tc>
        <w:tc>
          <w:tcPr>
            <w:tcW w:type="dxa" w:w="7517"/>
            <w:tcMar>
              <w:top w:w="70" w:type="dxa"/>
              <w:start w:w="95" w:type="dxa"/>
              <w:bottom w:w="70" w:type="dxa"/>
              <w:end w:w="95" w:type="dxa"/>
            </w:tcMar>
            <w:vAlign w:val="top"/>
            <w:shd w:fill="FFFFFF"/>
          </w:tcPr>
          <w:p>
            <w:r>
              <w:rPr>
                <w:rFonts w:ascii="Arial" w:hAnsi="Arial"/>
                <w:b w:val="0"/>
                <w:i w:val="0"/>
                <w:color w:val="1D2939"/>
                <w:sz w:val="16"/>
              </w:rPr>
              <w:t>Public Xenial portfolio materials establish back-office and enterprise-reporting capabilities, while support materials show continuing RTI-related product families. Detailed current scope is not sufficiently clear for an external claim in this draft.</w:t>
            </w:r>
          </w:p>
        </w:tc>
      </w:tr>
      <w:tr>
        <w:tc>
          <w:tcPr>
            <w:tcW w:type="dxa" w:w="1843"/>
            <w:tcMar>
              <w:top w:w="70" w:type="dxa"/>
              <w:start w:w="95" w:type="dxa"/>
              <w:bottom w:w="70" w:type="dxa"/>
              <w:end w:w="95" w:type="dxa"/>
            </w:tcMar>
            <w:vAlign w:val="top"/>
            <w:shd w:fill="E9EDF2"/>
          </w:tcPr>
          <w:p>
            <w:r>
              <w:rPr>
                <w:rFonts w:ascii="Arial" w:hAnsi="Arial"/>
                <w:b/>
                <w:i w:val="0"/>
                <w:color w:val="14233B"/>
                <w:sz w:val="16"/>
              </w:rPr>
              <w:t>McDonald’s relevance</w:t>
            </w:r>
          </w:p>
        </w:tc>
        <w:tc>
          <w:tcPr>
            <w:tcW w:type="dxa" w:w="7517"/>
            <w:tcMar>
              <w:top w:w="70" w:type="dxa"/>
              <w:start w:w="95" w:type="dxa"/>
              <w:bottom w:w="70" w:type="dxa"/>
              <w:end w:w="95" w:type="dxa"/>
            </w:tcMar>
            <w:vAlign w:val="top"/>
            <w:shd w:fill="FAFBFC"/>
          </w:tcPr>
          <w:p>
            <w:r>
              <w:rPr>
                <w:rFonts w:ascii="Arial" w:hAnsi="Arial"/>
                <w:b w:val="0"/>
                <w:i w:val="0"/>
                <w:color w:val="1D2939"/>
                <w:sz w:val="16"/>
              </w:rPr>
              <w:t>Potentially relevant to store operations, inventory, labor, financial and enterprise reporting discussions once the current module map is confirmed.</w:t>
            </w:r>
          </w:p>
        </w:tc>
      </w:tr>
      <w:tr>
        <w:tc>
          <w:tcPr>
            <w:tcW w:type="dxa" w:w="1843"/>
            <w:tcMar>
              <w:top w:w="70" w:type="dxa"/>
              <w:start w:w="95" w:type="dxa"/>
              <w:bottom w:w="70" w:type="dxa"/>
              <w:end w:w="95" w:type="dxa"/>
            </w:tcMar>
            <w:vAlign w:val="top"/>
            <w:shd w:fill="F4F6F8"/>
          </w:tcPr>
          <w:p>
            <w:r>
              <w:rPr>
                <w:rFonts w:ascii="Arial" w:hAnsi="Arial"/>
                <w:b/>
                <w:i w:val="0"/>
                <w:color w:val="14233B"/>
                <w:sz w:val="16"/>
              </w:rPr>
              <w:t>Proof point</w:t>
            </w:r>
          </w:p>
        </w:tc>
        <w:tc>
          <w:tcPr>
            <w:tcW w:type="dxa" w:w="7517"/>
            <w:tcMar>
              <w:top w:w="70" w:type="dxa"/>
              <w:start w:w="95" w:type="dxa"/>
              <w:bottom w:w="70" w:type="dxa"/>
              <w:end w:w="95" w:type="dxa"/>
            </w:tcMar>
            <w:vAlign w:val="top"/>
            <w:shd w:fill="FFFFFF"/>
          </w:tcPr>
          <w:p>
            <w:r>
              <w:rPr>
                <w:rFonts w:ascii="Arial" w:hAnsi="Arial"/>
                <w:b w:val="0"/>
                <w:i w:val="0"/>
                <w:color w:val="1D2939"/>
                <w:sz w:val="16"/>
              </w:rPr>
              <w:t>Xenial’s current support directory still routes customers for The Portal RTI, RTI Financial Accounting and Back Office.</w:t>
            </w:r>
          </w:p>
        </w:tc>
      </w:tr>
      <w:tr>
        <w:tc>
          <w:tcPr>
            <w:tcW w:type="dxa" w:w="1843"/>
            <w:tcMar>
              <w:top w:w="70" w:type="dxa"/>
              <w:start w:w="95" w:type="dxa"/>
              <w:bottom w:w="70" w:type="dxa"/>
              <w:end w:w="95" w:type="dxa"/>
            </w:tcMar>
            <w:vAlign w:val="top"/>
            <w:shd w:fill="E9EDF2"/>
          </w:tcPr>
          <w:p>
            <w:r>
              <w:rPr>
                <w:rFonts w:ascii="Arial" w:hAnsi="Arial"/>
                <w:b/>
                <w:i w:val="0"/>
                <w:color w:val="14233B"/>
                <w:sz w:val="16"/>
              </w:rPr>
              <w:t>Confirm before sharing</w:t>
            </w:r>
          </w:p>
        </w:tc>
        <w:tc>
          <w:tcPr>
            <w:tcW w:type="dxa" w:w="7517"/>
            <w:tcMar>
              <w:top w:w="70" w:type="dxa"/>
              <w:start w:w="95" w:type="dxa"/>
              <w:bottom w:w="70" w:type="dxa"/>
              <w:end w:w="95" w:type="dxa"/>
            </w:tcMar>
            <w:vAlign w:val="top"/>
            <w:shd w:fill="FAFBFC"/>
          </w:tcPr>
          <w:p>
            <w:r>
              <w:rPr>
                <w:rFonts w:ascii="Arial" w:hAnsi="Arial"/>
                <w:b w:val="0"/>
                <w:i w:val="0"/>
                <w:color w:val="1D2939"/>
                <w:sz w:val="16"/>
              </w:rPr>
              <w:t>Current product names and module boundaries; RTI lineage; supported functions and integrations; customer references; roadmap/status; owner and delivery coverage.</w:t>
            </w:r>
          </w:p>
        </w:tc>
      </w:tr>
    </w:tbl>
    <w:p>
      <w:pPr>
        <w:keepNext/>
        <w:spacing w:before="140" w:after="60"/>
      </w:pPr>
      <w:r>
        <w:rPr>
          <w:rFonts w:ascii="Arial" w:hAnsi="Arial"/>
          <w:b/>
          <w:i w:val="0"/>
          <w:color w:val="14233B"/>
          <w:sz w:val="26"/>
        </w:rPr>
        <w:t>Integrated payments and gateway</w:t>
      </w:r>
      <w:r>
        <w:rPr>
          <w:rFonts w:ascii="Arial" w:hAnsi="Arial"/>
          <w:b/>
          <w:i w:val="0"/>
          <w:color w:val="9A6700"/>
          <w:sz w:val="15"/>
        </w:rPr>
        <w:t xml:space="preserve">   CONFIRM BEFORE EXTERNAL USE</w:t>
      </w:r>
    </w:p>
    <w:tbl>
      <w:tblPr>
        <w:tblW w:type="auto" w:w="0"/>
        <w:jc w:val="center"/>
        <w:tblLayout w:type="fixed"/>
        <w:tblLook w:firstColumn="1" w:firstRow="1" w:lastColumn="0" w:lastRow="0" w:noHBand="0" w:noVBand="1" w:val="04A0"/>
      </w:tblPr>
      <w:tblGrid>
        <w:gridCol w:w="1843"/>
        <w:gridCol w:w="7517"/>
      </w:tblGrid>
      <w:tr>
        <w:tc>
          <w:tcPr>
            <w:tcW w:type="dxa" w:w="1843"/>
            <w:tcMar>
              <w:top w:w="70" w:type="dxa"/>
              <w:start w:w="95" w:type="dxa"/>
              <w:bottom w:w="70" w:type="dxa"/>
              <w:end w:w="95" w:type="dxa"/>
            </w:tcMar>
            <w:vAlign w:val="top"/>
            <w:shd w:fill="F4F6F8"/>
          </w:tcPr>
          <w:p>
            <w:r>
              <w:rPr>
                <w:rFonts w:ascii="Arial" w:hAnsi="Arial"/>
                <w:b/>
                <w:i w:val="0"/>
                <w:color w:val="14233B"/>
                <w:sz w:val="16"/>
              </w:rPr>
              <w:t>Current label</w:t>
            </w:r>
          </w:p>
        </w:tc>
        <w:tc>
          <w:tcPr>
            <w:tcW w:type="dxa" w:w="7517"/>
            <w:tcMar>
              <w:top w:w="70" w:type="dxa"/>
              <w:start w:w="95" w:type="dxa"/>
              <w:bottom w:w="70" w:type="dxa"/>
              <w:end w:w="95" w:type="dxa"/>
            </w:tcMar>
            <w:vAlign w:val="top"/>
            <w:shd w:fill="FFFFFF"/>
          </w:tcPr>
          <w:p>
            <w:r>
              <w:rPr>
                <w:rFonts w:ascii="Arial" w:hAnsi="Arial"/>
                <w:b w:val="0"/>
                <w:i w:val="0"/>
                <w:color w:val="1D2939"/>
                <w:sz w:val="16"/>
              </w:rPr>
              <w:t>Global Payments Integrated (GPI) and Portico Gateway; processor connections include Global Payments and Worldpay/Vantiv</w:t>
            </w:r>
          </w:p>
        </w:tc>
      </w:tr>
      <w:tr>
        <w:tc>
          <w:tcPr>
            <w:tcW w:type="dxa" w:w="1843"/>
            <w:tcMar>
              <w:top w:w="70" w:type="dxa"/>
              <w:start w:w="95" w:type="dxa"/>
              <w:bottom w:w="70" w:type="dxa"/>
              <w:end w:w="95" w:type="dxa"/>
            </w:tcMar>
            <w:vAlign w:val="top"/>
            <w:shd w:fill="E9EDF2"/>
          </w:tcPr>
          <w:p>
            <w:r>
              <w:rPr>
                <w:rFonts w:ascii="Arial" w:hAnsi="Arial"/>
                <w:b/>
                <w:i w:val="0"/>
                <w:color w:val="14233B"/>
                <w:sz w:val="16"/>
              </w:rPr>
              <w:t>Lineage</w:t>
            </w:r>
          </w:p>
        </w:tc>
        <w:tc>
          <w:tcPr>
            <w:tcW w:type="dxa" w:w="7517"/>
            <w:tcMar>
              <w:top w:w="70" w:type="dxa"/>
              <w:start w:w="95" w:type="dxa"/>
              <w:bottom w:w="70" w:type="dxa"/>
              <w:end w:w="95" w:type="dxa"/>
            </w:tcMar>
            <w:vAlign w:val="top"/>
            <w:shd w:fill="FAFBFC"/>
          </w:tcPr>
          <w:p>
            <w:r>
              <w:rPr>
                <w:rFonts w:ascii="Arial" w:hAnsi="Arial"/>
                <w:b w:val="0"/>
                <w:i w:val="0"/>
                <w:color w:val="1D2939"/>
                <w:sz w:val="16"/>
              </w:rPr>
              <w:t>Working lineage: Merchantware → Cayan; the current payments deck identifies GPI and Portico. Confirm the precise brand-to-platform transition before using the lineage externally.</w:t>
            </w:r>
          </w:p>
        </w:tc>
      </w:tr>
      <w:tr>
        <w:tc>
          <w:tcPr>
            <w:tcW w:type="dxa" w:w="1843"/>
            <w:tcMar>
              <w:top w:w="70" w:type="dxa"/>
              <w:start w:w="95" w:type="dxa"/>
              <w:bottom w:w="70" w:type="dxa"/>
              <w:end w:w="95" w:type="dxa"/>
            </w:tcMar>
            <w:vAlign w:val="top"/>
            <w:shd w:fill="F4F6F8"/>
          </w:tcPr>
          <w:p>
            <w:r>
              <w:rPr>
                <w:rFonts w:ascii="Arial" w:hAnsi="Arial"/>
                <w:b/>
                <w:i w:val="0"/>
                <w:color w:val="14233B"/>
                <w:sz w:val="16"/>
              </w:rPr>
              <w:t>What is supported</w:t>
            </w:r>
          </w:p>
        </w:tc>
        <w:tc>
          <w:tcPr>
            <w:tcW w:type="dxa" w:w="7517"/>
            <w:tcMar>
              <w:top w:w="70" w:type="dxa"/>
              <w:start w:w="95" w:type="dxa"/>
              <w:bottom w:w="70" w:type="dxa"/>
              <w:end w:w="95" w:type="dxa"/>
            </w:tcMar>
            <w:vAlign w:val="top"/>
            <w:shd w:fill="FFFFFF"/>
          </w:tcPr>
          <w:p>
            <w:r>
              <w:rPr>
                <w:rFonts w:ascii="Arial" w:hAnsi="Arial"/>
                <w:b w:val="0"/>
                <w:i w:val="0"/>
                <w:color w:val="1D2939"/>
                <w:sz w:val="16"/>
              </w:rPr>
              <w:t>One semi-integrated/API layer for counter, drive-thru, kiosk and digital commerce: EMV/contactless and wallets, card-present and online acceptance, P2PE/tokenization, hosted payment components, remote terminal management and device-based store-and-forward. Listed processor connections include Global Payments, Worldpay/Vantiv, Fiserv, Elavon and Chase.</w:t>
            </w:r>
          </w:p>
        </w:tc>
      </w:tr>
      <w:tr>
        <w:tc>
          <w:tcPr>
            <w:tcW w:type="dxa" w:w="1843"/>
            <w:tcMar>
              <w:top w:w="70" w:type="dxa"/>
              <w:start w:w="95" w:type="dxa"/>
              <w:bottom w:w="70" w:type="dxa"/>
              <w:end w:w="95" w:type="dxa"/>
            </w:tcMar>
            <w:vAlign w:val="top"/>
            <w:shd w:fill="E9EDF2"/>
          </w:tcPr>
          <w:p>
            <w:r>
              <w:rPr>
                <w:rFonts w:ascii="Arial" w:hAnsi="Arial"/>
                <w:b/>
                <w:i w:val="0"/>
                <w:color w:val="14233B"/>
                <w:sz w:val="16"/>
              </w:rPr>
              <w:t>McDonald’s relevance</w:t>
            </w:r>
          </w:p>
        </w:tc>
        <w:tc>
          <w:tcPr>
            <w:tcW w:type="dxa" w:w="7517"/>
            <w:tcMar>
              <w:top w:w="70" w:type="dxa"/>
              <w:start w:w="95" w:type="dxa"/>
              <w:bottom w:w="70" w:type="dxa"/>
              <w:end w:w="95" w:type="dxa"/>
            </w:tcMar>
            <w:vAlign w:val="top"/>
            <w:shd w:fill="FAFBFC"/>
          </w:tcPr>
          <w:p>
            <w:r>
              <w:rPr>
                <w:rFonts w:ascii="Arial" w:hAnsi="Arial"/>
                <w:b w:val="0"/>
                <w:i w:val="0"/>
                <w:color w:val="1D2939"/>
                <w:sz w:val="16"/>
              </w:rPr>
              <w:t>The McDonald’s story is cross-channel orchestration, processor flexibility, centralized device control, offline resilience and token continuity—not the full feature catalog.</w:t>
            </w:r>
          </w:p>
        </w:tc>
      </w:tr>
      <w:tr>
        <w:tc>
          <w:tcPr>
            <w:tcW w:type="dxa" w:w="1843"/>
            <w:tcMar>
              <w:top w:w="70" w:type="dxa"/>
              <w:start w:w="95" w:type="dxa"/>
              <w:bottom w:w="70" w:type="dxa"/>
              <w:end w:w="95" w:type="dxa"/>
            </w:tcMar>
            <w:vAlign w:val="top"/>
            <w:shd w:fill="F4F6F8"/>
          </w:tcPr>
          <w:p>
            <w:r>
              <w:rPr>
                <w:rFonts w:ascii="Arial" w:hAnsi="Arial"/>
                <w:b/>
                <w:i w:val="0"/>
                <w:color w:val="14233B"/>
                <w:sz w:val="16"/>
              </w:rPr>
              <w:t>Proof point</w:t>
            </w:r>
          </w:p>
        </w:tc>
        <w:tc>
          <w:tcPr>
            <w:tcW w:type="dxa" w:w="7517"/>
            <w:tcMar>
              <w:top w:w="70" w:type="dxa"/>
              <w:start w:w="95" w:type="dxa"/>
              <w:bottom w:w="70" w:type="dxa"/>
              <w:end w:w="95" w:type="dxa"/>
            </w:tcMar>
            <w:vAlign w:val="top"/>
            <w:shd w:fill="FFFFFF"/>
          </w:tcPr>
          <w:p>
            <w:r>
              <w:rPr>
                <w:rFonts w:ascii="Arial" w:hAnsi="Arial"/>
                <w:b w:val="0"/>
                <w:i w:val="0"/>
                <w:color w:val="1D2939"/>
                <w:sz w:val="16"/>
              </w:rPr>
              <w:t>CosMc’s used Global Payments processing, but FreedomPay supplied the gateway because the required unattended certification was unavailable in time. This is not proof of a full GPI gateway deployment.</w:t>
            </w:r>
          </w:p>
        </w:tc>
      </w:tr>
      <w:tr>
        <w:tc>
          <w:tcPr>
            <w:tcW w:type="dxa" w:w="1843"/>
            <w:tcMar>
              <w:top w:w="70" w:type="dxa"/>
              <w:start w:w="95" w:type="dxa"/>
              <w:bottom w:w="70" w:type="dxa"/>
              <w:end w:w="95" w:type="dxa"/>
            </w:tcMar>
            <w:vAlign w:val="top"/>
            <w:shd w:fill="E9EDF2"/>
          </w:tcPr>
          <w:p>
            <w:r>
              <w:rPr>
                <w:rFonts w:ascii="Arial" w:hAnsi="Arial"/>
                <w:b/>
                <w:i w:val="0"/>
                <w:color w:val="14233B"/>
                <w:sz w:val="16"/>
              </w:rPr>
              <w:t>Confirm before sharing</w:t>
            </w:r>
          </w:p>
        </w:tc>
        <w:tc>
          <w:tcPr>
            <w:tcW w:type="dxa" w:w="7517"/>
            <w:tcMar>
              <w:top w:w="70" w:type="dxa"/>
              <w:start w:w="95" w:type="dxa"/>
              <w:bottom w:w="70" w:type="dxa"/>
              <w:end w:w="95" w:type="dxa"/>
            </w:tcMar>
            <w:vAlign w:val="top"/>
            <w:shd w:fill="FAFBFC"/>
          </w:tcPr>
          <w:p>
            <w:r>
              <w:rPr>
                <w:rFonts w:ascii="Arial" w:hAnsi="Arial"/>
                <w:b w:val="0"/>
                <w:i w:val="0"/>
                <w:color w:val="1D2939"/>
                <w:sz w:val="16"/>
              </w:rPr>
              <w:t>Arjun/Payments: confirm names and lineage; GP versus Worldpay roles; processor/device certifications by market; unattended status; current Verifone/iMin availability; and what may be shared with Jeff.</w:t>
            </w:r>
          </w:p>
        </w:tc>
      </w:tr>
    </w:tbl>
    <w:p>
      <w:pPr>
        <w:keepNext/>
        <w:pageBreakBefore/>
        <w:spacing w:after="40"/>
      </w:pPr>
      <w:r>
        <w:rPr>
          <w:rFonts w:ascii="Arial" w:hAnsi="Arial"/>
          <w:b/>
          <w:i w:val="0"/>
          <w:color w:val="00A6D6"/>
          <w:sz w:val="16"/>
        </w:rPr>
        <w:t>PRODUCT MAP 3 OF 3</w:t>
      </w:r>
    </w:p>
    <w:p>
      <w:pPr>
        <w:keepNext/>
        <w:spacing w:after="40"/>
      </w:pPr>
      <w:r>
        <w:rPr>
          <w:rFonts w:ascii="Arial" w:hAnsi="Arial"/>
          <w:b/>
          <w:i w:val="0"/>
          <w:color w:val="00A6D6"/>
          <w:sz w:val="16"/>
        </w:rPr>
        <w:t>PRODUCT MAP 3 OF 4</w:t>
      </w:r>
    </w:p>
    <w:p>
      <w:pPr>
        <w:pStyle w:val="Heading1"/>
        <w:keepNext/>
      </w:pPr>
      <w:r>
        <w:t>Digital experience and drive-thru</w:t>
      </w:r>
    </w:p>
    <w:p>
      <w:pPr>
        <w:keepNext/>
        <w:spacing w:before="140" w:after="60"/>
      </w:pPr>
      <w:r>
        <w:rPr>
          <w:rFonts w:ascii="Arial" w:hAnsi="Arial"/>
          <w:b/>
          <w:i w:val="0"/>
          <w:color w:val="14233B"/>
          <w:sz w:val="26"/>
        </w:rPr>
        <w:t>Genius Digital Displays</w:t>
      </w:r>
      <w:r>
        <w:rPr>
          <w:rFonts w:ascii="Arial" w:hAnsi="Arial"/>
          <w:b/>
          <w:i w:val="0"/>
          <w:color w:val="17745A"/>
          <w:sz w:val="15"/>
        </w:rPr>
        <w:t xml:space="preserve">   PUBLICLY GROUNDED</w:t>
      </w:r>
    </w:p>
    <w:tbl>
      <w:tblPr>
        <w:tblW w:type="auto" w:w="0"/>
        <w:jc w:val="center"/>
        <w:tblLayout w:type="fixed"/>
        <w:tblLook w:firstColumn="1" w:firstRow="1" w:lastColumn="0" w:lastRow="0" w:noHBand="0" w:noVBand="1" w:val="04A0"/>
      </w:tblPr>
      <w:tblGrid>
        <w:gridCol w:w="1843"/>
        <w:gridCol w:w="7517"/>
      </w:tblGrid>
      <w:tr>
        <w:tc>
          <w:tcPr>
            <w:tcW w:type="dxa" w:w="1843"/>
            <w:tcMar>
              <w:top w:w="70" w:type="dxa"/>
              <w:start w:w="95" w:type="dxa"/>
              <w:bottom w:w="70" w:type="dxa"/>
              <w:end w:w="95" w:type="dxa"/>
            </w:tcMar>
            <w:vAlign w:val="top"/>
            <w:shd w:fill="F4F6F8"/>
          </w:tcPr>
          <w:p>
            <w:r>
              <w:rPr>
                <w:rFonts w:ascii="Arial" w:hAnsi="Arial"/>
                <w:b/>
                <w:i w:val="0"/>
                <w:color w:val="14233B"/>
                <w:sz w:val="16"/>
              </w:rPr>
              <w:t>Current label</w:t>
            </w:r>
          </w:p>
        </w:tc>
        <w:tc>
          <w:tcPr>
            <w:tcW w:type="dxa" w:w="7517"/>
            <w:tcMar>
              <w:top w:w="70" w:type="dxa"/>
              <w:start w:w="95" w:type="dxa"/>
              <w:bottom w:w="70" w:type="dxa"/>
              <w:end w:w="95" w:type="dxa"/>
            </w:tcMar>
            <w:vAlign w:val="top"/>
            <w:shd w:fill="FFFFFF"/>
          </w:tcPr>
          <w:p>
            <w:r>
              <w:rPr>
                <w:rFonts w:ascii="Arial" w:hAnsi="Arial"/>
                <w:b w:val="0"/>
                <w:i w:val="0"/>
                <w:color w:val="1D2939"/>
                <w:sz w:val="16"/>
              </w:rPr>
              <w:t>Working current label: Genius digital menu technology / digital menu screens</w:t>
            </w:r>
          </w:p>
        </w:tc>
      </w:tr>
      <w:tr>
        <w:tc>
          <w:tcPr>
            <w:tcW w:type="dxa" w:w="1843"/>
            <w:tcMar>
              <w:top w:w="70" w:type="dxa"/>
              <w:start w:w="95" w:type="dxa"/>
              <w:bottom w:w="70" w:type="dxa"/>
              <w:end w:w="95" w:type="dxa"/>
            </w:tcMar>
            <w:vAlign w:val="top"/>
            <w:shd w:fill="E9EDF2"/>
          </w:tcPr>
          <w:p>
            <w:r>
              <w:rPr>
                <w:rFonts w:ascii="Arial" w:hAnsi="Arial"/>
                <w:b/>
                <w:i w:val="0"/>
                <w:color w:val="14233B"/>
                <w:sz w:val="16"/>
              </w:rPr>
              <w:t>Lineage</w:t>
            </w:r>
          </w:p>
        </w:tc>
        <w:tc>
          <w:tcPr>
            <w:tcW w:type="dxa" w:w="7517"/>
            <w:tcMar>
              <w:top w:w="70" w:type="dxa"/>
              <w:start w:w="95" w:type="dxa"/>
              <w:bottom w:w="70" w:type="dxa"/>
              <w:end w:w="95" w:type="dxa"/>
            </w:tcMar>
            <w:vAlign w:val="top"/>
            <w:shd w:fill="FAFBFC"/>
          </w:tcPr>
          <w:p>
            <w:r>
              <w:rPr>
                <w:rFonts w:ascii="Arial" w:hAnsi="Arial"/>
                <w:b w:val="0"/>
                <w:i w:val="0"/>
                <w:color w:val="1D2939"/>
                <w:sz w:val="16"/>
              </w:rPr>
              <w:t>SICOM DMB was first developed in 2009. After Global Payments acquired SICOM in 2018, the next-generation Genius DMB was developed as a complete replacement—not an extension of the former SICOM software.</w:t>
            </w:r>
          </w:p>
        </w:tc>
      </w:tr>
      <w:tr>
        <w:tc>
          <w:tcPr>
            <w:tcW w:type="dxa" w:w="1843"/>
            <w:tcMar>
              <w:top w:w="70" w:type="dxa"/>
              <w:start w:w="95" w:type="dxa"/>
              <w:bottom w:w="70" w:type="dxa"/>
              <w:end w:w="95" w:type="dxa"/>
            </w:tcMar>
            <w:vAlign w:val="top"/>
            <w:shd w:fill="F4F6F8"/>
          </w:tcPr>
          <w:p>
            <w:r>
              <w:rPr>
                <w:rFonts w:ascii="Arial" w:hAnsi="Arial"/>
                <w:b/>
                <w:i w:val="0"/>
                <w:color w:val="14233B"/>
                <w:sz w:val="16"/>
              </w:rPr>
              <w:t>What is supported</w:t>
            </w:r>
          </w:p>
        </w:tc>
        <w:tc>
          <w:tcPr>
            <w:tcW w:type="dxa" w:w="7517"/>
            <w:tcMar>
              <w:top w:w="70" w:type="dxa"/>
              <w:start w:w="95" w:type="dxa"/>
              <w:bottom w:w="70" w:type="dxa"/>
              <w:end w:w="95" w:type="dxa"/>
            </w:tcMar>
            <w:vAlign w:val="top"/>
            <w:shd w:fill="FFFFFF"/>
          </w:tcPr>
          <w:p>
            <w:r>
              <w:rPr>
                <w:rFonts w:ascii="Arial" w:hAnsi="Arial"/>
                <w:b w:val="0"/>
                <w:i w:val="0"/>
                <w:color w:val="1D2939"/>
                <w:sz w:val="16"/>
              </w:rPr>
              <w:t>Centralized content management, scheduled dayparts, local/corporate control, indoor/outdoor menus and order-confirmation boards. The internal pitch deck identifies LG system-on-chip displays and scheduled content that remains current during an internet outage; architecture can vary by deployment.</w:t>
            </w:r>
          </w:p>
        </w:tc>
      </w:tr>
      <w:tr>
        <w:tc>
          <w:tcPr>
            <w:tcW w:type="dxa" w:w="1843"/>
            <w:tcMar>
              <w:top w:w="70" w:type="dxa"/>
              <w:start w:w="95" w:type="dxa"/>
              <w:bottom w:w="70" w:type="dxa"/>
              <w:end w:w="95" w:type="dxa"/>
            </w:tcMar>
            <w:vAlign w:val="top"/>
            <w:shd w:fill="E9EDF2"/>
          </w:tcPr>
          <w:p>
            <w:r>
              <w:rPr>
                <w:rFonts w:ascii="Arial" w:hAnsi="Arial"/>
                <w:b/>
                <w:i w:val="0"/>
                <w:color w:val="14233B"/>
                <w:sz w:val="16"/>
              </w:rPr>
              <w:t>McDonald’s relevance</w:t>
            </w:r>
          </w:p>
        </w:tc>
        <w:tc>
          <w:tcPr>
            <w:tcW w:type="dxa" w:w="7517"/>
            <w:tcMar>
              <w:top w:w="70" w:type="dxa"/>
              <w:start w:w="95" w:type="dxa"/>
              <w:bottom w:w="70" w:type="dxa"/>
              <w:end w:w="95" w:type="dxa"/>
            </w:tcMar>
            <w:vAlign w:val="top"/>
            <w:shd w:fill="FAFBFC"/>
          </w:tcPr>
          <w:p>
            <w:r>
              <w:rPr>
                <w:rFonts w:ascii="Arial" w:hAnsi="Arial"/>
                <w:b w:val="0"/>
                <w:i w:val="0"/>
                <w:color w:val="1D2939"/>
                <w:sz w:val="16"/>
              </w:rPr>
              <w:t>A credible alternative architecture to evaluate for targeted needs. Do not characterize McDonald’s as replacing an incumbent or running a formal second-source process.</w:t>
            </w:r>
          </w:p>
        </w:tc>
      </w:tr>
      <w:tr>
        <w:tc>
          <w:tcPr>
            <w:tcW w:type="dxa" w:w="1843"/>
            <w:tcMar>
              <w:top w:w="70" w:type="dxa"/>
              <w:start w:w="95" w:type="dxa"/>
              <w:bottom w:w="70" w:type="dxa"/>
              <w:end w:w="95" w:type="dxa"/>
            </w:tcMar>
            <w:vAlign w:val="top"/>
            <w:shd w:fill="F4F6F8"/>
          </w:tcPr>
          <w:p>
            <w:r>
              <w:rPr>
                <w:rFonts w:ascii="Arial" w:hAnsi="Arial"/>
                <w:b/>
                <w:i w:val="0"/>
                <w:color w:val="14233B"/>
                <w:sz w:val="16"/>
              </w:rPr>
              <w:t>Proof point</w:t>
            </w:r>
          </w:p>
        </w:tc>
        <w:tc>
          <w:tcPr>
            <w:tcW w:type="dxa" w:w="7517"/>
            <w:tcMar>
              <w:top w:w="70" w:type="dxa"/>
              <w:start w:w="95" w:type="dxa"/>
              <w:bottom w:w="70" w:type="dxa"/>
              <w:end w:w="95" w:type="dxa"/>
            </w:tcMar>
            <w:vAlign w:val="top"/>
            <w:shd w:fill="FFFFFF"/>
          </w:tcPr>
          <w:p>
            <w:r>
              <w:rPr>
                <w:rFonts w:ascii="Arial" w:hAnsi="Arial"/>
                <w:b w:val="0"/>
                <w:i w:val="0"/>
                <w:color w:val="1D2939"/>
                <w:sz w:val="16"/>
              </w:rPr>
              <w:t>Xenial reports deployment at 106 Yoshinoya locations; 34 drive-thrus combined digital menu boards and a timer, with a reported 35% service-time reduction.</w:t>
            </w:r>
          </w:p>
        </w:tc>
      </w:tr>
      <w:tr>
        <w:tc>
          <w:tcPr>
            <w:tcW w:type="dxa" w:w="1843"/>
            <w:tcMar>
              <w:top w:w="70" w:type="dxa"/>
              <w:start w:w="95" w:type="dxa"/>
              <w:bottom w:w="70" w:type="dxa"/>
              <w:end w:w="95" w:type="dxa"/>
            </w:tcMar>
            <w:vAlign w:val="top"/>
            <w:shd w:fill="E9EDF2"/>
          </w:tcPr>
          <w:p>
            <w:r>
              <w:rPr>
                <w:rFonts w:ascii="Arial" w:hAnsi="Arial"/>
                <w:b/>
                <w:i w:val="0"/>
                <w:color w:val="14233B"/>
                <w:sz w:val="16"/>
              </w:rPr>
              <w:t>Confirm before sharing</w:t>
            </w:r>
          </w:p>
        </w:tc>
        <w:tc>
          <w:tcPr>
            <w:tcW w:type="dxa" w:w="7517"/>
            <w:tcMar>
              <w:top w:w="70" w:type="dxa"/>
              <w:start w:w="95" w:type="dxa"/>
              <w:bottom w:w="70" w:type="dxa"/>
              <w:end w:w="95" w:type="dxa"/>
            </w:tcMar>
            <w:vAlign w:val="top"/>
            <w:shd w:fill="FAFBFC"/>
          </w:tcPr>
          <w:p>
            <w:r>
              <w:rPr>
                <w:rFonts w:ascii="Arial" w:hAnsi="Arial"/>
                <w:b w:val="0"/>
                <w:i w:val="0"/>
                <w:color w:val="1D2939"/>
                <w:sz w:val="16"/>
              </w:rPr>
              <w:t>Current name; CMS/monitoring model; LG system-on-chip and offline-content claims; supported playerless versus controller configurations; partners; service coverage; CosMc’s footprint; reference permission.</w:t>
            </w:r>
          </w:p>
        </w:tc>
      </w:tr>
    </w:tbl>
    <w:p>
      <w:pPr>
        <w:keepNext/>
        <w:spacing w:before="140" w:after="60"/>
      </w:pPr>
      <w:r>
        <w:rPr>
          <w:rFonts w:ascii="Arial" w:hAnsi="Arial"/>
          <w:b/>
          <w:i w:val="0"/>
          <w:color w:val="14233B"/>
          <w:sz w:val="26"/>
        </w:rPr>
        <w:t>Genius Drive Thru</w:t>
      </w:r>
      <w:r>
        <w:rPr>
          <w:rFonts w:ascii="Arial" w:hAnsi="Arial"/>
          <w:b/>
          <w:i w:val="0"/>
          <w:color w:val="17745A"/>
          <w:sz w:val="15"/>
        </w:rPr>
        <w:t xml:space="preserve">   PUBLICLY GROUNDED</w:t>
      </w:r>
    </w:p>
    <w:tbl>
      <w:tblPr>
        <w:tblW w:type="auto" w:w="0"/>
        <w:jc w:val="center"/>
        <w:tblLayout w:type="fixed"/>
        <w:tblLook w:firstColumn="1" w:firstRow="1" w:lastColumn="0" w:lastRow="0" w:noHBand="0" w:noVBand="1" w:val="04A0"/>
      </w:tblPr>
      <w:tblGrid>
        <w:gridCol w:w="1843"/>
        <w:gridCol w:w="7517"/>
      </w:tblGrid>
      <w:tr>
        <w:tc>
          <w:tcPr>
            <w:tcW w:type="dxa" w:w="1843"/>
            <w:tcMar>
              <w:top w:w="70" w:type="dxa"/>
              <w:start w:w="95" w:type="dxa"/>
              <w:bottom w:w="70" w:type="dxa"/>
              <w:end w:w="95" w:type="dxa"/>
            </w:tcMar>
            <w:vAlign w:val="top"/>
            <w:shd w:fill="F4F6F8"/>
          </w:tcPr>
          <w:p>
            <w:r>
              <w:rPr>
                <w:rFonts w:ascii="Arial" w:hAnsi="Arial"/>
                <w:b/>
                <w:i w:val="0"/>
                <w:color w:val="14233B"/>
                <w:sz w:val="16"/>
              </w:rPr>
              <w:t>Current label</w:t>
            </w:r>
          </w:p>
        </w:tc>
        <w:tc>
          <w:tcPr>
            <w:tcW w:type="dxa" w:w="7517"/>
            <w:tcMar>
              <w:top w:w="70" w:type="dxa"/>
              <w:start w:w="95" w:type="dxa"/>
              <w:bottom w:w="70" w:type="dxa"/>
              <w:end w:w="95" w:type="dxa"/>
            </w:tcMar>
            <w:vAlign w:val="top"/>
            <w:shd w:fill="FFFFFF"/>
          </w:tcPr>
          <w:p>
            <w:r>
              <w:rPr>
                <w:rFonts w:ascii="Arial" w:hAnsi="Arial"/>
                <w:b w:val="0"/>
                <w:i w:val="0"/>
                <w:color w:val="1D2939"/>
                <w:sz w:val="16"/>
              </w:rPr>
              <w:t>Genius Drive Thru; current documentation includes Drive Thru Director and Vision</w:t>
            </w:r>
          </w:p>
        </w:tc>
      </w:tr>
      <w:tr>
        <w:tc>
          <w:tcPr>
            <w:tcW w:type="dxa" w:w="1843"/>
            <w:tcMar>
              <w:top w:w="70" w:type="dxa"/>
              <w:start w:w="95" w:type="dxa"/>
              <w:bottom w:w="70" w:type="dxa"/>
              <w:end w:w="95" w:type="dxa"/>
            </w:tcMar>
            <w:vAlign w:val="top"/>
            <w:shd w:fill="E9EDF2"/>
          </w:tcPr>
          <w:p>
            <w:r>
              <w:rPr>
                <w:rFonts w:ascii="Arial" w:hAnsi="Arial"/>
                <w:b/>
                <w:i w:val="0"/>
                <w:color w:val="14233B"/>
                <w:sz w:val="16"/>
              </w:rPr>
              <w:t>Lineage</w:t>
            </w:r>
          </w:p>
        </w:tc>
        <w:tc>
          <w:tcPr>
            <w:tcW w:type="dxa" w:w="7517"/>
            <w:tcMar>
              <w:top w:w="70" w:type="dxa"/>
              <w:start w:w="95" w:type="dxa"/>
              <w:bottom w:w="70" w:type="dxa"/>
              <w:end w:w="95" w:type="dxa"/>
            </w:tcMar>
            <w:vAlign w:val="top"/>
            <w:shd w:fill="FAFBFC"/>
          </w:tcPr>
          <w:p>
            <w:r>
              <w:rPr>
                <w:rFonts w:ascii="Arial" w:hAnsi="Arial"/>
                <w:b w:val="0"/>
                <w:i w:val="0"/>
                <w:color w:val="1D2939"/>
                <w:sz w:val="16"/>
              </w:rPr>
              <w:t>SICOM Timer (1989) → rewrite (2001) → new monitor/UI solution (2014) → Drive-Thru Director with continued Genius enhancements. Vision, developed around 2022, is the 100% Genius next-generation timer.</w:t>
            </w:r>
          </w:p>
        </w:tc>
      </w:tr>
      <w:tr>
        <w:tc>
          <w:tcPr>
            <w:tcW w:type="dxa" w:w="1843"/>
            <w:tcMar>
              <w:top w:w="70" w:type="dxa"/>
              <w:start w:w="95" w:type="dxa"/>
              <w:bottom w:w="70" w:type="dxa"/>
              <w:end w:w="95" w:type="dxa"/>
            </w:tcMar>
            <w:vAlign w:val="top"/>
            <w:shd w:fill="F4F6F8"/>
          </w:tcPr>
          <w:p>
            <w:r>
              <w:rPr>
                <w:rFonts w:ascii="Arial" w:hAnsi="Arial"/>
                <w:b/>
                <w:i w:val="0"/>
                <w:color w:val="14233B"/>
                <w:sz w:val="16"/>
              </w:rPr>
              <w:t>What is supported</w:t>
            </w:r>
          </w:p>
        </w:tc>
        <w:tc>
          <w:tcPr>
            <w:tcW w:type="dxa" w:w="7517"/>
            <w:tcMar>
              <w:top w:w="70" w:type="dxa"/>
              <w:start w:w="95" w:type="dxa"/>
              <w:bottom w:w="70" w:type="dxa"/>
              <w:end w:w="95" w:type="dxa"/>
            </w:tcMar>
            <w:vAlign w:val="top"/>
            <w:shd w:fill="FFFFFF"/>
          </w:tcPr>
          <w:p>
            <w:r>
              <w:rPr>
                <w:rFonts w:ascii="Arial" w:hAnsi="Arial"/>
                <w:b w:val="0"/>
                <w:i w:val="0"/>
                <w:color w:val="1D2939"/>
                <w:sz w:val="16"/>
              </w:rPr>
              <w:t>Lane events from detectors, cameras and intelligent order-confirmation units; real-time vehicle visualization; single/dual-lane workflows; gamification; reporting/API. The pitch deck shows Vision zone configuration for stack size, pickup parking and pull-forward tracking across the customer journey.</w:t>
            </w:r>
          </w:p>
        </w:tc>
      </w:tr>
      <w:tr>
        <w:tc>
          <w:tcPr>
            <w:tcW w:type="dxa" w:w="1843"/>
            <w:tcMar>
              <w:top w:w="70" w:type="dxa"/>
              <w:start w:w="95" w:type="dxa"/>
              <w:bottom w:w="70" w:type="dxa"/>
              <w:end w:w="95" w:type="dxa"/>
            </w:tcMar>
            <w:vAlign w:val="top"/>
            <w:shd w:fill="E9EDF2"/>
          </w:tcPr>
          <w:p>
            <w:r>
              <w:rPr>
                <w:rFonts w:ascii="Arial" w:hAnsi="Arial"/>
                <w:b/>
                <w:i w:val="0"/>
                <w:color w:val="14233B"/>
                <w:sz w:val="16"/>
              </w:rPr>
              <w:t>McDonald’s relevance</w:t>
            </w:r>
          </w:p>
        </w:tc>
        <w:tc>
          <w:tcPr>
            <w:tcW w:type="dxa" w:w="7517"/>
            <w:tcMar>
              <w:top w:w="70" w:type="dxa"/>
              <w:start w:w="95" w:type="dxa"/>
              <w:bottom w:w="70" w:type="dxa"/>
              <w:end w:w="95" w:type="dxa"/>
            </w:tcMar>
            <w:vAlign w:val="top"/>
            <w:shd w:fill="FAFBFC"/>
          </w:tcPr>
          <w:p>
            <w:r>
              <w:rPr>
                <w:rFonts w:ascii="Arial" w:hAnsi="Arial"/>
                <w:b w:val="0"/>
                <w:i w:val="0"/>
                <w:color w:val="1D2939"/>
                <w:sz w:val="16"/>
              </w:rPr>
              <w:t>Strongest near-term proof area if Product confirms what is commercially available, what was used at CosMc’s and which integration/service commitments are supportable.</w:t>
            </w:r>
          </w:p>
        </w:tc>
      </w:tr>
      <w:tr>
        <w:tc>
          <w:tcPr>
            <w:tcW w:type="dxa" w:w="1843"/>
            <w:tcMar>
              <w:top w:w="70" w:type="dxa"/>
              <w:start w:w="95" w:type="dxa"/>
              <w:bottom w:w="70" w:type="dxa"/>
              <w:end w:w="95" w:type="dxa"/>
            </w:tcMar>
            <w:vAlign w:val="top"/>
            <w:shd w:fill="F4F6F8"/>
          </w:tcPr>
          <w:p>
            <w:r>
              <w:rPr>
                <w:rFonts w:ascii="Arial" w:hAnsi="Arial"/>
                <w:b/>
                <w:i w:val="0"/>
                <w:color w:val="14233B"/>
                <w:sz w:val="16"/>
              </w:rPr>
              <w:t>Proof point</w:t>
            </w:r>
          </w:p>
        </w:tc>
        <w:tc>
          <w:tcPr>
            <w:tcW w:type="dxa" w:w="7517"/>
            <w:tcMar>
              <w:top w:w="70" w:type="dxa"/>
              <w:start w:w="95" w:type="dxa"/>
              <w:bottom w:w="70" w:type="dxa"/>
              <w:end w:w="95" w:type="dxa"/>
            </w:tcMar>
            <w:vAlign w:val="top"/>
            <w:shd w:fill="FFFFFF"/>
          </w:tcPr>
          <w:p>
            <w:r>
              <w:rPr>
                <w:rFonts w:ascii="Arial" w:hAnsi="Arial"/>
                <w:b w:val="0"/>
                <w:i w:val="0"/>
                <w:color w:val="1D2939"/>
                <w:sz w:val="16"/>
              </w:rPr>
              <w:t>Yoshinoya is the public proof point. The JPR discussion also identified CosMc’s as an important internal reference, but exact scope and disclosure permission remain unverified.</w:t>
            </w:r>
          </w:p>
        </w:tc>
      </w:tr>
      <w:tr>
        <w:tc>
          <w:tcPr>
            <w:tcW w:type="dxa" w:w="1843"/>
            <w:tcMar>
              <w:top w:w="70" w:type="dxa"/>
              <w:start w:w="95" w:type="dxa"/>
              <w:bottom w:w="70" w:type="dxa"/>
              <w:end w:w="95" w:type="dxa"/>
            </w:tcMar>
            <w:vAlign w:val="top"/>
            <w:shd w:fill="E9EDF2"/>
          </w:tcPr>
          <w:p>
            <w:r>
              <w:rPr>
                <w:rFonts w:ascii="Arial" w:hAnsi="Arial"/>
                <w:b/>
                <w:i w:val="0"/>
                <w:color w:val="14233B"/>
                <w:sz w:val="16"/>
              </w:rPr>
              <w:t>Confirm before sharing</w:t>
            </w:r>
          </w:p>
        </w:tc>
        <w:tc>
          <w:tcPr>
            <w:tcW w:type="dxa" w:w="7517"/>
            <w:tcMar>
              <w:top w:w="70" w:type="dxa"/>
              <w:start w:w="95" w:type="dxa"/>
              <w:bottom w:w="70" w:type="dxa"/>
              <w:end w:w="95" w:type="dxa"/>
            </w:tcMar>
            <w:vAlign w:val="top"/>
            <w:shd w:fill="FAFBFC"/>
          </w:tcPr>
          <w:p>
            <w:r>
              <w:rPr>
                <w:rFonts w:ascii="Arial" w:hAnsi="Arial"/>
                <w:b w:val="0"/>
                <w:i w:val="0"/>
                <w:color w:val="1D2939"/>
                <w:sz w:val="16"/>
              </w:rPr>
              <w:t>Current sellable components versus roadmap; supported sensor/camera/OCU architecture; reporting/API; AI claims; CosMc’s requirements and deployed scope; customer references; install/field-service ownership.</w:t>
            </w:r>
          </w:p>
        </w:tc>
      </w:tr>
    </w:tbl>
    <w:tbl>
      <w:tblPr>
        <w:tblW w:type="auto" w:w="0"/>
        <w:jc w:val="center"/>
        <w:tblLayout w:type="fixed"/>
        <w:tblLook w:firstColumn="1" w:firstRow="1" w:lastColumn="0" w:lastRow="0" w:noHBand="0" w:noVBand="1" w:val="04A0"/>
      </w:tblPr>
      <w:tblGrid>
        <w:gridCol w:w="144"/>
        <w:gridCol w:w="9216"/>
      </w:tblGrid>
      <w:tr>
        <w:tc>
          <w:tcPr>
            <w:tcW w:type="dxa" w:w="5083"/>
            <w:shd w:fill="D64545"/>
            <w:tcMar>
              <w:top w:w="0" w:type="dxa"/>
              <w:start w:w="0" w:type="dxa"/>
              <w:bottom w:w="0" w:type="dxa"/>
              <w:end w:w="0" w:type="dxa"/>
            </w:tcMar>
          </w:tcPr>
          <w:p/>
        </w:tc>
        <w:tc>
          <w:tcPr>
            <w:tcW w:type="dxa" w:w="5083"/>
            <w:shd w:fill="FDECEC"/>
            <w:tcMar>
              <w:top w:w="120" w:type="dxa"/>
              <w:start w:w="150" w:type="dxa"/>
              <w:bottom w:w="120" w:type="dxa"/>
              <w:end w:w="150" w:type="dxa"/>
            </w:tcMar>
          </w:tcPr>
          <w:p>
            <w:r>
              <w:rPr>
                <w:rFonts w:ascii="Arial" w:hAnsi="Arial"/>
                <w:b/>
                <w:i w:val="0"/>
                <w:color w:val="14233B"/>
                <w:sz w:val="18"/>
              </w:rPr>
              <w:t>Hold from the external version unless Ryan confirms</w:t>
              <w:br/>
            </w:r>
            <w:r>
              <w:rPr>
                <w:rFonts w:ascii="Arial" w:hAnsi="Arial"/>
                <w:b w:val="0"/>
                <w:i w:val="0"/>
                <w:color w:val="1D2939"/>
                <w:sz w:val="18"/>
              </w:rPr>
              <w:t>Claims that the system reuses existing security-camera feeds; Wi-Fi camera deployment; employee movement tracking; player-free DMB as a universal architecture; or a camera timer developed specifically for CosMc’s. These may be valuable hypotheses, but they are not treated as verified capabilities here.</w:t>
            </w:r>
          </w:p>
        </w:tc>
      </w:tr>
    </w:tbl>
    <w:p>
      <w:pPr>
        <w:spacing w:after="0"/>
      </w:pPr>
    </w:p>
    <w:p>
      <w:pPr>
        <w:keepNext/>
        <w:pageBreakBefore/>
        <w:spacing w:after="40"/>
      </w:pPr>
      <w:r>
        <w:rPr>
          <w:rFonts w:ascii="Arial" w:hAnsi="Arial"/>
          <w:b/>
          <w:i w:val="0"/>
          <w:color w:val="00A6D6"/>
          <w:sz w:val="16"/>
        </w:rPr>
        <w:t>REFERENCE</w:t>
      </w:r>
    </w:p>
    <w:p>
      <w:pPr>
        <w:pStyle w:val="Heading1"/>
        <w:keepNext/>
      </w:pPr>
      <w:r>
        <w:t>Source notes and claim boundaries</w:t>
      </w:r>
    </w:p>
    <w:tbl>
      <w:tblPr>
        <w:tblW w:type="auto" w:w="0"/>
        <w:jc w:val="center"/>
        <w:tblLayout w:type="fixed"/>
        <w:tblLook w:firstColumn="1" w:firstRow="1" w:lastColumn="0" w:lastRow="0" w:noHBand="0" w:noVBand="1" w:val="04A0"/>
      </w:tblPr>
      <w:tblGrid>
        <w:gridCol w:w="144"/>
        <w:gridCol w:w="9216"/>
      </w:tblGrid>
      <w:tr>
        <w:tc>
          <w:tcPr>
            <w:tcW w:type="dxa" w:w="5083"/>
            <w:shd w:fill="2764FF"/>
            <w:tcMar>
              <w:top w:w="0" w:type="dxa"/>
              <w:start w:w="0" w:type="dxa"/>
              <w:bottom w:w="0" w:type="dxa"/>
              <w:end w:w="0" w:type="dxa"/>
            </w:tcMar>
          </w:tcPr>
          <w:p/>
        </w:tc>
        <w:tc>
          <w:tcPr>
            <w:tcW w:type="dxa" w:w="5083"/>
            <w:shd w:fill="EAF0FF"/>
            <w:tcMar>
              <w:top w:w="120" w:type="dxa"/>
              <w:start w:w="150" w:type="dxa"/>
              <w:bottom w:w="120" w:type="dxa"/>
              <w:end w:w="150" w:type="dxa"/>
            </w:tcMar>
          </w:tcPr>
          <w:p>
            <w:r>
              <w:rPr>
                <w:rFonts w:ascii="Arial" w:hAnsi="Arial"/>
                <w:b/>
                <w:i w:val="0"/>
                <w:color w:val="14233B"/>
                <w:sz w:val="18"/>
              </w:rPr>
              <w:t>Evidence standard</w:t>
              <w:br/>
            </w:r>
            <w:r>
              <w:rPr>
                <w:rFonts w:ascii="Arial" w:hAnsi="Arial"/>
                <w:b w:val="0"/>
                <w:i w:val="0"/>
                <w:color w:val="1D2939"/>
                <w:sz w:val="18"/>
              </w:rPr>
              <w:t>Publicly grounded does not mean customer-approved for reuse. Ryan should still confirm current availability, product naming, reference permissions and the operational delivery model before external circulation.</w:t>
            </w:r>
          </w:p>
        </w:tc>
      </w:tr>
    </w:tbl>
    <w:p>
      <w:pPr>
        <w:spacing w:after="0"/>
      </w:pPr>
    </w:p>
    <w:tbl>
      <w:tblPr>
        <w:tblW w:type="auto" w:w="0"/>
        <w:jc w:val="center"/>
        <w:tblLayout w:type="fixed"/>
        <w:tblLook w:firstColumn="1" w:firstRow="1" w:lastColumn="0" w:lastRow="0" w:noHBand="0" w:noVBand="1" w:val="04A0"/>
      </w:tblPr>
      <w:tblGrid>
        <w:gridCol w:w="2232"/>
        <w:gridCol w:w="4536"/>
        <w:gridCol w:w="2592"/>
      </w:tblGrid>
      <w:tr>
        <w:trPr>
          <w:tblHeader w:val="true"/>
        </w:trPr>
        <w:tc>
          <w:tcPr>
            <w:tcW w:type="dxa" w:w="3389"/>
            <w:shd w:fill="14233B"/>
            <w:tcMar>
              <w:top w:w="80" w:type="dxa"/>
              <w:start w:w="90" w:type="dxa"/>
              <w:bottom w:w="80" w:type="dxa"/>
              <w:end w:w="90" w:type="dxa"/>
            </w:tcMar>
          </w:tcPr>
          <w:p>
            <w:r>
              <w:rPr>
                <w:rFonts w:ascii="Arial" w:hAnsi="Arial"/>
                <w:b/>
                <w:i w:val="0"/>
                <w:color w:val="FFFFFF"/>
                <w:sz w:val="16"/>
              </w:rPr>
              <w:t>Source</w:t>
            </w:r>
          </w:p>
        </w:tc>
        <w:tc>
          <w:tcPr>
            <w:tcW w:type="dxa" w:w="3389"/>
            <w:shd w:fill="14233B"/>
            <w:tcMar>
              <w:top w:w="80" w:type="dxa"/>
              <w:start w:w="90" w:type="dxa"/>
              <w:bottom w:w="80" w:type="dxa"/>
              <w:end w:w="90" w:type="dxa"/>
            </w:tcMar>
          </w:tcPr>
          <w:p>
            <w:r>
              <w:rPr>
                <w:rFonts w:ascii="Arial" w:hAnsi="Arial"/>
                <w:b/>
                <w:i w:val="0"/>
                <w:color w:val="FFFFFF"/>
                <w:sz w:val="16"/>
              </w:rPr>
              <w:t>URL</w:t>
            </w:r>
          </w:p>
        </w:tc>
        <w:tc>
          <w:tcPr>
            <w:tcW w:type="dxa" w:w="3389"/>
            <w:shd w:fill="14233B"/>
            <w:tcMar>
              <w:top w:w="80" w:type="dxa"/>
              <w:start w:w="90" w:type="dxa"/>
              <w:bottom w:w="80" w:type="dxa"/>
              <w:end w:w="90" w:type="dxa"/>
            </w:tcMar>
          </w:tcPr>
          <w:p>
            <w:r>
              <w:rPr>
                <w:rFonts w:ascii="Arial" w:hAnsi="Arial"/>
                <w:b/>
                <w:i w:val="0"/>
                <w:color w:val="FFFFFF"/>
                <w:sz w:val="16"/>
              </w:rPr>
              <w:t>Used for</w:t>
            </w:r>
          </w:p>
        </w:tc>
      </w:tr>
      <w:tr>
        <w:tc>
          <w:tcPr>
            <w:tcW w:type="dxa" w:w="2232"/>
            <w:tcMar>
              <w:top w:w="70" w:type="dxa"/>
              <w:start w:w="80" w:type="dxa"/>
              <w:bottom w:w="70" w:type="dxa"/>
              <w:end w:w="80" w:type="dxa"/>
            </w:tcMar>
            <w:shd w:fill="FFFFFF"/>
            <w:vAlign w:val="top"/>
          </w:tcPr>
          <w:p>
            <w:r>
              <w:rPr>
                <w:rFonts w:ascii="Arial" w:hAnsi="Arial"/>
                <w:b/>
                <w:i w:val="0"/>
                <w:color w:val="14233B"/>
                <w:sz w:val="15"/>
              </w:rPr>
              <w:t>Genius overview</w:t>
            </w:r>
          </w:p>
        </w:tc>
        <w:tc>
          <w:tcPr>
            <w:tcW w:type="dxa" w:w="4536"/>
            <w:tcMar>
              <w:top w:w="70" w:type="dxa"/>
              <w:start w:w="80" w:type="dxa"/>
              <w:bottom w:w="70" w:type="dxa"/>
              <w:end w:w="80" w:type="dxa"/>
            </w:tcMar>
            <w:shd w:fill="FFFFFF"/>
            <w:vAlign w:val="top"/>
          </w:tcPr>
          <w:p>
            <w:r>
              <w:rPr>
                <w:rFonts w:ascii="Arial" w:hAnsi="Arial"/>
                <w:b w:val="0"/>
                <w:i w:val="0"/>
                <w:color w:val="2764FF"/>
                <w:sz w:val="14"/>
              </w:rPr>
              <w:t>https://www.globalpayments.com/genius</w:t>
            </w:r>
          </w:p>
        </w:tc>
        <w:tc>
          <w:tcPr>
            <w:tcW w:type="dxa" w:w="2592"/>
            <w:tcMar>
              <w:top w:w="70" w:type="dxa"/>
              <w:start w:w="80" w:type="dxa"/>
              <w:bottom w:w="70" w:type="dxa"/>
              <w:end w:w="80" w:type="dxa"/>
            </w:tcMar>
            <w:shd w:fill="FFFFFF"/>
            <w:vAlign w:val="top"/>
          </w:tcPr>
          <w:p>
            <w:r>
              <w:rPr>
                <w:rFonts w:ascii="Arial" w:hAnsi="Arial"/>
                <w:b w:val="0"/>
                <w:i w:val="0"/>
                <w:color w:val="1D2939"/>
                <w:sz w:val="15"/>
              </w:rPr>
              <w:t>Suite categories, restaurant workflow and general hardware language.</w:t>
            </w:r>
          </w:p>
        </w:tc>
      </w:tr>
      <w:tr>
        <w:tc>
          <w:tcPr>
            <w:tcW w:type="dxa" w:w="2232"/>
            <w:tcMar>
              <w:top w:w="70" w:type="dxa"/>
              <w:start w:w="80" w:type="dxa"/>
              <w:bottom w:w="70" w:type="dxa"/>
              <w:end w:w="80" w:type="dxa"/>
            </w:tcMar>
            <w:shd w:fill="F4F6F8"/>
            <w:vAlign w:val="top"/>
          </w:tcPr>
          <w:p>
            <w:r>
              <w:rPr>
                <w:rFonts w:ascii="Arial" w:hAnsi="Arial"/>
                <w:b/>
                <w:i w:val="0"/>
                <w:color w:val="14233B"/>
                <w:sz w:val="15"/>
              </w:rPr>
              <w:t>Genius Enterprise POS</w:t>
            </w:r>
          </w:p>
        </w:tc>
        <w:tc>
          <w:tcPr>
            <w:tcW w:type="dxa" w:w="4536"/>
            <w:tcMar>
              <w:top w:w="70" w:type="dxa"/>
              <w:start w:w="80" w:type="dxa"/>
              <w:bottom w:w="70" w:type="dxa"/>
              <w:end w:w="80" w:type="dxa"/>
            </w:tcMar>
            <w:shd w:fill="F4F6F8"/>
            <w:vAlign w:val="top"/>
          </w:tcPr>
          <w:p>
            <w:r>
              <w:rPr>
                <w:rFonts w:ascii="Arial" w:hAnsi="Arial"/>
                <w:b w:val="0"/>
                <w:i w:val="0"/>
                <w:color w:val="2764FF"/>
                <w:sz w:val="14"/>
              </w:rPr>
              <w:t>https://www.globalpayments.com/point-of-sale/enterprise/enterprise-pos</w:t>
            </w:r>
          </w:p>
        </w:tc>
        <w:tc>
          <w:tcPr>
            <w:tcW w:type="dxa" w:w="2592"/>
            <w:tcMar>
              <w:top w:w="70" w:type="dxa"/>
              <w:start w:w="80" w:type="dxa"/>
              <w:bottom w:w="70" w:type="dxa"/>
              <w:end w:w="80" w:type="dxa"/>
            </w:tcMar>
            <w:shd w:fill="F4F6F8"/>
            <w:vAlign w:val="top"/>
          </w:tcPr>
          <w:p>
            <w:r>
              <w:rPr>
                <w:rFonts w:ascii="Arial" w:hAnsi="Arial"/>
                <w:b w:val="0"/>
                <w:i w:val="0"/>
                <w:color w:val="1D2939"/>
                <w:sz w:val="15"/>
              </w:rPr>
              <w:t>Enterprise architecture, operating systems, hardware flexibility, order channels and A&amp;W Canada reference.</w:t>
            </w:r>
          </w:p>
        </w:tc>
      </w:tr>
      <w:tr>
        <w:tc>
          <w:tcPr>
            <w:tcW w:type="dxa" w:w="2232"/>
            <w:tcMar>
              <w:top w:w="70" w:type="dxa"/>
              <w:start w:w="80" w:type="dxa"/>
              <w:bottom w:w="70" w:type="dxa"/>
              <w:end w:w="80" w:type="dxa"/>
            </w:tcMar>
            <w:shd w:fill="FFFFFF"/>
            <w:vAlign w:val="top"/>
          </w:tcPr>
          <w:p>
            <w:r>
              <w:rPr>
                <w:rFonts w:ascii="Arial" w:hAnsi="Arial"/>
                <w:b/>
                <w:i w:val="0"/>
                <w:color w:val="14233B"/>
                <w:sz w:val="15"/>
              </w:rPr>
              <w:t>Genius QSR</w:t>
            </w:r>
          </w:p>
        </w:tc>
        <w:tc>
          <w:tcPr>
            <w:tcW w:type="dxa" w:w="4536"/>
            <w:tcMar>
              <w:top w:w="70" w:type="dxa"/>
              <w:start w:w="80" w:type="dxa"/>
              <w:bottom w:w="70" w:type="dxa"/>
              <w:end w:w="80" w:type="dxa"/>
            </w:tcMar>
            <w:shd w:fill="FFFFFF"/>
            <w:vAlign w:val="top"/>
          </w:tcPr>
          <w:p>
            <w:r>
              <w:rPr>
                <w:rFonts w:ascii="Arial" w:hAnsi="Arial"/>
                <w:b w:val="0"/>
                <w:i w:val="0"/>
                <w:color w:val="2764FF"/>
                <w:sz w:val="14"/>
              </w:rPr>
              <w:t>https://www.globalpayments.com/en-gb/point-of-sale/restaurant/quick-service</w:t>
            </w:r>
          </w:p>
        </w:tc>
        <w:tc>
          <w:tcPr>
            <w:tcW w:type="dxa" w:w="2592"/>
            <w:tcMar>
              <w:top w:w="70" w:type="dxa"/>
              <w:start w:w="80" w:type="dxa"/>
              <w:bottom w:w="70" w:type="dxa"/>
              <w:end w:w="80" w:type="dxa"/>
            </w:tcMar>
            <w:shd w:fill="FFFFFF"/>
            <w:vAlign w:val="top"/>
          </w:tcPr>
          <w:p>
            <w:r>
              <w:rPr>
                <w:rFonts w:ascii="Arial" w:hAnsi="Arial"/>
                <w:b w:val="0"/>
                <w:i w:val="0"/>
                <w:color w:val="1D2939"/>
                <w:sz w:val="15"/>
              </w:rPr>
              <w:t>Countertop and handheld category descriptions.</w:t>
            </w:r>
          </w:p>
        </w:tc>
      </w:tr>
      <w:tr>
        <w:tc>
          <w:tcPr>
            <w:tcW w:type="dxa" w:w="2232"/>
            <w:tcMar>
              <w:top w:w="70" w:type="dxa"/>
              <w:start w:w="80" w:type="dxa"/>
              <w:bottom w:w="70" w:type="dxa"/>
              <w:end w:w="80" w:type="dxa"/>
            </w:tcMar>
            <w:shd w:fill="F4F6F8"/>
            <w:vAlign w:val="top"/>
          </w:tcPr>
          <w:p>
            <w:r>
              <w:rPr>
                <w:rFonts w:ascii="Arial" w:hAnsi="Arial"/>
                <w:b/>
                <w:i w:val="0"/>
                <w:color w:val="14233B"/>
                <w:sz w:val="15"/>
              </w:rPr>
              <w:t>Genius launch announcement</w:t>
            </w:r>
          </w:p>
        </w:tc>
        <w:tc>
          <w:tcPr>
            <w:tcW w:type="dxa" w:w="4536"/>
            <w:tcMar>
              <w:top w:w="70" w:type="dxa"/>
              <w:start w:w="80" w:type="dxa"/>
              <w:bottom w:w="70" w:type="dxa"/>
              <w:end w:w="80" w:type="dxa"/>
            </w:tcMar>
            <w:shd w:fill="F4F6F8"/>
            <w:vAlign w:val="top"/>
          </w:tcPr>
          <w:p>
            <w:r>
              <w:rPr>
                <w:rFonts w:ascii="Arial" w:hAnsi="Arial"/>
                <w:b w:val="0"/>
                <w:i w:val="0"/>
                <w:color w:val="2764FF"/>
                <w:sz w:val="14"/>
              </w:rPr>
              <w:t>https://investors.globalpayments.com/news-events/press-releases/detail/473/global-payments-launches-new-genius-pos-platform</w:t>
            </w:r>
          </w:p>
        </w:tc>
        <w:tc>
          <w:tcPr>
            <w:tcW w:type="dxa" w:w="2592"/>
            <w:tcMar>
              <w:top w:w="70" w:type="dxa"/>
              <w:start w:w="80" w:type="dxa"/>
              <w:bottom w:w="70" w:type="dxa"/>
              <w:end w:w="80" w:type="dxa"/>
            </w:tcMar>
            <w:shd w:fill="F4F6F8"/>
            <w:vAlign w:val="top"/>
          </w:tcPr>
          <w:p>
            <w:r>
              <w:rPr>
                <w:rFonts w:ascii="Arial" w:hAnsi="Arial"/>
                <w:b w:val="0"/>
                <w:i w:val="0"/>
                <w:color w:val="1D2939"/>
                <w:sz w:val="15"/>
              </w:rPr>
              <w:t>Unified Genius positioning and enterprise launch context.</w:t>
            </w:r>
          </w:p>
        </w:tc>
      </w:tr>
      <w:tr>
        <w:tc>
          <w:tcPr>
            <w:tcW w:type="dxa" w:w="2232"/>
            <w:tcMar>
              <w:top w:w="70" w:type="dxa"/>
              <w:start w:w="80" w:type="dxa"/>
              <w:bottom w:w="70" w:type="dxa"/>
              <w:end w:w="80" w:type="dxa"/>
            </w:tcMar>
            <w:shd w:fill="FFFFFF"/>
            <w:vAlign w:val="top"/>
          </w:tcPr>
          <w:p>
            <w:r>
              <w:rPr>
                <w:rFonts w:ascii="Arial" w:hAnsi="Arial"/>
                <w:b/>
                <w:i w:val="0"/>
                <w:color w:val="14233B"/>
                <w:sz w:val="15"/>
              </w:rPr>
              <w:t>Xenial product portfolio</w:t>
            </w:r>
          </w:p>
        </w:tc>
        <w:tc>
          <w:tcPr>
            <w:tcW w:type="dxa" w:w="4536"/>
            <w:tcMar>
              <w:top w:w="70" w:type="dxa"/>
              <w:start w:w="80" w:type="dxa"/>
              <w:bottom w:w="70" w:type="dxa"/>
              <w:end w:w="80" w:type="dxa"/>
            </w:tcMar>
            <w:shd w:fill="FFFFFF"/>
            <w:vAlign w:val="top"/>
          </w:tcPr>
          <w:p>
            <w:r>
              <w:rPr>
                <w:rFonts w:ascii="Arial" w:hAnsi="Arial"/>
                <w:b w:val="0"/>
                <w:i w:val="0"/>
                <w:color w:val="2764FF"/>
                <w:sz w:val="14"/>
              </w:rPr>
              <w:t>https://www.xenial.com/products/</w:t>
            </w:r>
          </w:p>
        </w:tc>
        <w:tc>
          <w:tcPr>
            <w:tcW w:type="dxa" w:w="2592"/>
            <w:tcMar>
              <w:top w:w="70" w:type="dxa"/>
              <w:start w:w="80" w:type="dxa"/>
              <w:bottom w:w="70" w:type="dxa"/>
              <w:end w:w="80" w:type="dxa"/>
            </w:tcMar>
            <w:shd w:fill="FFFFFF"/>
            <w:vAlign w:val="top"/>
          </w:tcPr>
          <w:p>
            <w:r>
              <w:rPr>
                <w:rFonts w:ascii="Arial" w:hAnsi="Arial"/>
                <w:b w:val="0"/>
                <w:i w:val="0"/>
                <w:color w:val="1D2939"/>
                <w:sz w:val="15"/>
              </w:rPr>
              <w:t>Legacy/current portfolio taxonomy across POS, kiosk, kitchen, displays, back office and drive-thru.</w:t>
            </w:r>
          </w:p>
        </w:tc>
      </w:tr>
      <w:tr>
        <w:tc>
          <w:tcPr>
            <w:tcW w:type="dxa" w:w="2232"/>
            <w:tcMar>
              <w:top w:w="70" w:type="dxa"/>
              <w:start w:w="80" w:type="dxa"/>
              <w:bottom w:w="70" w:type="dxa"/>
              <w:end w:w="80" w:type="dxa"/>
            </w:tcMar>
            <w:shd w:fill="F4F6F8"/>
            <w:vAlign w:val="top"/>
          </w:tcPr>
          <w:p>
            <w:r>
              <w:rPr>
                <w:rFonts w:ascii="Arial" w:hAnsi="Arial"/>
                <w:b/>
                <w:i w:val="0"/>
                <w:color w:val="14233B"/>
                <w:sz w:val="15"/>
              </w:rPr>
              <w:t>Genius Kitchen documentation</w:t>
            </w:r>
          </w:p>
        </w:tc>
        <w:tc>
          <w:tcPr>
            <w:tcW w:type="dxa" w:w="4536"/>
            <w:tcMar>
              <w:top w:w="70" w:type="dxa"/>
              <w:start w:w="80" w:type="dxa"/>
              <w:bottom w:w="70" w:type="dxa"/>
              <w:end w:w="80" w:type="dxa"/>
            </w:tcMar>
            <w:shd w:fill="F4F6F8"/>
            <w:vAlign w:val="top"/>
          </w:tcPr>
          <w:p>
            <w:r>
              <w:rPr>
                <w:rFonts w:ascii="Arial" w:hAnsi="Arial"/>
                <w:b w:val="0"/>
                <w:i w:val="0"/>
                <w:color w:val="2764FF"/>
                <w:sz w:val="14"/>
              </w:rPr>
              <w:t>https://www.xenial.com/product-documentation/en/genius-kitchen/kitchen-management-interface/kitchen-displays.html</w:t>
            </w:r>
          </w:p>
        </w:tc>
        <w:tc>
          <w:tcPr>
            <w:tcW w:type="dxa" w:w="2592"/>
            <w:tcMar>
              <w:top w:w="70" w:type="dxa"/>
              <w:start w:w="80" w:type="dxa"/>
              <w:bottom w:w="70" w:type="dxa"/>
              <w:end w:w="80" w:type="dxa"/>
            </w:tcMar>
            <w:shd w:fill="F4F6F8"/>
            <w:vAlign w:val="top"/>
          </w:tcPr>
          <w:p>
            <w:r>
              <w:rPr>
                <w:rFonts w:ascii="Arial" w:hAnsi="Arial"/>
                <w:b w:val="0"/>
                <w:i w:val="0"/>
                <w:color w:val="1D2939"/>
                <w:sz w:val="15"/>
              </w:rPr>
              <w:t>Kitchen routing, ticket views, notifications and order-ready display.</w:t>
            </w:r>
          </w:p>
        </w:tc>
      </w:tr>
      <w:tr>
        <w:tc>
          <w:tcPr>
            <w:tcW w:type="dxa" w:w="2232"/>
            <w:tcMar>
              <w:top w:w="70" w:type="dxa"/>
              <w:start w:w="80" w:type="dxa"/>
              <w:bottom w:w="70" w:type="dxa"/>
              <w:end w:w="80" w:type="dxa"/>
            </w:tcMar>
            <w:shd w:fill="FFFFFF"/>
            <w:vAlign w:val="top"/>
          </w:tcPr>
          <w:p>
            <w:r>
              <w:rPr>
                <w:rFonts w:ascii="Arial" w:hAnsi="Arial"/>
                <w:b/>
                <w:i w:val="0"/>
                <w:color w:val="14233B"/>
                <w:sz w:val="15"/>
              </w:rPr>
              <w:t>Xenial kiosk</w:t>
            </w:r>
          </w:p>
        </w:tc>
        <w:tc>
          <w:tcPr>
            <w:tcW w:type="dxa" w:w="4536"/>
            <w:tcMar>
              <w:top w:w="70" w:type="dxa"/>
              <w:start w:w="80" w:type="dxa"/>
              <w:bottom w:w="70" w:type="dxa"/>
              <w:end w:w="80" w:type="dxa"/>
            </w:tcMar>
            <w:shd w:fill="FFFFFF"/>
            <w:vAlign w:val="top"/>
          </w:tcPr>
          <w:p>
            <w:r>
              <w:rPr>
                <w:rFonts w:ascii="Arial" w:hAnsi="Arial"/>
                <w:b w:val="0"/>
                <w:i w:val="0"/>
                <w:color w:val="2764FF"/>
                <w:sz w:val="14"/>
              </w:rPr>
              <w:t>https://www.xenial.com/products/kiosk-hardware-software/</w:t>
            </w:r>
          </w:p>
        </w:tc>
        <w:tc>
          <w:tcPr>
            <w:tcW w:type="dxa" w:w="2592"/>
            <w:tcMar>
              <w:top w:w="70" w:type="dxa"/>
              <w:start w:w="80" w:type="dxa"/>
              <w:bottom w:w="70" w:type="dxa"/>
              <w:end w:w="80" w:type="dxa"/>
            </w:tcMar>
            <w:shd w:fill="FFFFFF"/>
            <w:vAlign w:val="top"/>
          </w:tcPr>
          <w:p>
            <w:r>
              <w:rPr>
                <w:rFonts w:ascii="Arial" w:hAnsi="Arial"/>
                <w:b w:val="0"/>
                <w:i w:val="0"/>
                <w:color w:val="1D2939"/>
                <w:sz w:val="15"/>
              </w:rPr>
              <w:t>Kiosk hardware/software options, peripherals and SDK positioning.</w:t>
            </w:r>
          </w:p>
        </w:tc>
      </w:tr>
      <w:tr>
        <w:tc>
          <w:tcPr>
            <w:tcW w:type="dxa" w:w="2232"/>
            <w:tcMar>
              <w:top w:w="70" w:type="dxa"/>
              <w:start w:w="80" w:type="dxa"/>
              <w:bottom w:w="70" w:type="dxa"/>
              <w:end w:w="80" w:type="dxa"/>
            </w:tcMar>
            <w:shd w:fill="F4F6F8"/>
            <w:vAlign w:val="top"/>
          </w:tcPr>
          <w:p>
            <w:r>
              <w:rPr>
                <w:rFonts w:ascii="Arial" w:hAnsi="Arial"/>
                <w:b/>
                <w:i w:val="0"/>
                <w:color w:val="14233B"/>
                <w:sz w:val="15"/>
              </w:rPr>
              <w:t>Genius Drive Thru documentation</w:t>
            </w:r>
          </w:p>
        </w:tc>
        <w:tc>
          <w:tcPr>
            <w:tcW w:type="dxa" w:w="4536"/>
            <w:tcMar>
              <w:top w:w="70" w:type="dxa"/>
              <w:start w:w="80" w:type="dxa"/>
              <w:bottom w:w="70" w:type="dxa"/>
              <w:end w:w="80" w:type="dxa"/>
            </w:tcMar>
            <w:shd w:fill="F4F6F8"/>
            <w:vAlign w:val="top"/>
          </w:tcPr>
          <w:p>
            <w:r>
              <w:rPr>
                <w:rFonts w:ascii="Arial" w:hAnsi="Arial"/>
                <w:b w:val="0"/>
                <w:i w:val="0"/>
                <w:color w:val="2764FF"/>
                <w:sz w:val="14"/>
              </w:rPr>
              <w:t>https://www.xenial.com/developer-resources/en/genius-drive-thru.html</w:t>
            </w:r>
          </w:p>
        </w:tc>
        <w:tc>
          <w:tcPr>
            <w:tcW w:type="dxa" w:w="2592"/>
            <w:tcMar>
              <w:top w:w="70" w:type="dxa"/>
              <w:start w:w="80" w:type="dxa"/>
              <w:bottom w:w="70" w:type="dxa"/>
              <w:end w:w="80" w:type="dxa"/>
            </w:tcMar>
            <w:shd w:fill="F4F6F8"/>
            <w:vAlign w:val="top"/>
          </w:tcPr>
          <w:p>
            <w:r>
              <w:rPr>
                <w:rFonts w:ascii="Arial" w:hAnsi="Arial"/>
                <w:b w:val="0"/>
                <w:i w:val="0"/>
                <w:color w:val="1D2939"/>
                <w:sz w:val="15"/>
              </w:rPr>
              <w:t>Drive Thru Director, Vision, lane inputs, visualization and reporting/API.</w:t>
            </w:r>
          </w:p>
        </w:tc>
      </w:tr>
      <w:tr>
        <w:tc>
          <w:tcPr>
            <w:tcW w:type="dxa" w:w="2232"/>
            <w:tcMar>
              <w:top w:w="70" w:type="dxa"/>
              <w:start w:w="80" w:type="dxa"/>
              <w:bottom w:w="70" w:type="dxa"/>
              <w:end w:w="80" w:type="dxa"/>
            </w:tcMar>
            <w:shd w:fill="FFFFFF"/>
            <w:vAlign w:val="top"/>
          </w:tcPr>
          <w:p>
            <w:r>
              <w:rPr>
                <w:rFonts w:ascii="Arial" w:hAnsi="Arial"/>
                <w:b/>
                <w:i w:val="0"/>
                <w:color w:val="14233B"/>
                <w:sz w:val="15"/>
              </w:rPr>
              <w:t>Yoshinoya case study</w:t>
            </w:r>
          </w:p>
        </w:tc>
        <w:tc>
          <w:tcPr>
            <w:tcW w:type="dxa" w:w="4536"/>
            <w:tcMar>
              <w:top w:w="70" w:type="dxa"/>
              <w:start w:w="80" w:type="dxa"/>
              <w:bottom w:w="70" w:type="dxa"/>
              <w:end w:w="80" w:type="dxa"/>
            </w:tcMar>
            <w:shd w:fill="FFFFFF"/>
            <w:vAlign w:val="top"/>
          </w:tcPr>
          <w:p>
            <w:r>
              <w:rPr>
                <w:rFonts w:ascii="Arial" w:hAnsi="Arial"/>
                <w:b w:val="0"/>
                <w:i w:val="0"/>
                <w:color w:val="2764FF"/>
                <w:sz w:val="14"/>
              </w:rPr>
              <w:t>https://www.xenial.com/case-studies/yoshinoya-menu-board/</w:t>
            </w:r>
          </w:p>
        </w:tc>
        <w:tc>
          <w:tcPr>
            <w:tcW w:type="dxa" w:w="2592"/>
            <w:tcMar>
              <w:top w:w="70" w:type="dxa"/>
              <w:start w:w="80" w:type="dxa"/>
              <w:bottom w:w="70" w:type="dxa"/>
              <w:end w:w="80" w:type="dxa"/>
            </w:tcMar>
            <w:shd w:fill="FFFFFF"/>
            <w:vAlign w:val="top"/>
          </w:tcPr>
          <w:p>
            <w:r>
              <w:rPr>
                <w:rFonts w:ascii="Arial" w:hAnsi="Arial"/>
                <w:b w:val="0"/>
                <w:i w:val="0"/>
                <w:color w:val="1D2939"/>
                <w:sz w:val="15"/>
              </w:rPr>
              <w:t>Public DMB/timer deployment and reported outcome.</w:t>
            </w:r>
          </w:p>
        </w:tc>
      </w:tr>
      <w:tr>
        <w:tc>
          <w:tcPr>
            <w:tcW w:type="dxa" w:w="2232"/>
            <w:tcMar>
              <w:top w:w="70" w:type="dxa"/>
              <w:start w:w="80" w:type="dxa"/>
              <w:bottom w:w="70" w:type="dxa"/>
              <w:end w:w="80" w:type="dxa"/>
            </w:tcMar>
            <w:shd w:fill="F4F6F8"/>
            <w:vAlign w:val="top"/>
          </w:tcPr>
          <w:p>
            <w:r>
              <w:rPr>
                <w:rFonts w:ascii="Arial" w:hAnsi="Arial"/>
                <w:b/>
                <w:i w:val="0"/>
                <w:color w:val="14233B"/>
                <w:sz w:val="15"/>
              </w:rPr>
              <w:t>Xenial Digital Displays</w:t>
            </w:r>
          </w:p>
        </w:tc>
        <w:tc>
          <w:tcPr>
            <w:tcW w:type="dxa" w:w="4536"/>
            <w:tcMar>
              <w:top w:w="70" w:type="dxa"/>
              <w:start w:w="80" w:type="dxa"/>
              <w:bottom w:w="70" w:type="dxa"/>
              <w:end w:w="80" w:type="dxa"/>
            </w:tcMar>
            <w:shd w:fill="F4F6F8"/>
            <w:vAlign w:val="top"/>
          </w:tcPr>
          <w:p>
            <w:r>
              <w:rPr>
                <w:rFonts w:ascii="Arial" w:hAnsi="Arial"/>
                <w:b w:val="0"/>
                <w:i w:val="0"/>
                <w:color w:val="2764FF"/>
                <w:sz w:val="14"/>
              </w:rPr>
              <w:t>https://www.xenial.com/pdfs/Xenial-Restaurant-Digital-Displays.pdf</w:t>
            </w:r>
          </w:p>
        </w:tc>
        <w:tc>
          <w:tcPr>
            <w:tcW w:type="dxa" w:w="2592"/>
            <w:tcMar>
              <w:top w:w="70" w:type="dxa"/>
              <w:start w:w="80" w:type="dxa"/>
              <w:bottom w:w="70" w:type="dxa"/>
              <w:end w:w="80" w:type="dxa"/>
            </w:tcMar>
            <w:shd w:fill="F4F6F8"/>
            <w:vAlign w:val="top"/>
          </w:tcPr>
          <w:p>
            <w:r>
              <w:rPr>
                <w:rFonts w:ascii="Arial" w:hAnsi="Arial"/>
                <w:b w:val="0"/>
                <w:i w:val="0"/>
                <w:color w:val="1D2939"/>
                <w:sz w:val="15"/>
              </w:rPr>
              <w:t>Indoor/outdoor display use cases, control and operations support.</w:t>
            </w:r>
          </w:p>
        </w:tc>
      </w:tr>
      <w:tr>
        <w:tc>
          <w:tcPr>
            <w:tcW w:type="dxa" w:w="2232"/>
            <w:tcMar>
              <w:top w:w="70" w:type="dxa"/>
              <w:start w:w="80" w:type="dxa"/>
              <w:bottom w:w="70" w:type="dxa"/>
              <w:end w:w="80" w:type="dxa"/>
            </w:tcMar>
            <w:shd w:fill="FFFFFF"/>
            <w:vAlign w:val="top"/>
          </w:tcPr>
          <w:p>
            <w:r>
              <w:rPr>
                <w:rFonts w:ascii="Arial" w:hAnsi="Arial"/>
                <w:b/>
                <w:i w:val="0"/>
                <w:color w:val="14233B"/>
                <w:sz w:val="15"/>
              </w:rPr>
              <w:t>Xenial support directory</w:t>
            </w:r>
          </w:p>
        </w:tc>
        <w:tc>
          <w:tcPr>
            <w:tcW w:type="dxa" w:w="4536"/>
            <w:tcMar>
              <w:top w:w="70" w:type="dxa"/>
              <w:start w:w="80" w:type="dxa"/>
              <w:bottom w:w="70" w:type="dxa"/>
              <w:end w:w="80" w:type="dxa"/>
            </w:tcMar>
            <w:shd w:fill="FFFFFF"/>
            <w:vAlign w:val="top"/>
          </w:tcPr>
          <w:p>
            <w:r>
              <w:rPr>
                <w:rFonts w:ascii="Arial" w:hAnsi="Arial"/>
                <w:b w:val="0"/>
                <w:i w:val="0"/>
                <w:color w:val="2764FF"/>
                <w:sz w:val="14"/>
              </w:rPr>
              <w:t>https://www.xenial.com/support/</w:t>
            </w:r>
          </w:p>
        </w:tc>
        <w:tc>
          <w:tcPr>
            <w:tcW w:type="dxa" w:w="2592"/>
            <w:tcMar>
              <w:top w:w="70" w:type="dxa"/>
              <w:start w:w="80" w:type="dxa"/>
              <w:bottom w:w="70" w:type="dxa"/>
              <w:end w:w="80" w:type="dxa"/>
            </w:tcMar>
            <w:shd w:fill="FFFFFF"/>
            <w:vAlign w:val="top"/>
          </w:tcPr>
          <w:p>
            <w:r>
              <w:rPr>
                <w:rFonts w:ascii="Arial" w:hAnsi="Arial"/>
                <w:b w:val="0"/>
                <w:i w:val="0"/>
                <w:color w:val="1D2939"/>
                <w:sz w:val="15"/>
              </w:rPr>
              <w:t>Visible legacy support families including RTI and Back Office.</w:t>
            </w:r>
          </w:p>
        </w:tc>
      </w:tr>
    </w:tbl>
    <w:p>
      <w:pPr>
        <w:pStyle w:val="Heading2"/>
        <w:keepNext/>
      </w:pPr>
      <w:r>
        <w:t>Internal inputs requiring confirmation</w:t>
      </w:r>
    </w:p>
    <w:p>
      <w:pPr>
        <w:pStyle w:val="ListBullet"/>
        <w:spacing w:after="50"/>
      </w:pPr>
      <w:r>
        <w:rPr>
          <w:rFonts w:ascii="Arial" w:hAnsi="Arial"/>
          <w:b w:val="0"/>
          <w:i w:val="0"/>
          <w:color w:val="1D2939"/>
          <w:sz w:val="18"/>
        </w:rPr>
        <w:t>August 11 JPR discussion with Jeff Coffland, including the requested product-lineage map and CosMc’s context.</w:t>
      </w:r>
    </w:p>
    <w:p>
      <w:pPr>
        <w:pStyle w:val="ListBullet"/>
        <w:spacing w:after="50"/>
      </w:pPr>
      <w:r>
        <w:rPr>
          <w:rFonts w:ascii="Arial" w:hAnsi="Arial"/>
          <w:b w:val="0"/>
          <w:i w:val="0"/>
          <w:color w:val="1D2939"/>
          <w:sz w:val="18"/>
        </w:rPr>
        <w:t>Internal account intelligence: CosMc’s footprint, hardware ownership/manufacturing, roadmap concepts, references and owners.</w:t>
      </w:r>
    </w:p>
    <w:p>
      <w:pPr>
        <w:pStyle w:val="ListBullet"/>
        <w:spacing w:after="50"/>
      </w:pPr>
      <w:r>
        <w:rPr>
          <w:rFonts w:ascii="Arial" w:hAnsi="Arial"/>
          <w:b w:val="0"/>
          <w:i w:val="0"/>
          <w:color w:val="1D2939"/>
          <w:sz w:val="18"/>
        </w:rPr>
        <w:t>Michael Schwartz product confirmation, August 11, 2026: DMB and timer lineage, Flytech manufacturing relationship, hardware ownership, Merchantware/Cayan direction and CosMc’s processing/gateway architecture.</w:t>
      </w:r>
    </w:p>
    <w:p>
      <w:pPr>
        <w:pStyle w:val="ListBullet"/>
        <w:spacing w:after="50"/>
      </w:pPr>
      <w:r>
        <w:rPr>
          <w:rFonts w:ascii="Arial" w:hAnsi="Arial"/>
          <w:b w:val="0"/>
          <w:i w:val="0"/>
          <w:color w:val="1D2939"/>
          <w:sz w:val="18"/>
        </w:rPr>
        <w:t>Global Payments Integrated — Payments Overview (internal 2025 deck, received August 12, 2026): GPI/Portico architecture, channels, processor connections, terminal management, offline operation and devices. Roadmap labels and certifications require confirmation.</w:t>
      </w:r>
    </w:p>
    <w:p>
      <w:pPr>
        <w:pStyle w:val="ListBullet"/>
        <w:spacing w:after="50"/>
      </w:pPr>
      <w:r>
        <w:rPr>
          <w:rFonts w:ascii="Arial" w:hAnsi="Arial"/>
          <w:b w:val="0"/>
          <w:i w:val="0"/>
          <w:color w:val="1D2939"/>
          <w:sz w:val="18"/>
        </w:rPr>
        <w:t>Genius N Pitch Deck (internal 2025 deck, received August 12, 2026): product taxonomy, hardware imagery/specifications, architecture and APIs, offline resilience, integration categories, 7 Brew/A&amp;W/CosMc’s proof points, kiosk scale, DMB system-on-chip and Vision workflow. All non-public claims require Product approval.</w:t>
      </w:r>
    </w:p>
    <w:p>
      <w:r>
        <w:br w:type="page"/>
      </w:r>
    </w:p>
    <w:p>
      <w:pPr>
        <w:keepNext/>
        <w:spacing w:after="40"/>
      </w:pPr>
      <w:r>
        <w:rPr>
          <w:rFonts w:ascii="Arial" w:hAnsi="Arial"/>
          <w:b/>
          <w:i w:val="0"/>
          <w:color w:val="00A6D6"/>
          <w:sz w:val="16"/>
        </w:rPr>
        <w:t>PRODUCT MAP 4 OF 4 — HARDWARE REFERENCE</w:t>
      </w:r>
    </w:p>
    <w:p>
      <w:pPr>
        <w:pStyle w:val="Heading1"/>
        <w:keepNext/>
      </w:pPr>
      <w:r>
        <w:t>Genius hardware</w:t>
      </w:r>
    </w:p>
    <w:p>
      <w:pPr>
        <w:keepNext/>
        <w:spacing w:before="140" w:after="60"/>
      </w:pPr>
      <w:r>
        <w:rPr>
          <w:rFonts w:ascii="Arial" w:hAnsi="Arial"/>
          <w:b/>
          <w:i w:val="0"/>
          <w:color w:val="14233B"/>
          <w:sz w:val="26"/>
        </w:rPr>
        <w:t>A modular in-store hardware family</w:t>
      </w:r>
      <w:r>
        <w:rPr>
          <w:rFonts w:ascii="Arial" w:hAnsi="Arial"/>
          <w:b/>
          <w:i w:val="0"/>
          <w:color w:val="9A6700"/>
          <w:sz w:val="15"/>
        </w:rPr>
        <w:t xml:space="preserve">   CONFIRM BEFORE EXTERNAL USE</w:t>
      </w:r>
    </w:p>
    <w:tbl>
      <w:tblPr>
        <w:tblW w:type="auto" w:w="0"/>
        <w:jc w:val="center"/>
        <w:tblLayout w:type="fixed"/>
        <w:tblLook w:firstColumn="1" w:firstRow="1" w:lastColumn="0" w:lastRow="0" w:noHBand="0" w:noVBand="1" w:val="04A0"/>
      </w:tblPr>
      <w:tblGrid>
        <w:gridCol w:w="1843"/>
        <w:gridCol w:w="7517"/>
      </w:tblGrid>
      <w:tr>
        <w:tc>
          <w:tcPr>
            <w:tcW w:type="dxa" w:w="1843"/>
            <w:tcMar>
              <w:top w:w="70" w:type="dxa"/>
              <w:start w:w="95" w:type="dxa"/>
              <w:bottom w:w="70" w:type="dxa"/>
              <w:end w:w="95" w:type="dxa"/>
            </w:tcMar>
            <w:vAlign w:val="top"/>
            <w:shd w:fill="F4F6F8"/>
          </w:tcPr>
          <w:p>
            <w:r>
              <w:rPr>
                <w:rFonts w:ascii="Arial" w:hAnsi="Arial"/>
                <w:b/>
                <w:i w:val="0"/>
                <w:color w:val="14233B"/>
                <w:sz w:val="16"/>
              </w:rPr>
              <w:t>Current label</w:t>
            </w:r>
          </w:p>
        </w:tc>
        <w:tc>
          <w:tcPr>
            <w:tcW w:type="dxa" w:w="7517"/>
            <w:tcMar>
              <w:top w:w="70" w:type="dxa"/>
              <w:start w:w="95" w:type="dxa"/>
              <w:bottom w:w="70" w:type="dxa"/>
              <w:end w:w="95" w:type="dxa"/>
            </w:tcMar>
            <w:vAlign w:val="top"/>
            <w:shd w:fill="FFFFFF"/>
          </w:tcPr>
          <w:p>
            <w:r>
              <w:rPr>
                <w:rFonts w:ascii="Arial" w:hAnsi="Arial"/>
                <w:b w:val="0"/>
                <w:i w:val="0"/>
                <w:color w:val="1D2939"/>
                <w:sz w:val="16"/>
              </w:rPr>
              <w:t>Genius countertop, handheld, kiosk, tethered and GP One hardware families</w:t>
            </w:r>
          </w:p>
        </w:tc>
      </w:tr>
      <w:tr>
        <w:tc>
          <w:tcPr>
            <w:tcW w:type="dxa" w:w="1843"/>
            <w:tcMar>
              <w:top w:w="70" w:type="dxa"/>
              <w:start w:w="95" w:type="dxa"/>
              <w:bottom w:w="70" w:type="dxa"/>
              <w:end w:w="95" w:type="dxa"/>
            </w:tcMar>
            <w:vAlign w:val="top"/>
            <w:shd w:fill="E9EDF2"/>
          </w:tcPr>
          <w:p>
            <w:r>
              <w:rPr>
                <w:rFonts w:ascii="Arial" w:hAnsi="Arial"/>
                <w:b/>
                <w:i w:val="0"/>
                <w:color w:val="14233B"/>
                <w:sz w:val="16"/>
              </w:rPr>
              <w:t>Lineage</w:t>
            </w:r>
          </w:p>
        </w:tc>
        <w:tc>
          <w:tcPr>
            <w:tcW w:type="dxa" w:w="7517"/>
            <w:tcMar>
              <w:top w:w="70" w:type="dxa"/>
              <w:start w:w="95" w:type="dxa"/>
              <w:bottom w:w="70" w:type="dxa"/>
              <w:end w:w="95" w:type="dxa"/>
            </w:tcMar>
            <w:vAlign w:val="top"/>
            <w:shd w:fill="FAFBFC"/>
          </w:tcPr>
          <w:p>
            <w:r>
              <w:rPr>
                <w:rFonts w:ascii="Arial" w:hAnsi="Arial"/>
                <w:b w:val="0"/>
                <w:i w:val="0"/>
                <w:color w:val="1D2939"/>
                <w:sz w:val="16"/>
              </w:rPr>
              <w:t>Heritage: Xenial and SICOM POS hardware, portable tablets and rugged terminals. Configuration and naming may vary by Genius edition and geography.</w:t>
            </w:r>
          </w:p>
        </w:tc>
      </w:tr>
      <w:tr>
        <w:tc>
          <w:tcPr>
            <w:tcW w:type="dxa" w:w="1843"/>
            <w:tcMar>
              <w:top w:w="70" w:type="dxa"/>
              <w:start w:w="95" w:type="dxa"/>
              <w:bottom w:w="70" w:type="dxa"/>
              <w:end w:w="95" w:type="dxa"/>
            </w:tcMar>
            <w:vAlign w:val="top"/>
            <w:shd w:fill="F4F6F8"/>
          </w:tcPr>
          <w:p>
            <w:r>
              <w:rPr>
                <w:rFonts w:ascii="Arial" w:hAnsi="Arial"/>
                <w:b/>
                <w:i w:val="0"/>
                <w:color w:val="14233B"/>
                <w:sz w:val="16"/>
              </w:rPr>
              <w:t>What is supported</w:t>
            </w:r>
          </w:p>
        </w:tc>
        <w:tc>
          <w:tcPr>
            <w:tcW w:type="dxa" w:w="7517"/>
            <w:tcMar>
              <w:top w:w="70" w:type="dxa"/>
              <w:start w:w="95" w:type="dxa"/>
              <w:bottom w:w="70" w:type="dxa"/>
              <w:end w:w="95" w:type="dxa"/>
            </w:tcMar>
            <w:vAlign w:val="top"/>
            <w:shd w:fill="FFFFFF"/>
          </w:tcPr>
          <w:p>
            <w:r>
              <w:rPr>
                <w:rFonts w:ascii="Arial" w:hAnsi="Arial"/>
                <w:b w:val="0"/>
                <w:i w:val="0"/>
                <w:color w:val="1D2939"/>
                <w:sz w:val="16"/>
              </w:rPr>
              <w:t>Global Payments designs and owns the core Genius hardware specification, with Flytech as manufacturing partner. The portfolio supports modular countertop, handheld, kiosk and tethered configurations. Payment terminals and the iMin-based Genius All In One are separate device families.</w:t>
            </w:r>
          </w:p>
        </w:tc>
      </w:tr>
      <w:tr>
        <w:tc>
          <w:tcPr>
            <w:tcW w:type="dxa" w:w="1843"/>
            <w:tcMar>
              <w:top w:w="70" w:type="dxa"/>
              <w:start w:w="95" w:type="dxa"/>
              <w:bottom w:w="70" w:type="dxa"/>
              <w:end w:w="95" w:type="dxa"/>
            </w:tcMar>
            <w:vAlign w:val="top"/>
            <w:shd w:fill="E9EDF2"/>
          </w:tcPr>
          <w:p>
            <w:r>
              <w:rPr>
                <w:rFonts w:ascii="Arial" w:hAnsi="Arial"/>
                <w:b/>
                <w:i w:val="0"/>
                <w:color w:val="14233B"/>
                <w:sz w:val="16"/>
              </w:rPr>
              <w:t>McDonald’s relevance</w:t>
            </w:r>
          </w:p>
        </w:tc>
        <w:tc>
          <w:tcPr>
            <w:tcW w:type="dxa" w:w="7517"/>
            <w:tcMar>
              <w:top w:w="70" w:type="dxa"/>
              <w:start w:w="95" w:type="dxa"/>
              <w:bottom w:w="70" w:type="dxa"/>
              <w:end w:w="95" w:type="dxa"/>
            </w:tcMar>
            <w:vAlign w:val="top"/>
            <w:shd w:fill="FAFBFC"/>
          </w:tcPr>
          <w:p>
            <w:r>
              <w:rPr>
                <w:rFonts w:ascii="Arial" w:hAnsi="Arial"/>
                <w:b w:val="0"/>
                <w:i w:val="0"/>
                <w:color w:val="1D2939"/>
                <w:sz w:val="16"/>
              </w:rPr>
              <w:t>Provides a consistent Genius device experience across counter, line-busting and self-service workflows, subject to McDonald’s hardware standards, certifications and support requirements.</w:t>
            </w:r>
          </w:p>
        </w:tc>
      </w:tr>
      <w:tr>
        <w:tc>
          <w:tcPr>
            <w:tcW w:type="dxa" w:w="1843"/>
            <w:tcMar>
              <w:top w:w="70" w:type="dxa"/>
              <w:start w:w="95" w:type="dxa"/>
              <w:bottom w:w="70" w:type="dxa"/>
              <w:end w:w="95" w:type="dxa"/>
            </w:tcMar>
            <w:vAlign w:val="top"/>
            <w:shd w:fill="F4F6F8"/>
          </w:tcPr>
          <w:p>
            <w:r>
              <w:rPr>
                <w:rFonts w:ascii="Arial" w:hAnsi="Arial"/>
                <w:b/>
                <w:i w:val="0"/>
                <w:color w:val="14233B"/>
                <w:sz w:val="16"/>
              </w:rPr>
              <w:t>Proof point</w:t>
            </w:r>
          </w:p>
        </w:tc>
        <w:tc>
          <w:tcPr>
            <w:tcW w:type="dxa" w:w="7517"/>
            <w:tcMar>
              <w:top w:w="70" w:type="dxa"/>
              <w:start w:w="95" w:type="dxa"/>
              <w:bottom w:w="70" w:type="dxa"/>
              <w:end w:w="95" w:type="dxa"/>
            </w:tcMar>
            <w:vAlign w:val="top"/>
            <w:shd w:fill="FFFFFF"/>
          </w:tcPr>
          <w:p>
            <w:r>
              <w:rPr>
                <w:rFonts w:ascii="Arial" w:hAnsi="Arial"/>
                <w:b w:val="0"/>
                <w:i w:val="0"/>
                <w:color w:val="1D2939"/>
                <w:sz w:val="16"/>
              </w:rPr>
              <w:t>The current Genius pitch deck presents one hardware identity across customer segments and restaurant workflows.</w:t>
            </w:r>
          </w:p>
        </w:tc>
      </w:tr>
      <w:tr>
        <w:tc>
          <w:tcPr>
            <w:tcW w:type="dxa" w:w="1843"/>
            <w:tcMar>
              <w:top w:w="70" w:type="dxa"/>
              <w:start w:w="95" w:type="dxa"/>
              <w:bottom w:w="70" w:type="dxa"/>
              <w:end w:w="95" w:type="dxa"/>
            </w:tcMar>
            <w:vAlign w:val="top"/>
            <w:shd w:fill="E9EDF2"/>
          </w:tcPr>
          <w:p>
            <w:r>
              <w:rPr>
                <w:rFonts w:ascii="Arial" w:hAnsi="Arial"/>
                <w:b/>
                <w:i w:val="0"/>
                <w:color w:val="14233B"/>
                <w:sz w:val="16"/>
              </w:rPr>
              <w:t>Confirm before sharing</w:t>
            </w:r>
          </w:p>
        </w:tc>
        <w:tc>
          <w:tcPr>
            <w:tcW w:type="dxa" w:w="7517"/>
            <w:tcMar>
              <w:top w:w="70" w:type="dxa"/>
              <w:start w:w="95" w:type="dxa"/>
              <w:bottom w:w="70" w:type="dxa"/>
              <w:end w:w="95" w:type="dxa"/>
            </w:tcMar>
            <w:vAlign w:val="top"/>
            <w:shd w:fill="FAFBFC"/>
          </w:tcPr>
          <w:p>
            <w:r>
              <w:rPr>
                <w:rFonts w:ascii="Arial" w:hAnsi="Arial"/>
                <w:b w:val="0"/>
                <w:i w:val="0"/>
                <w:color w:val="1D2939"/>
                <w:sz w:val="16"/>
              </w:rPr>
              <w:t>Ryan or Michael: current model names/SKUs; which devices are Flytech-, Verifone- or iMin-based; OS/payment certifications; availability by market; lifecycle/service model; CosMc’s configuration; and permission to share images and manufacturer names.</w:t>
            </w:r>
          </w:p>
        </w:tc>
      </w:tr>
    </w:tbl>
    <w:tbl>
      <w:tblPr>
        <w:tblW w:type="auto" w:w="0"/>
        <w:jc w:val="center"/>
        <w:tblLayout w:type="fixed"/>
        <w:tblLook w:firstColumn="1" w:firstRow="1" w:lastColumn="0" w:lastRow="0" w:noHBand="0" w:noVBand="1" w:val="04A0"/>
      </w:tblPr>
      <w:tblGrid>
        <w:gridCol w:w="3389"/>
        <w:gridCol w:w="3389"/>
        <w:gridCol w:w="3389"/>
      </w:tblGrid>
      <w:tr>
        <w:tc>
          <w:tcPr>
            <w:tcW w:type="dxa" w:w="3389"/>
            <w:tcMar>
              <w:top w:w="120" w:type="dxa"/>
              <w:start w:w="105" w:type="dxa"/>
              <w:bottom w:w="120" w:type="dxa"/>
              <w:end w:w="105" w:type="dxa"/>
            </w:tcMar>
            <w:shd w:fill="FFFFFF"/>
          </w:tcPr>
          <w:p>
            <w:pPr>
              <w:jc w:val="center"/>
            </w:pPr>
            <w:r>
              <w:rPr>
                <w:rFonts w:ascii="Arial" w:hAnsi="Arial"/>
                <w:b/>
                <w:i w:val="0"/>
                <w:color w:val="14233B"/>
                <w:sz w:val="21"/>
              </w:rPr>
              <w:t>Modular countertop</w:t>
            </w:r>
          </w:p>
          <w:p>
            <w:pPr>
              <w:jc w:val="center"/>
            </w:pPr>
            <w:r>
              <w:drawing>
                <wp:inline xmlns:a="http://schemas.openxmlformats.org/drawingml/2006/main" xmlns:pic="http://schemas.openxmlformats.org/drawingml/2006/picture">
                  <wp:extent cx="1572768" cy="884682"/>
                  <wp:docPr id="1" name="Picture 1"/>
                  <wp:cNvGraphicFramePr>
                    <a:graphicFrameLocks noChangeAspect="1"/>
                  </wp:cNvGraphicFramePr>
                  <a:graphic>
                    <a:graphicData uri="http://schemas.openxmlformats.org/drawingml/2006/picture">
                      <pic:pic>
                        <pic:nvPicPr>
                          <pic:cNvPr id="0" name="s14_shape1_Google Shape;2008;p267.png"/>
                          <pic:cNvPicPr/>
                        </pic:nvPicPr>
                        <pic:blipFill>
                          <a:blip r:embed="rId11"/>
                          <a:stretch>
                            <a:fillRect/>
                          </a:stretch>
                        </pic:blipFill>
                        <pic:spPr>
                          <a:xfrm>
                            <a:off x="0" y="0"/>
                            <a:ext cx="1572768" cy="884682"/>
                          </a:xfrm>
                          <a:prstGeom prst="rect"/>
                        </pic:spPr>
                      </pic:pic>
                    </a:graphicData>
                  </a:graphic>
                </wp:inline>
              </w:drawing>
            </w:r>
          </w:p>
          <w:p>
            <w:r>
              <w:rPr>
                <w:rFonts w:ascii="Arial" w:hAnsi="Arial"/>
                <w:b w:val="0"/>
                <w:i w:val="0"/>
                <w:color w:val="1D2939"/>
                <w:sz w:val="16"/>
              </w:rPr>
              <w:t>Modular merchant and customer-facing displays with countertop, low-profile, wall and self-service configurations.</w:t>
            </w:r>
          </w:p>
        </w:tc>
        <w:tc>
          <w:tcPr>
            <w:tcW w:type="dxa" w:w="3389"/>
            <w:tcMar>
              <w:top w:w="120" w:type="dxa"/>
              <w:start w:w="105" w:type="dxa"/>
              <w:bottom w:w="120" w:type="dxa"/>
              <w:end w:w="105" w:type="dxa"/>
            </w:tcMar>
            <w:shd w:fill="FFFFFF"/>
          </w:tcPr>
          <w:p>
            <w:pPr>
              <w:jc w:val="center"/>
            </w:pPr>
            <w:r>
              <w:rPr>
                <w:rFonts w:ascii="Arial" w:hAnsi="Arial"/>
                <w:b/>
                <w:i w:val="0"/>
                <w:color w:val="14233B"/>
                <w:sz w:val="21"/>
              </w:rPr>
              <w:t>Enterprise handheld</w:t>
            </w:r>
          </w:p>
          <w:p>
            <w:pPr>
              <w:jc w:val="center"/>
            </w:pPr>
            <w:r>
              <w:drawing>
                <wp:inline xmlns:a="http://schemas.openxmlformats.org/drawingml/2006/main" xmlns:pic="http://schemas.openxmlformats.org/drawingml/2006/picture">
                  <wp:extent cx="1572768" cy="884682"/>
                  <wp:docPr id="2" name="Picture 2"/>
                  <wp:cNvGraphicFramePr>
                    <a:graphicFrameLocks noChangeAspect="1"/>
                  </wp:cNvGraphicFramePr>
                  <a:graphic>
                    <a:graphicData uri="http://schemas.openxmlformats.org/drawingml/2006/picture">
                      <pic:pic>
                        <pic:nvPicPr>
                          <pic:cNvPr id="0" name="s17_shape3_Google Shape;2049;p270.png"/>
                          <pic:cNvPicPr/>
                        </pic:nvPicPr>
                        <pic:blipFill>
                          <a:blip r:embed="rId12"/>
                          <a:stretch>
                            <a:fillRect/>
                          </a:stretch>
                        </pic:blipFill>
                        <pic:spPr>
                          <a:xfrm>
                            <a:off x="0" y="0"/>
                            <a:ext cx="1572768" cy="884682"/>
                          </a:xfrm>
                          <a:prstGeom prst="rect"/>
                        </pic:spPr>
                      </pic:pic>
                    </a:graphicData>
                  </a:graphic>
                </wp:inline>
              </w:drawing>
            </w:r>
          </w:p>
          <w:p>
            <w:r>
              <w:rPr>
                <w:rFonts w:ascii="Arial" w:hAnsi="Arial"/>
                <w:b w:val="0"/>
                <w:i w:val="0"/>
                <w:color w:val="1D2939"/>
                <w:sz w:val="16"/>
              </w:rPr>
              <w:t>Portable enterprise POS for line-busting and mobile service, shown with integrated payment.</w:t>
            </w:r>
          </w:p>
        </w:tc>
        <w:tc>
          <w:tcPr>
            <w:tcW w:type="dxa" w:w="3389"/>
            <w:tcMar>
              <w:top w:w="120" w:type="dxa"/>
              <w:start w:w="105" w:type="dxa"/>
              <w:bottom w:w="120" w:type="dxa"/>
              <w:end w:w="105" w:type="dxa"/>
            </w:tcMar>
            <w:shd w:fill="FFFFFF"/>
          </w:tcPr>
          <w:p>
            <w:pPr>
              <w:jc w:val="center"/>
            </w:pPr>
            <w:r>
              <w:rPr>
                <w:rFonts w:ascii="Arial" w:hAnsi="Arial"/>
                <w:b/>
                <w:i w:val="0"/>
                <w:color w:val="14233B"/>
                <w:sz w:val="21"/>
              </w:rPr>
              <w:t>Self-service portfolio</w:t>
            </w:r>
          </w:p>
          <w:p>
            <w:pPr>
              <w:jc w:val="center"/>
            </w:pPr>
            <w:r>
              <w:drawing>
                <wp:inline xmlns:a="http://schemas.openxmlformats.org/drawingml/2006/main" xmlns:pic="http://schemas.openxmlformats.org/drawingml/2006/picture">
                  <wp:extent cx="1572768" cy="881610"/>
                  <wp:docPr id="3" name="Picture 3"/>
                  <wp:cNvGraphicFramePr>
                    <a:graphicFrameLocks noChangeAspect="1"/>
                  </wp:cNvGraphicFramePr>
                  <a:graphic>
                    <a:graphicData uri="http://schemas.openxmlformats.org/drawingml/2006/picture">
                      <pic:pic>
                        <pic:nvPicPr>
                          <pic:cNvPr id="0" name="s18_shape17_Google Shape;2091;p271.png"/>
                          <pic:cNvPicPr/>
                        </pic:nvPicPr>
                        <pic:blipFill>
                          <a:blip r:embed="rId13"/>
                          <a:stretch>
                            <a:fillRect/>
                          </a:stretch>
                        </pic:blipFill>
                        <pic:spPr>
                          <a:xfrm>
                            <a:off x="0" y="0"/>
                            <a:ext cx="1572768" cy="881610"/>
                          </a:xfrm>
                          <a:prstGeom prst="rect"/>
                        </pic:spPr>
                      </pic:pic>
                    </a:graphicData>
                  </a:graphic>
                </wp:inline>
              </w:drawing>
            </w:r>
          </w:p>
          <w:p>
            <w:r>
              <w:rPr>
                <w:rFonts w:ascii="Arial" w:hAnsi="Arial"/>
                <w:b w:val="0"/>
                <w:i w:val="0"/>
                <w:color w:val="1D2939"/>
                <w:sz w:val="16"/>
              </w:rPr>
              <w:t>Countertop, portrait self-service and tethered configurations within one Genius visual identity.</w:t>
            </w:r>
          </w:p>
        </w:tc>
      </w:tr>
    </w:tbl>
    <w:tbl>
      <w:tblPr>
        <w:tblW w:type="auto" w:w="0"/>
        <w:jc w:val="center"/>
        <w:tblLayout w:type="fixed"/>
        <w:tblLook w:firstColumn="1" w:firstRow="1" w:lastColumn="0" w:lastRow="0" w:noHBand="0" w:noVBand="1" w:val="04A0"/>
      </w:tblPr>
      <w:tblGrid>
        <w:gridCol w:w="144"/>
        <w:gridCol w:w="9216"/>
      </w:tblGrid>
      <w:tr>
        <w:tc>
          <w:tcPr>
            <w:tcW w:type="dxa" w:w="5083"/>
            <w:shd w:fill="F2B705"/>
            <w:tcMar>
              <w:top w:w="0" w:type="dxa"/>
              <w:start w:w="0" w:type="dxa"/>
              <w:bottom w:w="0" w:type="dxa"/>
              <w:end w:w="0" w:type="dxa"/>
            </w:tcMar>
          </w:tcPr>
          <w:p/>
        </w:tc>
        <w:tc>
          <w:tcPr>
            <w:tcW w:type="dxa" w:w="5083"/>
            <w:shd w:fill="FFF5D6"/>
            <w:tcMar>
              <w:top w:w="120" w:type="dxa"/>
              <w:start w:w="150" w:type="dxa"/>
              <w:bottom w:w="120" w:type="dxa"/>
              <w:end w:w="150" w:type="dxa"/>
            </w:tcMar>
          </w:tcPr>
          <w:p>
            <w:r>
              <w:rPr>
                <w:rFonts w:ascii="Arial" w:hAnsi="Arial"/>
                <w:b/>
                <w:i w:val="0"/>
                <w:color w:val="14233B"/>
                <w:sz w:val="18"/>
              </w:rPr>
              <w:t>Reviewer sign-off</w:t>
              <w:br/>
            </w:r>
            <w:r>
              <w:rPr>
                <w:rFonts w:ascii="Arial" w:hAnsi="Arial"/>
                <w:b w:val="0"/>
                <w:i w:val="0"/>
                <w:color w:val="1D2939"/>
                <w:sz w:val="18"/>
              </w:rPr>
              <w:t>Ryan Hildebrand or Michael Schwartz should confirm the hardware naming, manufacturers, specifications, certifications, availability and image-sharing rights before this page is provided to Jeff.</w:t>
            </w:r>
          </w:p>
        </w:tc>
      </w:tr>
    </w:tbl>
    <w:p>
      <w:pPr>
        <w:spacing w:after="0"/>
      </w:pPr>
    </w:p>
    <w:sectPr w:rsidR="00FC693F" w:rsidRPr="0006063C" w:rsidSect="00034616">
      <w:headerReference w:type="default" r:id="rId9"/>
      <w:footerReference w:type="default" r:id="rId10"/>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6"/>
      </w:rPr>
      <w:t xml:space="preserve">INTERNAL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i w:val="0"/>
        <w:color w:val="14233B"/>
        <w:sz w:val="26"/>
      </w:rPr>
      <w:t>globalpayments</w:t>
    </w:r>
    <w:r>
      <w:rPr>
        <w:rFonts w:ascii="Arial" w:hAnsi="Arial"/>
        <w:b/>
        <w:i w:val="0"/>
        <w:color w:val="2764FF"/>
        <w:sz w:val="18"/>
      </w:rPr>
      <w:t xml:space="preserve">  /  GENIUS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1D293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Arial" w:hAnsi="Arial"/>
      <w:b/>
      <w:bCs/>
      <w:color w:val="14233B"/>
      <w:sz w:val="4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14233B"/>
      <w:sz w:val="30"/>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rial" w:hAnsi="Arial"/>
      <w:b/>
      <w:bCs/>
      <w:color w:val="2764F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Genius Restaurant Technology Product Map — Validation Copy</dc:title>
  <dc:subject>McDonald’s routing reference for Jeff Coffland</dc:subject>
  <dc:creator>Todd Vahlsing</dc:creator>
  <cp:keywords>Genius, Global Payments, Worldpay, Xenial, RTI, McDonald's, CosMc's</cp:keywords>
  <dc:description>generated by python-docx</dc:description>
  <cp:lastModifiedBy/>
  <cp:revision>1</cp:revision>
  <dcterms:created xsi:type="dcterms:W3CDTF">2013-12-23T23:15:00Z</dcterms:created>
  <dcterms:modified xsi:type="dcterms:W3CDTF">2013-12-23T23:15:00Z</dcterms:modified>
  <cp:category/>
</cp:coreProperties>
</file>