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5F60EC" w14:textId="77777777" w:rsidR="00D06BDC" w:rsidRDefault="00000000">
      <w:pPr>
        <w:keepNext/>
        <w:spacing w:after="40"/>
      </w:pPr>
      <w:r>
        <w:rPr>
          <w:b/>
          <w:color w:val="00A6D6"/>
          <w:sz w:val="16"/>
        </w:rPr>
        <w:t>PRODUCT MAP 1 OF 4</w:t>
      </w:r>
    </w:p>
    <w:p w14:paraId="3415FAA7" w14:textId="77777777" w:rsidR="00D06BDC" w:rsidRDefault="00000000">
      <w:pPr>
        <w:pStyle w:val="Heading1"/>
      </w:pPr>
      <w:r>
        <w:t>Commerce and kitchen operations</w:t>
      </w:r>
    </w:p>
    <w:p w14:paraId="4A3DA5FE" w14:textId="77777777" w:rsidR="00D06BDC" w:rsidRDefault="00000000">
      <w:pPr>
        <w:keepNext/>
        <w:spacing w:before="140" w:after="60"/>
      </w:pPr>
      <w:r>
        <w:rPr>
          <w:b/>
          <w:color w:val="14233B"/>
          <w:sz w:val="26"/>
        </w:rPr>
        <w:t>Genius POS</w:t>
      </w:r>
    </w:p>
    <w:tbl>
      <w:tblPr>
        <w:tblW w:w="0" w:type="auto"/>
        <w:jc w:val="center"/>
        <w:tblLayout w:type="fixed"/>
        <w:tblLook w:val="04A0" w:firstRow="1" w:lastRow="0" w:firstColumn="1" w:lastColumn="0" w:noHBand="0" w:noVBand="1"/>
      </w:tblPr>
      <w:tblGrid>
        <w:gridCol w:w="1843"/>
        <w:gridCol w:w="7517"/>
      </w:tblGrid>
      <w:tr w:rsidR="00D06BDC" w14:paraId="0F34F648" w14:textId="77777777">
        <w:trPr>
          <w:jc w:val="center"/>
        </w:trPr>
        <w:tc>
          <w:tcPr>
            <w:tcW w:w="1843" w:type="dxa"/>
            <w:shd w:val="clear" w:color="auto" w:fill="F4F6F8"/>
            <w:tcMar>
              <w:top w:w="50" w:type="dxa"/>
              <w:left w:w="95" w:type="dxa"/>
              <w:bottom w:w="50" w:type="dxa"/>
              <w:right w:w="95" w:type="dxa"/>
            </w:tcMar>
          </w:tcPr>
          <w:p w14:paraId="3A15EC7F"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761E9B33" w14:textId="77777777" w:rsidR="00D06BDC" w:rsidRDefault="00000000">
            <w:r>
              <w:rPr>
                <w:sz w:val="16"/>
              </w:rPr>
              <w:t>Xenial enterprise POS and Xenial Ordering, now part of the Genius Cloud portfolio.</w:t>
            </w:r>
          </w:p>
        </w:tc>
      </w:tr>
      <w:tr w:rsidR="00D06BDC" w14:paraId="062A270B" w14:textId="77777777">
        <w:trPr>
          <w:jc w:val="center"/>
        </w:trPr>
        <w:tc>
          <w:tcPr>
            <w:tcW w:w="1843" w:type="dxa"/>
            <w:shd w:val="clear" w:color="auto" w:fill="E9EDF2"/>
            <w:tcMar>
              <w:top w:w="50" w:type="dxa"/>
              <w:left w:w="95" w:type="dxa"/>
              <w:bottom w:w="50" w:type="dxa"/>
              <w:right w:w="95" w:type="dxa"/>
            </w:tcMar>
          </w:tcPr>
          <w:p w14:paraId="7DD8DA48"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033AE9DB" w14:textId="70814B9C" w:rsidR="00D06BDC" w:rsidRDefault="007865D9">
            <w:r>
              <w:rPr>
                <w:sz w:val="16"/>
              </w:rPr>
              <w:t>API first, Cloud enterprise POS with centralized management, real-time synchronization, device and operating-system flexibility, rapid terminal failover and offline operation for up to 30 days. Works with existing hardware or Genius Hardware solutions. Supports Windows, Android, IOS and Unix operating systems. Supports multi-lingual and international locations.</w:t>
            </w:r>
          </w:p>
        </w:tc>
      </w:tr>
      <w:tr w:rsidR="00D06BDC" w14:paraId="76C7D7F9" w14:textId="77777777">
        <w:trPr>
          <w:jc w:val="center"/>
        </w:trPr>
        <w:tc>
          <w:tcPr>
            <w:tcW w:w="1843" w:type="dxa"/>
            <w:shd w:val="clear" w:color="auto" w:fill="F4F6F8"/>
            <w:tcMar>
              <w:top w:w="50" w:type="dxa"/>
              <w:left w:w="95" w:type="dxa"/>
              <w:bottom w:w="50" w:type="dxa"/>
              <w:right w:w="95" w:type="dxa"/>
            </w:tcMar>
          </w:tcPr>
          <w:p w14:paraId="1A28721F"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1CAEBE51" w14:textId="77777777" w:rsidR="00D06BDC" w:rsidRDefault="00000000">
            <w:r>
              <w:rPr>
                <w:sz w:val="16"/>
              </w:rPr>
              <w:t>A flexible restaurant-commerce and integration platform that can connect front-of-house channels with enterprise services.</w:t>
            </w:r>
          </w:p>
        </w:tc>
      </w:tr>
      <w:tr w:rsidR="00D06BDC" w14:paraId="15C77544" w14:textId="77777777">
        <w:trPr>
          <w:jc w:val="center"/>
        </w:trPr>
        <w:tc>
          <w:tcPr>
            <w:tcW w:w="1843" w:type="dxa"/>
            <w:shd w:val="clear" w:color="auto" w:fill="E9EDF2"/>
            <w:tcMar>
              <w:top w:w="50" w:type="dxa"/>
              <w:left w:w="95" w:type="dxa"/>
              <w:bottom w:w="50" w:type="dxa"/>
              <w:right w:w="95" w:type="dxa"/>
            </w:tcMar>
          </w:tcPr>
          <w:p w14:paraId="6BB55C1C"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279B8EF1" w14:textId="77777777" w:rsidR="00D06BDC" w:rsidRDefault="00000000">
            <w:r>
              <w:rPr>
                <w:sz w:val="16"/>
              </w:rPr>
              <w:t>CosMc’s selected Genius Cloud POS as part of its integrated restaurant technology platform. Additional enterprise experience includes A&amp;W Canada across 1,032 restaurants and 7 Brew across more than 530 locations.</w:t>
            </w:r>
          </w:p>
        </w:tc>
      </w:tr>
    </w:tbl>
    <w:p w14:paraId="1FEA70A5" w14:textId="77777777" w:rsidR="00D06BDC" w:rsidRDefault="00000000">
      <w:pPr>
        <w:keepNext/>
        <w:spacing w:before="140" w:after="60"/>
      </w:pPr>
      <w:r>
        <w:rPr>
          <w:b/>
          <w:color w:val="14233B"/>
          <w:sz w:val="26"/>
        </w:rPr>
        <w:t>Genius Kitchen</w:t>
      </w:r>
    </w:p>
    <w:tbl>
      <w:tblPr>
        <w:tblW w:w="0" w:type="auto"/>
        <w:jc w:val="center"/>
        <w:tblLayout w:type="fixed"/>
        <w:tblLook w:val="04A0" w:firstRow="1" w:lastRow="0" w:firstColumn="1" w:lastColumn="0" w:noHBand="0" w:noVBand="1"/>
      </w:tblPr>
      <w:tblGrid>
        <w:gridCol w:w="1843"/>
        <w:gridCol w:w="7517"/>
      </w:tblGrid>
      <w:tr w:rsidR="00D06BDC" w14:paraId="1A531486" w14:textId="77777777">
        <w:trPr>
          <w:jc w:val="center"/>
        </w:trPr>
        <w:tc>
          <w:tcPr>
            <w:tcW w:w="1843" w:type="dxa"/>
            <w:shd w:val="clear" w:color="auto" w:fill="F4F6F8"/>
            <w:tcMar>
              <w:top w:w="50" w:type="dxa"/>
              <w:left w:w="95" w:type="dxa"/>
              <w:bottom w:w="50" w:type="dxa"/>
              <w:right w:w="95" w:type="dxa"/>
            </w:tcMar>
          </w:tcPr>
          <w:p w14:paraId="7FF03398"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3CF83D43" w14:textId="77777777" w:rsidR="00D06BDC" w:rsidRDefault="00000000">
            <w:r>
              <w:rPr>
                <w:sz w:val="16"/>
              </w:rPr>
              <w:t>Xenial Kitchen Management (XKM), Kitchen Management and Order Management System (OMS), now within the Genius portfolio.</w:t>
            </w:r>
          </w:p>
        </w:tc>
      </w:tr>
      <w:tr w:rsidR="00D06BDC" w14:paraId="04392160" w14:textId="77777777">
        <w:trPr>
          <w:jc w:val="center"/>
        </w:trPr>
        <w:tc>
          <w:tcPr>
            <w:tcW w:w="1843" w:type="dxa"/>
            <w:shd w:val="clear" w:color="auto" w:fill="E9EDF2"/>
            <w:tcMar>
              <w:top w:w="50" w:type="dxa"/>
              <w:left w:w="95" w:type="dxa"/>
              <w:bottom w:w="50" w:type="dxa"/>
              <w:right w:w="95" w:type="dxa"/>
            </w:tcMar>
          </w:tcPr>
          <w:p w14:paraId="004722B7"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440B6547" w14:textId="77777777" w:rsidR="00D06BDC" w:rsidRDefault="00000000">
            <w:r>
              <w:rPr>
                <w:sz w:val="16"/>
              </w:rPr>
              <w:t>Kitchen displays route items to configured production stations, support drive-thru and other destination-specific views, provide order-ready status and support configurable touchscreen or bump-bar workflows.</w:t>
            </w:r>
          </w:p>
        </w:tc>
      </w:tr>
      <w:tr w:rsidR="00D06BDC" w14:paraId="0C4BABE3" w14:textId="77777777">
        <w:trPr>
          <w:jc w:val="center"/>
        </w:trPr>
        <w:tc>
          <w:tcPr>
            <w:tcW w:w="1843" w:type="dxa"/>
            <w:shd w:val="clear" w:color="auto" w:fill="F4F6F8"/>
            <w:tcMar>
              <w:top w:w="50" w:type="dxa"/>
              <w:left w:w="95" w:type="dxa"/>
              <w:bottom w:w="50" w:type="dxa"/>
              <w:right w:w="95" w:type="dxa"/>
            </w:tcMar>
          </w:tcPr>
          <w:p w14:paraId="1EC213CD"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167E7498" w14:textId="77777777" w:rsidR="00D06BDC" w:rsidRDefault="00000000">
            <w:r>
              <w:rPr>
                <w:sz w:val="16"/>
              </w:rPr>
              <w:t>Connects order channels with production workflows to support throughput, order accuracy and operational visibility.</w:t>
            </w:r>
          </w:p>
        </w:tc>
      </w:tr>
      <w:tr w:rsidR="00D06BDC" w14:paraId="10CF88C4" w14:textId="77777777">
        <w:trPr>
          <w:jc w:val="center"/>
        </w:trPr>
        <w:tc>
          <w:tcPr>
            <w:tcW w:w="1843" w:type="dxa"/>
            <w:shd w:val="clear" w:color="auto" w:fill="E9EDF2"/>
            <w:tcMar>
              <w:top w:w="50" w:type="dxa"/>
              <w:left w:w="95" w:type="dxa"/>
              <w:bottom w:w="50" w:type="dxa"/>
              <w:right w:w="95" w:type="dxa"/>
            </w:tcMar>
          </w:tcPr>
          <w:p w14:paraId="4E0DCD93"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02945D64" w14:textId="3C6A9386" w:rsidR="00D06BDC" w:rsidRDefault="00D06BDC"/>
        </w:tc>
      </w:tr>
    </w:tbl>
    <w:p w14:paraId="04BE8CF8" w14:textId="77777777" w:rsidR="00D06BDC" w:rsidRDefault="00000000">
      <w:r>
        <w:br w:type="page"/>
      </w:r>
    </w:p>
    <w:p w14:paraId="1D32AE55" w14:textId="77777777" w:rsidR="00D06BDC" w:rsidRDefault="00000000">
      <w:pPr>
        <w:keepNext/>
        <w:spacing w:after="40"/>
      </w:pPr>
      <w:r>
        <w:rPr>
          <w:b/>
          <w:color w:val="00A6D6"/>
          <w:sz w:val="16"/>
        </w:rPr>
        <w:t>PRODUCT MAP 2 OF 4</w:t>
      </w:r>
    </w:p>
    <w:p w14:paraId="3C56BB1C" w14:textId="77777777" w:rsidR="00D06BDC" w:rsidRDefault="00000000">
      <w:pPr>
        <w:pStyle w:val="Heading1"/>
      </w:pPr>
      <w:r>
        <w:t>Drive-thru and digital menu boards</w:t>
      </w:r>
    </w:p>
    <w:p w14:paraId="0209B20A" w14:textId="157815AA" w:rsidR="00D06BDC" w:rsidRDefault="00000000">
      <w:pPr>
        <w:keepNext/>
        <w:spacing w:before="140" w:after="60"/>
      </w:pPr>
      <w:r>
        <w:rPr>
          <w:b/>
          <w:color w:val="14233B"/>
          <w:sz w:val="26"/>
        </w:rPr>
        <w:t>Genius Drive Thru</w:t>
      </w:r>
      <w:r w:rsidR="007865D9">
        <w:rPr>
          <w:b/>
          <w:color w:val="14233B"/>
          <w:sz w:val="26"/>
        </w:rPr>
        <w:t xml:space="preserve"> Timer</w:t>
      </w:r>
    </w:p>
    <w:tbl>
      <w:tblPr>
        <w:tblW w:w="0" w:type="auto"/>
        <w:jc w:val="center"/>
        <w:tblLayout w:type="fixed"/>
        <w:tblLook w:val="04A0" w:firstRow="1" w:lastRow="0" w:firstColumn="1" w:lastColumn="0" w:noHBand="0" w:noVBand="1"/>
      </w:tblPr>
      <w:tblGrid>
        <w:gridCol w:w="1843"/>
        <w:gridCol w:w="7517"/>
      </w:tblGrid>
      <w:tr w:rsidR="00D06BDC" w14:paraId="1EE5D5F4" w14:textId="77777777">
        <w:trPr>
          <w:jc w:val="center"/>
        </w:trPr>
        <w:tc>
          <w:tcPr>
            <w:tcW w:w="1843" w:type="dxa"/>
            <w:shd w:val="clear" w:color="auto" w:fill="F4F6F8"/>
            <w:tcMar>
              <w:top w:w="50" w:type="dxa"/>
              <w:left w:w="95" w:type="dxa"/>
              <w:bottom w:w="50" w:type="dxa"/>
              <w:right w:w="95" w:type="dxa"/>
            </w:tcMar>
          </w:tcPr>
          <w:p w14:paraId="48FFD2C5"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19459EB2" w14:textId="28CFF1CA" w:rsidR="00D06BDC" w:rsidRDefault="007865D9">
            <w:r>
              <w:rPr>
                <w:sz w:val="16"/>
              </w:rPr>
              <w:t>SICOM Timer (1989) → rewrite (2001) → new monitor/UI solution (2014) → Drive-Thru Director with continued Genius enhancements. Vision, developed around 2022, is the 100% Genius next-generation timer.</w:t>
            </w:r>
          </w:p>
        </w:tc>
      </w:tr>
      <w:tr w:rsidR="00D06BDC" w14:paraId="2B085517" w14:textId="77777777">
        <w:trPr>
          <w:jc w:val="center"/>
        </w:trPr>
        <w:tc>
          <w:tcPr>
            <w:tcW w:w="1843" w:type="dxa"/>
            <w:shd w:val="clear" w:color="auto" w:fill="E9EDF2"/>
            <w:tcMar>
              <w:top w:w="50" w:type="dxa"/>
              <w:left w:w="95" w:type="dxa"/>
              <w:bottom w:w="50" w:type="dxa"/>
              <w:right w:w="95" w:type="dxa"/>
            </w:tcMar>
          </w:tcPr>
          <w:p w14:paraId="724DA976"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286AFA12" w14:textId="53FA8569" w:rsidR="00D06BDC" w:rsidRDefault="007865D9">
            <w:r>
              <w:rPr>
                <w:sz w:val="16"/>
              </w:rPr>
              <w:t>Lane events from detectors, cameras and intelligent order-confirmation units; real-time vehicle visualization; single/dual-lane workflows; gamification; reporting/API. Zone configuration for stack size, pickup parking and pull-forward tracking across the customer journey.</w:t>
            </w:r>
          </w:p>
        </w:tc>
      </w:tr>
      <w:tr w:rsidR="007865D9" w14:paraId="740F026C" w14:textId="77777777">
        <w:trPr>
          <w:jc w:val="center"/>
        </w:trPr>
        <w:tc>
          <w:tcPr>
            <w:tcW w:w="1843" w:type="dxa"/>
            <w:shd w:val="clear" w:color="auto" w:fill="F4F6F8"/>
            <w:tcMar>
              <w:top w:w="50" w:type="dxa"/>
              <w:left w:w="95" w:type="dxa"/>
              <w:bottom w:w="50" w:type="dxa"/>
              <w:right w:w="95" w:type="dxa"/>
            </w:tcMar>
          </w:tcPr>
          <w:p w14:paraId="79B510F1" w14:textId="77777777" w:rsidR="007865D9" w:rsidRDefault="007865D9" w:rsidP="007865D9">
            <w:r>
              <w:rPr>
                <w:b/>
                <w:color w:val="14233B"/>
                <w:sz w:val="16"/>
              </w:rPr>
              <w:t>McDonald’s relevance</w:t>
            </w:r>
          </w:p>
        </w:tc>
        <w:tc>
          <w:tcPr>
            <w:tcW w:w="7517" w:type="dxa"/>
            <w:shd w:val="clear" w:color="auto" w:fill="FFFFFF"/>
            <w:tcMar>
              <w:top w:w="50" w:type="dxa"/>
              <w:left w:w="95" w:type="dxa"/>
              <w:bottom w:w="50" w:type="dxa"/>
              <w:right w:w="95" w:type="dxa"/>
            </w:tcMar>
          </w:tcPr>
          <w:p w14:paraId="3257F998" w14:textId="4F9E474D" w:rsidR="007865D9" w:rsidRDefault="007865D9" w:rsidP="007865D9">
            <w:r>
              <w:rPr>
                <w:sz w:val="16"/>
              </w:rPr>
              <w:t>Supports speed-of-service visibility and a more complete view of the drive-thru journey, including queue, pull-forward and pickup activity.</w:t>
            </w:r>
          </w:p>
        </w:tc>
      </w:tr>
      <w:tr w:rsidR="00D06BDC" w14:paraId="65F74CD7" w14:textId="77777777">
        <w:trPr>
          <w:jc w:val="center"/>
        </w:trPr>
        <w:tc>
          <w:tcPr>
            <w:tcW w:w="1843" w:type="dxa"/>
            <w:shd w:val="clear" w:color="auto" w:fill="E9EDF2"/>
            <w:tcMar>
              <w:top w:w="50" w:type="dxa"/>
              <w:left w:w="95" w:type="dxa"/>
              <w:bottom w:w="50" w:type="dxa"/>
              <w:right w:w="95" w:type="dxa"/>
            </w:tcMar>
          </w:tcPr>
          <w:p w14:paraId="7EDCF100"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7D16924B" w14:textId="0622309D" w:rsidR="00D06BDC" w:rsidRDefault="00000000">
            <w:r>
              <w:rPr>
                <w:sz w:val="16"/>
              </w:rPr>
              <w:t xml:space="preserve">CosMc’s selected Genius drive-thru timer technology as part of its integrated platform. </w:t>
            </w:r>
          </w:p>
        </w:tc>
      </w:tr>
    </w:tbl>
    <w:p w14:paraId="6654FEE8" w14:textId="77777777" w:rsidR="00D06BDC" w:rsidRDefault="00000000">
      <w:pPr>
        <w:keepNext/>
        <w:spacing w:before="140" w:after="60"/>
      </w:pPr>
      <w:r>
        <w:rPr>
          <w:b/>
          <w:color w:val="14233B"/>
          <w:sz w:val="26"/>
        </w:rPr>
        <w:t>Genius Digital Menu Board</w:t>
      </w:r>
    </w:p>
    <w:tbl>
      <w:tblPr>
        <w:tblW w:w="0" w:type="auto"/>
        <w:jc w:val="center"/>
        <w:tblLayout w:type="fixed"/>
        <w:tblLook w:val="04A0" w:firstRow="1" w:lastRow="0" w:firstColumn="1" w:lastColumn="0" w:noHBand="0" w:noVBand="1"/>
      </w:tblPr>
      <w:tblGrid>
        <w:gridCol w:w="1843"/>
        <w:gridCol w:w="7517"/>
      </w:tblGrid>
      <w:tr w:rsidR="00D06BDC" w14:paraId="6CE9C533" w14:textId="77777777">
        <w:trPr>
          <w:jc w:val="center"/>
        </w:trPr>
        <w:tc>
          <w:tcPr>
            <w:tcW w:w="1843" w:type="dxa"/>
            <w:shd w:val="clear" w:color="auto" w:fill="F4F6F8"/>
            <w:tcMar>
              <w:top w:w="50" w:type="dxa"/>
              <w:left w:w="95" w:type="dxa"/>
              <w:bottom w:w="50" w:type="dxa"/>
              <w:right w:w="95" w:type="dxa"/>
            </w:tcMar>
          </w:tcPr>
          <w:p w14:paraId="65C3ED09"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28695B8C" w14:textId="77777777" w:rsidR="00D06BDC" w:rsidRDefault="00000000">
            <w:r>
              <w:rPr>
                <w:sz w:val="16"/>
              </w:rPr>
              <w:t>SICOM DMB, first developed in 2009, was replaced by the next-generation Genius digital menu platform following Global Payments’ acquisition of SICOM.</w:t>
            </w:r>
          </w:p>
        </w:tc>
      </w:tr>
      <w:tr w:rsidR="00D06BDC" w14:paraId="02DAE372" w14:textId="77777777">
        <w:trPr>
          <w:jc w:val="center"/>
        </w:trPr>
        <w:tc>
          <w:tcPr>
            <w:tcW w:w="1843" w:type="dxa"/>
            <w:shd w:val="clear" w:color="auto" w:fill="E9EDF2"/>
            <w:tcMar>
              <w:top w:w="50" w:type="dxa"/>
              <w:left w:w="95" w:type="dxa"/>
              <w:bottom w:w="50" w:type="dxa"/>
              <w:right w:w="95" w:type="dxa"/>
            </w:tcMar>
          </w:tcPr>
          <w:p w14:paraId="5F3F3055"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162E21FF" w14:textId="77777777" w:rsidR="00D06BDC" w:rsidRDefault="00000000">
            <w:r>
              <w:rPr>
                <w:sz w:val="16"/>
              </w:rPr>
              <w:t>Centralized content management, scheduled dayparts, local and corporate control, indoor/outdoor menus and order-confirmation boards. System-on-chip displays can retain scheduled content during an internet outage.</w:t>
            </w:r>
          </w:p>
        </w:tc>
      </w:tr>
      <w:tr w:rsidR="00D06BDC" w14:paraId="204E243C" w14:textId="77777777">
        <w:trPr>
          <w:jc w:val="center"/>
        </w:trPr>
        <w:tc>
          <w:tcPr>
            <w:tcW w:w="1843" w:type="dxa"/>
            <w:shd w:val="clear" w:color="auto" w:fill="F4F6F8"/>
            <w:tcMar>
              <w:top w:w="50" w:type="dxa"/>
              <w:left w:w="95" w:type="dxa"/>
              <w:bottom w:w="50" w:type="dxa"/>
              <w:right w:w="95" w:type="dxa"/>
            </w:tcMar>
          </w:tcPr>
          <w:p w14:paraId="22543B8C"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147D2702" w14:textId="77777777" w:rsidR="00D06BDC" w:rsidRDefault="00000000">
            <w:r>
              <w:rPr>
                <w:sz w:val="16"/>
              </w:rPr>
              <w:t>Offers a flexible digital-menu architecture for targeted indoor, drive-thru and order-confirmation requirements.</w:t>
            </w:r>
          </w:p>
        </w:tc>
      </w:tr>
      <w:tr w:rsidR="00D06BDC" w14:paraId="629790C2" w14:textId="77777777">
        <w:trPr>
          <w:jc w:val="center"/>
        </w:trPr>
        <w:tc>
          <w:tcPr>
            <w:tcW w:w="1843" w:type="dxa"/>
            <w:shd w:val="clear" w:color="auto" w:fill="E9EDF2"/>
            <w:tcMar>
              <w:top w:w="50" w:type="dxa"/>
              <w:left w:w="95" w:type="dxa"/>
              <w:bottom w:w="50" w:type="dxa"/>
              <w:right w:w="95" w:type="dxa"/>
            </w:tcMar>
          </w:tcPr>
          <w:p w14:paraId="70D0E796"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195164DF" w14:textId="77777777" w:rsidR="00D06BDC" w:rsidRDefault="00000000">
            <w:r>
              <w:rPr>
                <w:sz w:val="16"/>
              </w:rPr>
              <w:t>CosMc’s selected Genius indoor and drive-thru digital menu boards as part of its integrated restaurant technology platform. Yoshinoya deployed digital menu boards at 106 locations.</w:t>
            </w:r>
          </w:p>
        </w:tc>
      </w:tr>
    </w:tbl>
    <w:p w14:paraId="6B9942D5" w14:textId="77777777" w:rsidR="00D06BDC" w:rsidRDefault="00000000">
      <w:pPr>
        <w:spacing w:before="120" w:after="60"/>
        <w:jc w:val="center"/>
      </w:pPr>
      <w:r>
        <w:rPr>
          <w:noProof/>
        </w:rPr>
        <w:drawing>
          <wp:inline distT="0" distB="0" distL="0" distR="0" wp14:anchorId="689A2522" wp14:editId="7C8F8847">
            <wp:extent cx="3474720" cy="1954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1_shape2.png"/>
                    <pic:cNvPicPr/>
                  </pic:nvPicPr>
                  <pic:blipFill>
                    <a:blip r:embed="rId8"/>
                    <a:stretch>
                      <a:fillRect/>
                    </a:stretch>
                  </pic:blipFill>
                  <pic:spPr>
                    <a:xfrm>
                      <a:off x="0" y="0"/>
                      <a:ext cx="3474720" cy="1954530"/>
                    </a:xfrm>
                    <a:prstGeom prst="rect">
                      <a:avLst/>
                    </a:prstGeom>
                  </pic:spPr>
                </pic:pic>
              </a:graphicData>
            </a:graphic>
          </wp:inline>
        </w:drawing>
      </w:r>
    </w:p>
    <w:p w14:paraId="71A5D5D8" w14:textId="77777777" w:rsidR="00D06BDC" w:rsidRDefault="00000000">
      <w:pPr>
        <w:spacing w:after="100"/>
        <w:jc w:val="center"/>
      </w:pPr>
      <w:r>
        <w:rPr>
          <w:i/>
          <w:color w:val="64748B"/>
          <w:sz w:val="16"/>
        </w:rPr>
        <w:t>Representative Genius system-on-chip digital menu board configuration</w:t>
      </w:r>
    </w:p>
    <w:p w14:paraId="5B4BCF36" w14:textId="77777777" w:rsidR="00D06BDC" w:rsidRDefault="00000000">
      <w:r>
        <w:br w:type="page"/>
      </w:r>
    </w:p>
    <w:p w14:paraId="0659352B" w14:textId="77777777" w:rsidR="00D06BDC" w:rsidRDefault="00000000">
      <w:pPr>
        <w:keepNext/>
        <w:spacing w:after="40"/>
      </w:pPr>
      <w:r>
        <w:rPr>
          <w:b/>
          <w:color w:val="00A6D6"/>
          <w:sz w:val="16"/>
        </w:rPr>
        <w:t>PRODUCT MAP 3 OF 4</w:t>
      </w:r>
    </w:p>
    <w:p w14:paraId="27597157" w14:textId="77777777" w:rsidR="00D06BDC" w:rsidRDefault="00000000">
      <w:pPr>
        <w:pStyle w:val="Heading1"/>
      </w:pPr>
      <w:r>
        <w:t>Self-service ordering</w:t>
      </w:r>
    </w:p>
    <w:p w14:paraId="2D5DCB5B" w14:textId="77777777" w:rsidR="00D06BDC" w:rsidRDefault="00000000">
      <w:pPr>
        <w:keepNext/>
        <w:spacing w:before="140" w:after="60"/>
      </w:pPr>
      <w:r>
        <w:rPr>
          <w:b/>
          <w:color w:val="14233B"/>
          <w:sz w:val="26"/>
        </w:rPr>
        <w:t>Genius Kiosk</w:t>
      </w:r>
    </w:p>
    <w:tbl>
      <w:tblPr>
        <w:tblW w:w="0" w:type="auto"/>
        <w:jc w:val="center"/>
        <w:tblLayout w:type="fixed"/>
        <w:tblLook w:val="04A0" w:firstRow="1" w:lastRow="0" w:firstColumn="1" w:lastColumn="0" w:noHBand="0" w:noVBand="1"/>
      </w:tblPr>
      <w:tblGrid>
        <w:gridCol w:w="1843"/>
        <w:gridCol w:w="7517"/>
      </w:tblGrid>
      <w:tr w:rsidR="00D06BDC" w14:paraId="4242E976" w14:textId="77777777">
        <w:trPr>
          <w:jc w:val="center"/>
        </w:trPr>
        <w:tc>
          <w:tcPr>
            <w:tcW w:w="1843" w:type="dxa"/>
            <w:shd w:val="clear" w:color="auto" w:fill="F4F6F8"/>
            <w:tcMar>
              <w:top w:w="50" w:type="dxa"/>
              <w:left w:w="95" w:type="dxa"/>
              <w:bottom w:w="50" w:type="dxa"/>
              <w:right w:w="95" w:type="dxa"/>
            </w:tcMar>
          </w:tcPr>
          <w:p w14:paraId="024F371B"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3401C081" w14:textId="77777777" w:rsidR="00D06BDC" w:rsidRDefault="00000000">
            <w:r>
              <w:rPr>
                <w:sz w:val="16"/>
              </w:rPr>
              <w:t>Xenial Kiosk hardware and software and Xenial Ordering Kiosk, now within the Genius portfolio.</w:t>
            </w:r>
          </w:p>
        </w:tc>
      </w:tr>
      <w:tr w:rsidR="00D06BDC" w14:paraId="71E7935A" w14:textId="77777777">
        <w:trPr>
          <w:jc w:val="center"/>
        </w:trPr>
        <w:tc>
          <w:tcPr>
            <w:tcW w:w="1843" w:type="dxa"/>
            <w:shd w:val="clear" w:color="auto" w:fill="E9EDF2"/>
            <w:tcMar>
              <w:top w:w="50" w:type="dxa"/>
              <w:left w:w="95" w:type="dxa"/>
              <w:bottom w:w="50" w:type="dxa"/>
              <w:right w:w="95" w:type="dxa"/>
            </w:tcMar>
          </w:tcPr>
          <w:p w14:paraId="1C03211F"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3F1A6027" w14:textId="77777777" w:rsidR="00D06BDC" w:rsidRDefault="00000000">
            <w:r>
              <w:rPr>
                <w:sz w:val="16"/>
              </w:rPr>
              <w:t>Indoor/outdoor self-service ordering with multiple mounting options, favorites and repeat orders, multilingual and accessibility features, dynamic splash screens and pickup workflows.</w:t>
            </w:r>
          </w:p>
        </w:tc>
      </w:tr>
      <w:tr w:rsidR="00D06BDC" w14:paraId="24C8494A" w14:textId="77777777">
        <w:trPr>
          <w:jc w:val="center"/>
        </w:trPr>
        <w:tc>
          <w:tcPr>
            <w:tcW w:w="1843" w:type="dxa"/>
            <w:shd w:val="clear" w:color="auto" w:fill="F4F6F8"/>
            <w:tcMar>
              <w:top w:w="50" w:type="dxa"/>
              <w:left w:w="95" w:type="dxa"/>
              <w:bottom w:w="50" w:type="dxa"/>
              <w:right w:w="95" w:type="dxa"/>
            </w:tcMar>
          </w:tcPr>
          <w:p w14:paraId="5C0CE612"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75E31C79" w14:textId="77777777" w:rsidR="00D06BDC" w:rsidRDefault="00000000">
            <w:r>
              <w:rPr>
                <w:sz w:val="16"/>
              </w:rPr>
              <w:t>Provides modular self-service and integration options for restaurant environments, subject to McDonald’s store and accessibility standards.</w:t>
            </w:r>
          </w:p>
        </w:tc>
      </w:tr>
      <w:tr w:rsidR="00D06BDC" w14:paraId="0C916D39" w14:textId="77777777">
        <w:trPr>
          <w:jc w:val="center"/>
        </w:trPr>
        <w:tc>
          <w:tcPr>
            <w:tcW w:w="1843" w:type="dxa"/>
            <w:shd w:val="clear" w:color="auto" w:fill="E9EDF2"/>
            <w:tcMar>
              <w:top w:w="50" w:type="dxa"/>
              <w:left w:w="95" w:type="dxa"/>
              <w:bottom w:w="50" w:type="dxa"/>
              <w:right w:w="95" w:type="dxa"/>
            </w:tcMar>
          </w:tcPr>
          <w:p w14:paraId="32B074F9"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36844D2C" w14:textId="77777777" w:rsidR="00D06BDC" w:rsidRDefault="00000000">
            <w:r>
              <w:rPr>
                <w:sz w:val="16"/>
              </w:rPr>
              <w:t>CosMc’s selected Genius indoor and outdoor kiosks as part of its integrated platform. Genius brings more than 20 years of kiosk development and 15,000+ self-service installations worldwide.</w:t>
            </w:r>
          </w:p>
        </w:tc>
      </w:tr>
    </w:tbl>
    <w:p w14:paraId="4217EE30" w14:textId="1B1B557F" w:rsidR="00D06BDC" w:rsidRDefault="007865D9">
      <w:pPr>
        <w:spacing w:before="120" w:after="60"/>
        <w:jc w:val="center"/>
      </w:pPr>
      <w:r w:rsidRPr="007865D9">
        <w:drawing>
          <wp:inline distT="0" distB="0" distL="0" distR="0" wp14:anchorId="658B3CE1" wp14:editId="29AB5F9A">
            <wp:extent cx="841248" cy="2530639"/>
            <wp:effectExtent l="0" t="0" r="0" b="0"/>
            <wp:docPr id="125631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0985" name=""/>
                    <pic:cNvPicPr/>
                  </pic:nvPicPr>
                  <pic:blipFill>
                    <a:blip r:embed="rId9"/>
                    <a:stretch>
                      <a:fillRect/>
                    </a:stretch>
                  </pic:blipFill>
                  <pic:spPr>
                    <a:xfrm>
                      <a:off x="0" y="0"/>
                      <a:ext cx="841248" cy="2530639"/>
                    </a:xfrm>
                    <a:prstGeom prst="rect">
                      <a:avLst/>
                    </a:prstGeom>
                  </pic:spPr>
                </pic:pic>
              </a:graphicData>
            </a:graphic>
          </wp:inline>
        </w:drawing>
      </w:r>
    </w:p>
    <w:p w14:paraId="2B19700B" w14:textId="02ABAFE0" w:rsidR="00D06BDC" w:rsidRDefault="00000000">
      <w:pPr>
        <w:spacing w:after="100"/>
        <w:jc w:val="center"/>
      </w:pPr>
      <w:r>
        <w:rPr>
          <w:i/>
          <w:color w:val="64748B"/>
          <w:sz w:val="16"/>
        </w:rPr>
        <w:t>Freestanding Genius self-service kiosk in a restaurant environment</w:t>
      </w:r>
    </w:p>
    <w:p w14:paraId="09EC3037" w14:textId="77777777" w:rsidR="00D06BDC" w:rsidRDefault="00000000">
      <w:r/>
    </w:p>
    <w:p w14:paraId="450255C4" w14:textId="77777777" w:rsidR="00D06BDC" w:rsidRDefault="00000000">
      <w:pPr>
        <w:keepNext/>
        <w:spacing w:after="40" w:before="160"/>
      </w:pPr>
      <w:r>
        <w:rPr>
          <w:b/>
          <w:color w:val="00A6D6"/>
          <w:sz w:val="16"/>
        </w:rPr>
        <w:t>PRODUCT MAP 4 OF 4</w:t>
      </w:r>
    </w:p>
    <w:p w14:paraId="05A12B5B" w14:textId="77777777" w:rsidR="00D06BDC" w:rsidRDefault="00000000">
      <w:pPr>
        <w:pStyle w:val="Heading1"/>
      </w:pPr>
      <w:r>
        <w:t>Genius hardware</w:t>
      </w:r>
    </w:p>
    <w:p w14:paraId="1308EBCC" w14:textId="77777777" w:rsidR="00D06BDC" w:rsidRDefault="00000000">
      <w:pPr>
        <w:keepNext/>
        <w:spacing w:before="140" w:after="60"/>
      </w:pPr>
      <w:r>
        <w:rPr>
          <w:b/>
          <w:color w:val="14233B"/>
          <w:sz w:val="26"/>
        </w:rPr>
        <w:t>Genius Hardware</w:t>
      </w:r>
    </w:p>
    <w:tbl>
      <w:tblPr>
        <w:tblW w:w="0" w:type="auto"/>
        <w:jc w:val="center"/>
        <w:tblLayout w:type="fixed"/>
        <w:tblLook w:val="04A0" w:firstRow="1" w:lastRow="0" w:firstColumn="1" w:lastColumn="0" w:noHBand="0" w:noVBand="1"/>
      </w:tblPr>
      <w:tblGrid>
        <w:gridCol w:w="1843"/>
        <w:gridCol w:w="1546"/>
        <w:gridCol w:w="3389"/>
        <w:gridCol w:w="2582"/>
        <w:gridCol w:w="807"/>
      </w:tblGrid>
      <w:tr w:rsidR="00D06BDC" w14:paraId="545754EA" w14:textId="77777777">
        <w:trPr>
          <w:gridAfter w:val="1"/>
          <w:wAfter w:w="797" w:type="dxa"/>
          <w:jc w:val="center"/>
        </w:trPr>
        <w:tc>
          <w:tcPr>
            <w:tcW w:w="1843" w:type="dxa"/>
            <w:shd w:val="clear" w:color="auto" w:fill="F4F6F8"/>
            <w:tcMar>
              <w:top w:w="50" w:type="dxa"/>
              <w:left w:w="95" w:type="dxa"/>
              <w:bottom w:w="50" w:type="dxa"/>
              <w:right w:w="95" w:type="dxa"/>
            </w:tcMar>
          </w:tcPr>
          <w:p w14:paraId="584AAB41" w14:textId="77777777" w:rsidR="00D06BDC" w:rsidRDefault="00000000">
            <w:r>
              <w:rPr>
                <w:b/>
                <w:color w:val="14233B"/>
                <w:sz w:val="16"/>
              </w:rPr>
              <w:t>Heritage</w:t>
            </w:r>
          </w:p>
        </w:tc>
        <w:tc>
          <w:tcPr>
            <w:tcW w:w="7517" w:type="dxa"/>
            <w:gridSpan w:val="3"/>
            <w:shd w:val="clear" w:color="auto" w:fill="FFFFFF"/>
            <w:tcMar>
              <w:top w:w="50" w:type="dxa"/>
              <w:left w:w="95" w:type="dxa"/>
              <w:bottom w:w="50" w:type="dxa"/>
              <w:right w:w="95" w:type="dxa"/>
            </w:tcMar>
          </w:tcPr>
          <w:p w14:paraId="4398B4A7" w14:textId="77777777" w:rsidR="00D06BDC" w:rsidRDefault="00000000">
            <w:r>
              <w:rPr>
                <w:sz w:val="16"/>
              </w:rPr>
              <w:t>Xenial and SICOM POS hardware, portable tablets and rugged terminals, unified under the Genius hardware identity.</w:t>
            </w:r>
          </w:p>
        </w:tc>
      </w:tr>
      <w:tr w:rsidR="00D06BDC" w14:paraId="0AD5BE8C" w14:textId="77777777">
        <w:trPr>
          <w:gridAfter w:val="1"/>
          <w:wAfter w:w="797" w:type="dxa"/>
          <w:jc w:val="center"/>
        </w:trPr>
        <w:tc>
          <w:tcPr>
            <w:tcW w:w="1843" w:type="dxa"/>
            <w:shd w:val="clear" w:color="auto" w:fill="E9EDF2"/>
            <w:tcMar>
              <w:top w:w="50" w:type="dxa"/>
              <w:left w:w="95" w:type="dxa"/>
              <w:bottom w:w="50" w:type="dxa"/>
              <w:right w:w="95" w:type="dxa"/>
            </w:tcMar>
          </w:tcPr>
          <w:p w14:paraId="35618494" w14:textId="77777777" w:rsidR="00D06BDC" w:rsidRDefault="00000000">
            <w:r>
              <w:rPr>
                <w:b/>
                <w:color w:val="14233B"/>
                <w:sz w:val="16"/>
              </w:rPr>
              <w:t>Capabilities</w:t>
            </w:r>
          </w:p>
        </w:tc>
        <w:tc>
          <w:tcPr>
            <w:tcW w:w="7517" w:type="dxa"/>
            <w:gridSpan w:val="3"/>
            <w:shd w:val="clear" w:color="auto" w:fill="FAFBFC"/>
            <w:tcMar>
              <w:top w:w="50" w:type="dxa"/>
              <w:left w:w="95" w:type="dxa"/>
              <w:bottom w:w="50" w:type="dxa"/>
              <w:right w:w="95" w:type="dxa"/>
            </w:tcMar>
          </w:tcPr>
          <w:p w14:paraId="7927E6FF" w14:textId="77777777" w:rsidR="00D06BDC" w:rsidRDefault="00000000">
            <w:r>
              <w:rPr>
                <w:sz w:val="16"/>
              </w:rPr>
              <w:t>Global Payments designs and owns the core Genius hardware specification, with Flytech as manufacturing partner. The portfolio supports modular countertop, handheld, kiosk and tethered configurations.</w:t>
            </w:r>
          </w:p>
        </w:tc>
      </w:tr>
      <w:tr w:rsidR="00D06BDC" w14:paraId="389324A9" w14:textId="77777777">
        <w:trPr>
          <w:gridAfter w:val="1"/>
          <w:wAfter w:w="797" w:type="dxa"/>
          <w:jc w:val="center"/>
        </w:trPr>
        <w:tc>
          <w:tcPr>
            <w:tcW w:w="1843" w:type="dxa"/>
            <w:shd w:val="clear" w:color="auto" w:fill="F4F6F8"/>
            <w:tcMar>
              <w:top w:w="50" w:type="dxa"/>
              <w:left w:w="95" w:type="dxa"/>
              <w:bottom w:w="50" w:type="dxa"/>
              <w:right w:w="95" w:type="dxa"/>
            </w:tcMar>
          </w:tcPr>
          <w:p w14:paraId="44FBC8B7" w14:textId="77777777" w:rsidR="00D06BDC" w:rsidRDefault="00000000">
            <w:r>
              <w:rPr>
                <w:b/>
                <w:color w:val="14233B"/>
                <w:sz w:val="16"/>
              </w:rPr>
              <w:t>McDonald’s relevance</w:t>
            </w:r>
          </w:p>
        </w:tc>
        <w:tc>
          <w:tcPr>
            <w:tcW w:w="7517" w:type="dxa"/>
            <w:gridSpan w:val="3"/>
            <w:shd w:val="clear" w:color="auto" w:fill="FFFFFF"/>
            <w:tcMar>
              <w:top w:w="50" w:type="dxa"/>
              <w:left w:w="95" w:type="dxa"/>
              <w:bottom w:w="50" w:type="dxa"/>
              <w:right w:w="95" w:type="dxa"/>
            </w:tcMar>
          </w:tcPr>
          <w:p w14:paraId="0A4FF5BE" w14:textId="77777777" w:rsidR="00D06BDC" w:rsidRDefault="00000000">
            <w:r>
              <w:rPr>
                <w:sz w:val="16"/>
              </w:rPr>
              <w:t>Provides a consistent device experience across counter, line-busting and self-service workflows, subject to McDonald’s hardware, certification and service requirements.</w:t>
            </w:r>
          </w:p>
        </w:tc>
      </w:tr>
      <w:tr w:rsidR="00D06BDC" w14:paraId="67EC273F" w14:textId="77777777">
        <w:trPr>
          <w:gridAfter w:val="1"/>
          <w:wAfter w:w="797" w:type="dxa"/>
          <w:jc w:val="center"/>
        </w:trPr>
        <w:tc>
          <w:tcPr>
            <w:tcW w:w="1843" w:type="dxa"/>
            <w:shd w:val="clear" w:color="auto" w:fill="E9EDF2"/>
            <w:tcMar>
              <w:top w:w="50" w:type="dxa"/>
              <w:left w:w="95" w:type="dxa"/>
              <w:bottom w:w="50" w:type="dxa"/>
              <w:right w:w="95" w:type="dxa"/>
            </w:tcMar>
          </w:tcPr>
          <w:p w14:paraId="7FF2286E" w14:textId="77777777" w:rsidR="00D06BDC" w:rsidRDefault="00000000">
            <w:r>
              <w:rPr>
                <w:b/>
                <w:color w:val="14233B"/>
                <w:sz w:val="16"/>
              </w:rPr>
              <w:t>Selected experience</w:t>
            </w:r>
          </w:p>
        </w:tc>
        <w:tc>
          <w:tcPr>
            <w:tcW w:w="7517" w:type="dxa"/>
            <w:gridSpan w:val="3"/>
            <w:shd w:val="clear" w:color="auto" w:fill="FAFBFC"/>
            <w:tcMar>
              <w:top w:w="50" w:type="dxa"/>
              <w:left w:w="95" w:type="dxa"/>
              <w:bottom w:w="50" w:type="dxa"/>
              <w:right w:w="95" w:type="dxa"/>
            </w:tcMar>
          </w:tcPr>
          <w:p w14:paraId="0805F748" w14:textId="77777777" w:rsidR="00D06BDC" w:rsidRDefault="00000000">
            <w:r>
              <w:rPr>
                <w:sz w:val="16"/>
              </w:rPr>
              <w:t>CosMc’s selected Genius hardware across its cloud POS and indoor/outdoor self-service environment.</w:t>
            </w:r>
          </w:p>
        </w:tc>
      </w:tr>
      <w:tr w:rsidR="00D06BDC" w14:paraId="1DEFB8DD" w14:textId="77777777">
        <w:tblPrEx>
          <w:jc w:val="left"/>
        </w:tblPrEx>
        <w:tc>
          <w:tcPr>
            <w:tcW w:w="3389" w:type="dxa"/>
            <w:gridSpan w:val="2"/>
            <w:shd w:val="clear" w:color="auto" w:fill="FFFFFF"/>
            <w:tcMar>
              <w:top w:w="50" w:type="dxa"/>
              <w:left w:w="105" w:type="dxa"/>
              <w:bottom w:w="50" w:type="dxa"/>
              <w:right w:w="105" w:type="dxa"/>
            </w:tcMar>
          </w:tcPr>
          <w:p w14:paraId="69AA8E86" w14:textId="77777777" w:rsidR="00D06BDC" w:rsidRDefault="00000000">
            <w:pPr>
              <w:jc w:val="center"/>
            </w:pPr>
            <w:r>
              <w:rPr>
                <w:b/>
                <w:color w:val="14233B"/>
                <w:sz w:val="21"/>
              </w:rPr>
              <w:t>Countertop</w:t>
            </w:r>
          </w:p>
          <w:p w14:paraId="4F2AA76F" w14:textId="77777777" w:rsidR="00D06BDC" w:rsidRDefault="00000000">
            <w:pPr>
              <w:jc w:val="center"/>
            </w:pPr>
            <w:r>
              <w:rPr>
                <w:noProof/>
              </w:rPr>
              <w:drawing>
                <wp:inline distT="0" distB="0" distL="0" distR="0" wp14:anchorId="386D67CC" wp14:editId="5833DA3E">
                  <wp:extent cx="1097280" cy="617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shape1_Google Shape;2008;p267.png"/>
                          <pic:cNvPicPr/>
                        </pic:nvPicPr>
                        <pic:blipFill>
                          <a:blip r:embed="rId10"/>
                          <a:stretch>
                            <a:fillRect/>
                          </a:stretch>
                        </pic:blipFill>
                        <pic:spPr>
                          <a:xfrm>
                            <a:off x="0" y="0"/>
                            <a:ext cx="1097280" cy="617219"/>
                          </a:xfrm>
                          <a:prstGeom prst="rect">
                            <a:avLst/>
                          </a:prstGeom>
                        </pic:spPr>
                      </pic:pic>
                    </a:graphicData>
                  </a:graphic>
                </wp:inline>
              </w:drawing>
            </w:r>
          </w:p>
          <w:p w14:paraId="326637B9" w14:textId="77777777" w:rsidR="00D06BDC" w:rsidRDefault="00000000">
            <w:r>
              <w:rPr>
                <w:sz w:val="16"/>
              </w:rPr>
              <w:t>Modular merchant and customer-facing displays.</w:t>
            </w:r>
          </w:p>
        </w:tc>
        <w:tc>
          <w:tcPr>
            <w:tcW w:w="3389" w:type="dxa"/>
            <w:shd w:val="clear" w:color="auto" w:fill="FFFFFF"/>
            <w:tcMar>
              <w:top w:w="50" w:type="dxa"/>
              <w:left w:w="105" w:type="dxa"/>
              <w:bottom w:w="50" w:type="dxa"/>
              <w:right w:w="105" w:type="dxa"/>
            </w:tcMar>
          </w:tcPr>
          <w:p w14:paraId="16748B5A" w14:textId="77777777" w:rsidR="00D06BDC" w:rsidRDefault="00000000">
            <w:pPr>
              <w:jc w:val="center"/>
            </w:pPr>
            <w:r>
              <w:rPr>
                <w:b/>
                <w:color w:val="14233B"/>
                <w:sz w:val="21"/>
              </w:rPr>
              <w:t>Handheld</w:t>
            </w:r>
          </w:p>
          <w:p w14:paraId="1012B8B1" w14:textId="77777777" w:rsidR="00D06BDC" w:rsidRDefault="00000000">
            <w:pPr>
              <w:jc w:val="center"/>
            </w:pPr>
            <w:r>
              <w:rPr>
                <w:noProof/>
              </w:rPr>
              <w:drawing>
                <wp:inline distT="0" distB="0" distL="0" distR="0" wp14:anchorId="58487442" wp14:editId="6EA0EBDA">
                  <wp:extent cx="1097280" cy="617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_shape3_Google Shape;2049;p270.png"/>
                          <pic:cNvPicPr/>
                        </pic:nvPicPr>
                        <pic:blipFill>
                          <a:blip r:embed="rId11"/>
                          <a:stretch>
                            <a:fillRect/>
                          </a:stretch>
                        </pic:blipFill>
                        <pic:spPr>
                          <a:xfrm>
                            <a:off x="0" y="0"/>
                            <a:ext cx="1097280" cy="617219"/>
                          </a:xfrm>
                          <a:prstGeom prst="rect">
                            <a:avLst/>
                          </a:prstGeom>
                        </pic:spPr>
                      </pic:pic>
                    </a:graphicData>
                  </a:graphic>
                </wp:inline>
              </w:drawing>
            </w:r>
          </w:p>
          <w:p w14:paraId="39440C3C" w14:textId="77777777" w:rsidR="00D06BDC" w:rsidRDefault="00000000">
            <w:r>
              <w:rPr>
                <w:sz w:val="16"/>
              </w:rPr>
              <w:t>Portable POS with integrated payment.</w:t>
            </w:r>
          </w:p>
        </w:tc>
        <w:tc>
          <w:tcPr>
            <w:tcW w:w="3389" w:type="dxa"/>
            <w:gridSpan w:val="2"/>
            <w:shd w:val="clear" w:color="auto" w:fill="FFFFFF"/>
            <w:tcMar>
              <w:top w:w="50" w:type="dxa"/>
              <w:left w:w="105" w:type="dxa"/>
              <w:bottom w:w="50" w:type="dxa"/>
              <w:right w:w="105" w:type="dxa"/>
            </w:tcMar>
          </w:tcPr>
          <w:p w14:paraId="02961A8A" w14:textId="77777777" w:rsidR="00D06BDC" w:rsidRDefault="00000000">
            <w:pPr>
              <w:jc w:val="center"/>
            </w:pPr>
            <w:r>
              <w:rPr>
                <w:b/>
                <w:color w:val="14233B"/>
                <w:sz w:val="21"/>
              </w:rPr>
              <w:t>Counter and kiosk</w:t>
            </w:r>
          </w:p>
          <w:p w14:paraId="5384D136" w14:textId="77777777" w:rsidR="00D06BDC" w:rsidRDefault="00000000">
            <w:pPr>
              <w:jc w:val="center"/>
            </w:pPr>
            <w:r>
              <w:rPr>
                <w:noProof/>
              </w:rPr>
              <w:drawing>
                <wp:inline distT="0" distB="0" distL="0" distR="0" wp14:anchorId="2E850F45" wp14:editId="41A79452">
                  <wp:extent cx="1097280" cy="6150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_shape17_Google Shape;2091;p271.png"/>
                          <pic:cNvPicPr/>
                        </pic:nvPicPr>
                        <pic:blipFill>
                          <a:blip r:embed="rId12"/>
                          <a:stretch>
                            <a:fillRect/>
                          </a:stretch>
                        </pic:blipFill>
                        <pic:spPr>
                          <a:xfrm>
                            <a:off x="0" y="0"/>
                            <a:ext cx="1097280" cy="615076"/>
                          </a:xfrm>
                          <a:prstGeom prst="rect">
                            <a:avLst/>
                          </a:prstGeom>
                        </pic:spPr>
                      </pic:pic>
                    </a:graphicData>
                  </a:graphic>
                </wp:inline>
              </w:drawing>
            </w:r>
          </w:p>
          <w:p w14:paraId="295ADD7C" w14:textId="77777777" w:rsidR="00D06BDC" w:rsidRDefault="00000000">
            <w:r>
              <w:rPr>
                <w:sz w:val="16"/>
              </w:rPr>
              <w:t>Multiple configurations within one hardware family.</w:t>
            </w:r>
          </w:p>
        </w:tc>
      </w:tr>
    </w:tbl>
    <w:p w14:paraId="0CBEE5B0" w14:textId="0B385AA6" w:rsidR="00D06BDC" w:rsidRDefault="00000000" w:rsidP="00A96B40">
      <w:r>
        <w:br w:type="page"/>
      </w:r>
      <w:r>
        <w:rPr>
          <w:b/>
          <w:color w:val="00A6D6"/>
          <w:sz w:val="16"/>
        </w:rPr>
      </w:r>
    </w:p>
    <w:p w14:paraId="127E3DAC" w14:textId="77777777" w:rsidR="00D06BDC" w:rsidRDefault="00000000">
      <w:pPr>
        <w:pStyle w:val="Heading1"/>
      </w:pPr>
      <w:r>
        <w:t>Payments and back office</w:t>
      </w:r>
    </w:p>
    <w:p w14:paraId="1010B3D2" w14:textId="77777777" w:rsidR="00D06BDC" w:rsidRDefault="00000000">
      <w:pPr>
        <w:keepNext/>
        <w:spacing w:before="140" w:after="60"/>
      </w:pPr>
      <w:r>
        <w:rPr>
          <w:b/>
          <w:color w:val="14233B"/>
          <w:sz w:val="26"/>
        </w:rPr>
        <w:t>Genius Payments</w:t>
      </w:r>
    </w:p>
    <w:tbl>
      <w:tblPr>
        <w:tblW w:w="0" w:type="auto"/>
        <w:jc w:val="center"/>
        <w:tblLayout w:type="fixed"/>
        <w:tblLook w:val="04A0" w:firstRow="1" w:lastRow="0" w:firstColumn="1" w:lastColumn="0" w:noHBand="0" w:noVBand="1"/>
      </w:tblPr>
      <w:tblGrid>
        <w:gridCol w:w="1843"/>
        <w:gridCol w:w="7517"/>
      </w:tblGrid>
      <w:tr w:rsidR="00D06BDC" w14:paraId="64A51806" w14:textId="77777777">
        <w:trPr>
          <w:jc w:val="center"/>
        </w:trPr>
        <w:tc>
          <w:tcPr>
            <w:tcW w:w="1843" w:type="dxa"/>
            <w:shd w:val="clear" w:color="auto" w:fill="F4F6F8"/>
            <w:tcMar>
              <w:top w:w="50" w:type="dxa"/>
              <w:left w:w="95" w:type="dxa"/>
              <w:bottom w:w="50" w:type="dxa"/>
              <w:right w:w="95" w:type="dxa"/>
            </w:tcMar>
          </w:tcPr>
          <w:p w14:paraId="6BCF4BF0" w14:textId="77777777" w:rsidR="00D06BDC" w:rsidRDefault="00000000">
            <w:pPr>
              <w:spacing w:before="0" w:after="0"/>
            </w:pPr>
            <w:r>
              <w:rPr>
                <w:b/>
                <w:color w:val="14233B"/>
                <w:sz w:val="16"/>
              </w:rPr>
              <w:t>Heritage</w:t>
            </w:r>
          </w:p>
        </w:tc>
        <w:tc>
          <w:tcPr>
            <w:tcW w:w="7517" w:type="dxa"/>
            <w:shd w:val="clear" w:color="auto" w:fill="FFFFFF"/>
            <w:tcMar>
              <w:top w:w="50" w:type="dxa"/>
              <w:left w:w="95" w:type="dxa"/>
              <w:bottom w:w="50" w:type="dxa"/>
              <w:right w:w="95" w:type="dxa"/>
            </w:tcMar>
          </w:tcPr>
          <w:p w14:paraId="0AA12F6D" w14:textId="77777777" w:rsidR="00D06BDC" w:rsidRDefault="00000000">
            <w:pPr>
              <w:spacing w:before="0" w:after="0"/>
            </w:pPr>
            <w:r>
              <w:rPr>
                <w:sz w:val="16"/>
              </w:rPr>
              <w:t>Global Payments Integrated and Portico capabilities, with Merchantware/Cayan heritage and Global Payments + Worldpay processing reach.</w:t>
            </w:r>
          </w:p>
        </w:tc>
      </w:tr>
      <w:tr w:rsidR="00D06BDC" w14:paraId="20E5B506" w14:textId="77777777">
        <w:trPr>
          <w:jc w:val="center"/>
        </w:trPr>
        <w:tc>
          <w:tcPr>
            <w:tcW w:w="1843" w:type="dxa"/>
            <w:shd w:val="clear" w:color="auto" w:fill="E9EDF2"/>
            <w:tcMar>
              <w:top w:w="50" w:type="dxa"/>
              <w:left w:w="95" w:type="dxa"/>
              <w:bottom w:w="50" w:type="dxa"/>
              <w:right w:w="95" w:type="dxa"/>
            </w:tcMar>
          </w:tcPr>
          <w:p w14:paraId="2C979D8F"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4F8448B2" w14:textId="77777777" w:rsidR="00D06BDC" w:rsidRDefault="00000000">
            <w:r>
              <w:rPr>
                <w:sz w:val="16"/>
              </w:rPr>
              <w:t>Integrated acceptance across counter, drive-thru, kiosk and digital commerce; EMV/contactless and wallets; card-present and online acceptance; P2PE/tokenization; terminal management and store-and-forward.</w:t>
            </w:r>
          </w:p>
        </w:tc>
      </w:tr>
      <w:tr w:rsidR="00D06BDC" w14:paraId="6A40ADC2" w14:textId="77777777">
        <w:trPr>
          <w:jc w:val="center"/>
        </w:trPr>
        <w:tc>
          <w:tcPr>
            <w:tcW w:w="1843" w:type="dxa"/>
            <w:shd w:val="clear" w:color="auto" w:fill="F4F6F8"/>
            <w:tcMar>
              <w:top w:w="50" w:type="dxa"/>
              <w:left w:w="95" w:type="dxa"/>
              <w:bottom w:w="50" w:type="dxa"/>
              <w:right w:w="95" w:type="dxa"/>
            </w:tcMar>
          </w:tcPr>
          <w:p w14:paraId="275E7149"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6D2CC9A5" w14:textId="77777777" w:rsidR="00D06BDC" w:rsidRDefault="00000000">
            <w:r>
              <w:rPr>
                <w:sz w:val="16"/>
              </w:rPr>
              <w:t>Supports cross-channel orchestration, processor flexibility, centralized device control, offline resilience and token continuity.</w:t>
            </w:r>
          </w:p>
        </w:tc>
      </w:tr>
      <w:tr w:rsidR="00D06BDC" w:rsidRPr="00A96B40" w14:paraId="37629A2C" w14:textId="77777777">
        <w:trPr>
          <w:jc w:val="center"/>
        </w:trPr>
        <w:tc>
          <w:tcPr>
            <w:tcW w:w="1843" w:type="dxa"/>
            <w:shd w:val="clear" w:color="auto" w:fill="E9EDF2"/>
            <w:tcMar>
              <w:top w:w="50" w:type="dxa"/>
              <w:left w:w="95" w:type="dxa"/>
              <w:bottom w:w="50" w:type="dxa"/>
              <w:right w:w="95" w:type="dxa"/>
            </w:tcMar>
          </w:tcPr>
          <w:p w14:paraId="4E56DE31"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7596DB29" w14:textId="0FA9A7CE" w:rsidR="00D06BDC" w:rsidRPr="00A96B40" w:rsidRDefault="00000000">
            <w:r>
              <w:rPr>
                <w:sz w:val="16"/>
              </w:rPr>
              <w:t>CosMc’s used Global Payments for payment processing</w:t>
            </w:r>
            <w:r w:rsidR="00A56004">
              <w:rPr>
                <w:sz w:val="16"/>
              </w:rPr>
              <w:t xml:space="preserve">. </w:t>
            </w:r>
            <w:r w:rsidR="00A56004" w:rsidRPr="00A96B40">
              <w:rPr>
                <w:sz w:val="16"/>
              </w:rPr>
              <w:t xml:space="preserve">6m+ Merchant Locations, </w:t>
            </w:r>
            <w:r w:rsidR="00A96B40" w:rsidRPr="00A96B40">
              <w:rPr>
                <w:sz w:val="16"/>
              </w:rPr>
              <w:t>9</w:t>
            </w:r>
            <w:r w:rsidR="00A96B40">
              <w:rPr>
                <w:sz w:val="16"/>
              </w:rPr>
              <w:t xml:space="preserve">4b </w:t>
            </w:r>
            <w:proofErr w:type="spellStart"/>
            <w:r w:rsidR="00A96B40">
              <w:rPr>
                <w:sz w:val="16"/>
              </w:rPr>
              <w:t>Transavtions</w:t>
            </w:r>
            <w:proofErr w:type="spellEnd"/>
            <w:r w:rsidR="00A96B40">
              <w:rPr>
                <w:sz w:val="16"/>
              </w:rPr>
              <w:t xml:space="preserve"> annually, </w:t>
            </w:r>
            <w:r w:rsidR="00A56004" w:rsidRPr="00A96B40">
              <w:rPr>
                <w:sz w:val="16"/>
              </w:rPr>
              <w:t>$3.7t Payment volume,</w:t>
            </w:r>
            <w:r w:rsidR="00A96B40" w:rsidRPr="00A96B40">
              <w:rPr>
                <w:sz w:val="16"/>
              </w:rPr>
              <w:t xml:space="preserve"> Operating in 175+ countries</w:t>
            </w:r>
          </w:p>
        </w:tc>
      </w:tr>
    </w:tbl>
    <w:p w14:paraId="5CC16193" w14:textId="77777777" w:rsidR="00D06BDC" w:rsidRDefault="00000000">
      <w:pPr>
        <w:keepNext/>
        <w:spacing w:before="140" w:after="60"/>
      </w:pPr>
      <w:r>
        <w:rPr>
          <w:b/>
          <w:color w:val="14233B"/>
          <w:sz w:val="26"/>
        </w:rPr>
        <w:t>Genius Back Office</w:t>
      </w:r>
    </w:p>
    <w:tbl>
      <w:tblPr>
        <w:tblW w:w="0" w:type="auto"/>
        <w:jc w:val="center"/>
        <w:tblLayout w:type="fixed"/>
        <w:tblLook w:val="04A0" w:firstRow="1" w:lastRow="0" w:firstColumn="1" w:lastColumn="0" w:noHBand="0" w:noVBand="1"/>
      </w:tblPr>
      <w:tblGrid>
        <w:gridCol w:w="1843"/>
        <w:gridCol w:w="7517"/>
      </w:tblGrid>
      <w:tr w:rsidR="00D06BDC" w14:paraId="03E8A0A5" w14:textId="77777777">
        <w:trPr>
          <w:jc w:val="center"/>
        </w:trPr>
        <w:tc>
          <w:tcPr>
            <w:tcW w:w="1843" w:type="dxa"/>
            <w:shd w:val="clear" w:color="auto" w:fill="F4F6F8"/>
            <w:tcMar>
              <w:top w:w="50" w:type="dxa"/>
              <w:left w:w="95" w:type="dxa"/>
              <w:bottom w:w="50" w:type="dxa"/>
              <w:right w:w="95" w:type="dxa"/>
            </w:tcMar>
          </w:tcPr>
          <w:p w14:paraId="01C92B35"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1D8B4BD3" w14:textId="77777777" w:rsidR="00D06BDC" w:rsidRDefault="00000000">
            <w:r>
              <w:rPr>
                <w:sz w:val="16"/>
              </w:rPr>
              <w:t>The Portal RTI, RTI Financial Accounting, Back Office and enterprise reporting heritage.</w:t>
            </w:r>
          </w:p>
        </w:tc>
      </w:tr>
      <w:tr w:rsidR="00D06BDC" w14:paraId="2E72AFA7" w14:textId="77777777">
        <w:trPr>
          <w:jc w:val="center"/>
        </w:trPr>
        <w:tc>
          <w:tcPr>
            <w:tcW w:w="1843" w:type="dxa"/>
            <w:shd w:val="clear" w:color="auto" w:fill="E9EDF2"/>
            <w:tcMar>
              <w:top w:w="50" w:type="dxa"/>
              <w:left w:w="95" w:type="dxa"/>
              <w:bottom w:w="50" w:type="dxa"/>
              <w:right w:w="95" w:type="dxa"/>
            </w:tcMar>
          </w:tcPr>
          <w:p w14:paraId="0E678CE5"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3594F473" w14:textId="77777777" w:rsidR="00D06BDC" w:rsidRDefault="00000000">
            <w:r>
              <w:rPr>
                <w:sz w:val="16"/>
              </w:rPr>
              <w:t>Back-office and enterprise reporting capabilities spanning restaurant operations, inventory, labor, financial information and enterprise-level visibility.</w:t>
            </w:r>
          </w:p>
        </w:tc>
      </w:tr>
      <w:tr w:rsidR="00D06BDC" w14:paraId="0E02A0B9" w14:textId="77777777">
        <w:trPr>
          <w:jc w:val="center"/>
        </w:trPr>
        <w:tc>
          <w:tcPr>
            <w:tcW w:w="1843" w:type="dxa"/>
            <w:shd w:val="clear" w:color="auto" w:fill="F4F6F8"/>
            <w:tcMar>
              <w:top w:w="50" w:type="dxa"/>
              <w:left w:w="95" w:type="dxa"/>
              <w:bottom w:w="50" w:type="dxa"/>
              <w:right w:w="95" w:type="dxa"/>
            </w:tcMar>
          </w:tcPr>
          <w:p w14:paraId="00C96546"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493EEC78" w14:textId="77777777" w:rsidR="00D06BDC" w:rsidRDefault="00000000">
            <w:r>
              <w:rPr>
                <w:sz w:val="16"/>
              </w:rPr>
              <w:t>Connects restaurant activity with operational and enterprise reporting to support more consistent decision-making across the system.</w:t>
            </w:r>
          </w:p>
        </w:tc>
      </w:tr>
      <w:tr w:rsidR="00D06BDC" w14:paraId="393AFD68" w14:textId="77777777">
        <w:trPr>
          <w:jc w:val="center"/>
        </w:trPr>
        <w:tc>
          <w:tcPr>
            <w:tcW w:w="1843" w:type="dxa"/>
            <w:shd w:val="clear" w:color="auto" w:fill="E9EDF2"/>
            <w:tcMar>
              <w:top w:w="50" w:type="dxa"/>
              <w:left w:w="95" w:type="dxa"/>
              <w:bottom w:w="50" w:type="dxa"/>
              <w:right w:w="95" w:type="dxa"/>
            </w:tcMar>
          </w:tcPr>
          <w:p w14:paraId="15DC9215"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49DCDDEF" w14:textId="7A973D02" w:rsidR="00D06BDC" w:rsidRDefault="00D06BDC"/>
        </w:tc>
      </w:tr>
    </w:tbl>
    <w:p w14:paraId="2718419E" w14:textId="77777777" w:rsidR="009B15C8" w:rsidRDefault="009B15C8"/>
    <w:sectPr w:rsidR="009B15C8" w:rsidSect="00034616">
      <w:headerReference w:type="default" r:id="rId13"/>
      <w:footerReference w:type="default" r:id="rId14"/>
      <w:pgSz w:w="12240" w:h="15840"/>
      <w:pgMar w:top="662" w:right="922" w:bottom="662" w:left="92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85F0FB" w14:textId="77777777" w:rsidR="009B15C8" w:rsidRDefault="009B15C8">
      <w:pPr>
        <w:spacing w:after="0" w:line="240" w:lineRule="auto"/>
      </w:pPr>
      <w:r>
        <w:separator/>
      </w:r>
    </w:p>
  </w:endnote>
  <w:endnote w:type="continuationSeparator" w:id="0">
    <w:p w14:paraId="60BDCF8B" w14:textId="77777777" w:rsidR="009B15C8" w:rsidRDefault="009B1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B2E492" w14:textId="77777777" w:rsidR="00D06BDC" w:rsidRDefault="00000000">
    <w:pPr>
      <w:pStyle w:val="Footer"/>
      <w:jc w:val="right"/>
    </w:pPr>
    <w:proofErr w:type="gramStart"/>
    <w:r>
      <w:rPr>
        <w:color w:val="64748B"/>
        <w:sz w:val="16"/>
      </w:rPr>
      <w:t>CONFIDENTIAL  •</w:t>
    </w:r>
    <w:proofErr w:type="gramEnd"/>
    <w:r>
      <w:rPr>
        <w:color w:val="64748B"/>
        <w:sz w:val="16"/>
      </w:rPr>
      <w:t xml:space="preserve">  </w:t>
    </w:r>
    <w:r>
      <w:fldChar w:fldCharType="begin"/>
    </w:r>
    <w:r>
      <w:instrText>PAGE</w:instrText>
    </w:r>
    <w:r>
      <w:fldChar w:fldCharType="separate"/>
    </w:r>
    <w:r w:rsidR="007865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E23315" w14:textId="77777777" w:rsidR="009B15C8" w:rsidRDefault="009B15C8">
      <w:pPr>
        <w:spacing w:after="0" w:line="240" w:lineRule="auto"/>
      </w:pPr>
      <w:r>
        <w:separator/>
      </w:r>
    </w:p>
  </w:footnote>
  <w:footnote w:type="continuationSeparator" w:id="0">
    <w:p w14:paraId="158B2C78" w14:textId="77777777" w:rsidR="009B15C8" w:rsidRDefault="009B1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26BB7" w14:textId="77777777" w:rsidR="00D06BDC" w:rsidRDefault="00000000">
    <w:pPr>
      <w:pStyle w:val="Header"/>
    </w:pPr>
    <w:proofErr w:type="spellStart"/>
    <w:proofErr w:type="gramStart"/>
    <w:r>
      <w:rPr>
        <w:b/>
        <w:color w:val="14233B"/>
        <w:sz w:val="26"/>
      </w:rPr>
      <w:t>globalpayments</w:t>
    </w:r>
    <w:proofErr w:type="spellEnd"/>
    <w:r>
      <w:rPr>
        <w:b/>
        <w:color w:val="2764FF"/>
      </w:rPr>
      <w:t xml:space="preserve">  /</w:t>
    </w:r>
    <w:proofErr w:type="gramEnd"/>
    <w:r>
      <w:rPr>
        <w:b/>
        <w:color w:val="2764FF"/>
      </w:rPr>
      <w:t xml:space="preserve">  GENIUS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713893">
    <w:abstractNumId w:val="8"/>
  </w:num>
  <w:num w:numId="2" w16cid:durableId="2067098470">
    <w:abstractNumId w:val="6"/>
  </w:num>
  <w:num w:numId="3" w16cid:durableId="728500040">
    <w:abstractNumId w:val="5"/>
  </w:num>
  <w:num w:numId="4" w16cid:durableId="692652280">
    <w:abstractNumId w:val="4"/>
  </w:num>
  <w:num w:numId="5" w16cid:durableId="570699311">
    <w:abstractNumId w:val="7"/>
  </w:num>
  <w:num w:numId="6" w16cid:durableId="271670259">
    <w:abstractNumId w:val="3"/>
  </w:num>
  <w:num w:numId="7" w16cid:durableId="508956949">
    <w:abstractNumId w:val="2"/>
  </w:num>
  <w:num w:numId="8" w16cid:durableId="300353144">
    <w:abstractNumId w:val="1"/>
  </w:num>
  <w:num w:numId="9" w16cid:durableId="18536467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230A"/>
    <w:rsid w:val="007865D9"/>
    <w:rsid w:val="009B15C8"/>
    <w:rsid w:val="009B5719"/>
    <w:rsid w:val="00A56004"/>
    <w:rsid w:val="00A96B40"/>
    <w:rsid w:val="00AA1D8D"/>
    <w:rsid w:val="00B47730"/>
    <w:rsid w:val="00CB0664"/>
    <w:rsid w:val="00D06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28B28"/>
  <w14:defaultImageDpi w14:val="300"/>
  <w15:docId w15:val="{A8B68EAA-BE01-E14D-A759-BC867EF95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pPr>
    <w:rPr>
      <w:rFonts w:ascii="Arial" w:hAnsi="Arial"/>
      <w:color w:val="1D2939"/>
      <w:sz w:val="18"/>
    </w:rPr>
  </w:style>
  <w:style w:type="paragraph" w:styleId="Heading1">
    <w:name w:val="heading 1"/>
    <w:basedOn w:val="Normal"/>
    <w:next w:val="Normal"/>
    <w:link w:val="Heading1Char"/>
    <w:uiPriority w:val="9"/>
    <w:qFormat/>
    <w:rsid w:val="00FC693F"/>
    <w:pPr>
      <w:keepNext/>
      <w:keepLines/>
      <w:spacing w:after="60" w:before="80"/>
      <w:outlineLvl w:val="0"/>
    </w:pPr>
    <w:rPr>
      <w:rFonts w:asciiTheme="majorHAnsi" w:eastAsiaTheme="majorEastAsia" w:hAnsiTheme="majorHAnsi" w:cstheme="majorBidi"/>
      <w:b/>
      <w:bCs/>
      <w:color w:val="14233B"/>
      <w:sz w:val="4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b/>
      <w:bCs/>
      <w:color w:val="14233B"/>
      <w:sz w:val="30"/>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b/>
      <w:bCs/>
      <w:color w:val="2764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Genius Restaurant Technology Product Map</vt:lpstr>
    </vt:vector>
  </TitlesOfParts>
  <Manager/>
  <Company/>
  <LinksUpToDate>false</LinksUpToDate>
  <CharactersWithSpaces>6713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Genius Product Map — McDonald’s</dc:title>
  <dc:subject>McDonald’s capability overview for Jeff Coffland</dc:subject>
  <dc:creator>Todd Vahlsing</dc:creator>
  <cp:keywords/>
  <dc:description>generated by python-docx</dc:description>
  <cp:lastModifiedBy>Vahlsing, Todd</cp:lastModifiedBy>
  <cp:revision>2</cp:revision>
  <dcterms:created xsi:type="dcterms:W3CDTF">2026-08-12T13:09:00Z</dcterms:created>
  <dcterms:modified xsi:type="dcterms:W3CDTF">2026-08-12T13:09:00Z</dcterms:modified>
  <cp:category/>
</cp:coreProperties>
</file>