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0B92B011" w:rsidR="00490929" w:rsidRDefault="0068523B" w:rsidP="00A73311">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sidR="00A73311">
        <w:rPr>
          <w:rFonts w:ascii="Times New Roman" w:eastAsia="Times New Roman" w:hAnsi="Times New Roman" w:cs="Times New Roman"/>
        </w:rPr>
        <w:t xml:space="preserve"> First, we will demonstrate how the threshold of 50% may not be the optimal biomarker to predict response in a large retrospective cohort through propensity score matching and an instrumental variable analysis. Then, 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w:t>
      </w:r>
      <w:r w:rsidR="005703B4">
        <w:rPr>
          <w:rFonts w:ascii="Times New Roman" w:eastAsia="Times New Roman" w:hAnsi="Times New Roman" w:cs="Times New Roman"/>
        </w:rPr>
        <w:t xml:space="preserve">the </w:t>
      </w:r>
      <w:r>
        <w:rPr>
          <w:rFonts w:ascii="Times New Roman" w:eastAsia="Times New Roman" w:hAnsi="Times New Roman" w:cs="Times New Roman"/>
        </w:rPr>
        <w:t xml:space="preserve">standard </w:t>
      </w:r>
      <w:r w:rsidR="005703B4">
        <w:rPr>
          <w:rFonts w:ascii="Times New Roman" w:eastAsia="Times New Roman" w:hAnsi="Times New Roman" w:cs="Times New Roman"/>
        </w:rPr>
        <w:t xml:space="preserve">PD-L1 </w:t>
      </w:r>
      <w:r>
        <w:rPr>
          <w:rFonts w:ascii="Times New Roman" w:eastAsia="Times New Roman" w:hAnsi="Times New Roman" w:cs="Times New Roman"/>
        </w:rPr>
        <w:t>threshold-based risk score</w:t>
      </w:r>
      <w:r w:rsidR="005703B4">
        <w:rPr>
          <w:rFonts w:ascii="Times New Roman" w:eastAsia="Times New Roman" w:hAnsi="Times New Roman" w:cs="Times New Roman"/>
        </w:rPr>
        <w:t>.</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w:t>
      </w:r>
      <w:r w:rsidR="00C353FA">
        <w:rPr>
          <w:rFonts w:ascii="Times New Roman" w:hAnsi="Times New Roman" w:cs="Times New Roman"/>
        </w:rPr>
        <w:lastRenderedPageBreak/>
        <w:t>(CT)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 xml:space="preserve">Nivolumab, pembrolizumab, atezolizumab, durvalumab, </w:t>
            </w:r>
            <w:proofErr w:type="spellStart"/>
            <w:r>
              <w:rPr>
                <w:rFonts w:ascii="Times New Roman" w:hAnsi="Times New Roman" w:cs="Times New Roman"/>
              </w:rPr>
              <w:t>cemiplimab</w:t>
            </w:r>
            <w:proofErr w:type="spellEnd"/>
            <w:r>
              <w:rPr>
                <w:rFonts w:ascii="Times New Roman" w:hAnsi="Times New Roman" w:cs="Times New Roman"/>
              </w:rPr>
              <w:t xml:space="preserve">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proofErr w:type="spellStart"/>
            <w:r>
              <w:rPr>
                <w:rFonts w:ascii="Times New Roman" w:hAnsi="Times New Roman" w:cs="Times New Roman"/>
              </w:rPr>
              <w:t>Alectinib</w:t>
            </w:r>
            <w:proofErr w:type="spellEnd"/>
            <w:r>
              <w:rPr>
                <w:rFonts w:ascii="Times New Roman" w:hAnsi="Times New Roman" w:cs="Times New Roman"/>
              </w:rPr>
              <w:t xml:space="preserve">, </w:t>
            </w:r>
            <w:proofErr w:type="spellStart"/>
            <w:r>
              <w:rPr>
                <w:rFonts w:ascii="Times New Roman" w:hAnsi="Times New Roman" w:cs="Times New Roman"/>
              </w:rPr>
              <w:t>ceritinib</w:t>
            </w:r>
            <w:proofErr w:type="spellEnd"/>
            <w:r>
              <w:rPr>
                <w:rFonts w:ascii="Times New Roman" w:hAnsi="Times New Roman" w:cs="Times New Roman"/>
              </w:rPr>
              <w:t xml:space="preserve">, or </w:t>
            </w:r>
            <w:proofErr w:type="spellStart"/>
            <w:r>
              <w:rPr>
                <w:rFonts w:ascii="Times New Roman" w:hAnsi="Times New Roman" w:cs="Times New Roman"/>
              </w:rPr>
              <w:t>brigatinib</w:t>
            </w:r>
            <w:proofErr w:type="spellEnd"/>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proofErr w:type="spellStart"/>
            <w:r>
              <w:rPr>
                <w:rFonts w:ascii="Times New Roman" w:hAnsi="Times New Roman" w:cs="Times New Roman"/>
              </w:rPr>
              <w:t>Crizotinib</w:t>
            </w:r>
            <w:proofErr w:type="spellEnd"/>
            <w:r>
              <w:rPr>
                <w:rFonts w:ascii="Times New Roman" w:hAnsi="Times New Roman" w:cs="Times New Roman"/>
              </w:rPr>
              <w:t xml:space="preserve">, </w:t>
            </w:r>
            <w:proofErr w:type="spellStart"/>
            <w:r>
              <w:rPr>
                <w:rFonts w:ascii="Times New Roman" w:hAnsi="Times New Roman" w:cs="Times New Roman"/>
              </w:rPr>
              <w:t>entrectinib</w:t>
            </w:r>
            <w:proofErr w:type="spellEnd"/>
            <w:r>
              <w:rPr>
                <w:rFonts w:ascii="Times New Roman" w:hAnsi="Times New Roman" w:cs="Times New Roman"/>
              </w:rPr>
              <w:t xml:space="preserve">, or </w:t>
            </w:r>
            <w:proofErr w:type="spellStart"/>
            <w:r>
              <w:rPr>
                <w:rFonts w:ascii="Times New Roman" w:hAnsi="Times New Roman" w:cs="Times New Roman"/>
              </w:rPr>
              <w:t>repotrectinib</w:t>
            </w:r>
            <w:proofErr w:type="spellEnd"/>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 xml:space="preserve">enib/trametinib, </w:t>
            </w:r>
            <w:proofErr w:type="spellStart"/>
            <w:r w:rsidR="001E6BF1">
              <w:rPr>
                <w:rFonts w:ascii="Times New Roman" w:hAnsi="Times New Roman" w:cs="Times New Roman"/>
              </w:rPr>
              <w:t>binimetinib</w:t>
            </w:r>
            <w:proofErr w:type="spellEnd"/>
            <w:r w:rsidR="001E6BF1">
              <w:rPr>
                <w:rFonts w:ascii="Times New Roman" w:hAnsi="Times New Roman" w:cs="Times New Roman"/>
              </w:rPr>
              <w:t>/</w:t>
            </w:r>
            <w:proofErr w:type="spellStart"/>
            <w:r w:rsidR="001E6BF1">
              <w:rPr>
                <w:rFonts w:ascii="Times New Roman" w:hAnsi="Times New Roman" w:cs="Times New Roman"/>
              </w:rPr>
              <w:t>encorafenib</w:t>
            </w:r>
            <w:proofErr w:type="spellEnd"/>
            <w:r w:rsidR="001E6BF1">
              <w:rPr>
                <w:rFonts w:ascii="Times New Roman" w:hAnsi="Times New Roman" w:cs="Times New Roman"/>
              </w:rPr>
              <w:t xml:space="preserve">, dabrafenib, </w:t>
            </w:r>
            <w:proofErr w:type="spellStart"/>
            <w:r w:rsidR="001E6BF1">
              <w:rPr>
                <w:rFonts w:ascii="Times New Roman" w:hAnsi="Times New Roman" w:cs="Times New Roman"/>
              </w:rPr>
              <w:t>tramatenib</w:t>
            </w:r>
            <w:proofErr w:type="spellEnd"/>
            <w:r w:rsidR="001E6BF1">
              <w:rPr>
                <w:rFonts w:ascii="Times New Roman" w:hAnsi="Times New Roman" w:cs="Times New Roman"/>
              </w:rPr>
              <w:t xml:space="preserve">, </w:t>
            </w:r>
            <w:proofErr w:type="spellStart"/>
            <w:r w:rsidR="001E6BF1">
              <w:rPr>
                <w:rFonts w:ascii="Times New Roman" w:hAnsi="Times New Roman" w:cs="Times New Roman"/>
              </w:rPr>
              <w:t>binimetinib</w:t>
            </w:r>
            <w:proofErr w:type="spellEnd"/>
            <w:r w:rsidR="001E6BF1">
              <w:rPr>
                <w:rFonts w:ascii="Times New Roman" w:hAnsi="Times New Roman" w:cs="Times New Roman"/>
              </w:rPr>
              <w:t xml:space="preserve">, or </w:t>
            </w:r>
            <w:proofErr w:type="spellStart"/>
            <w:r w:rsidR="001E6BF1">
              <w:rPr>
                <w:rFonts w:ascii="Times New Roman" w:hAnsi="Times New Roman" w:cs="Times New Roman"/>
              </w:rPr>
              <w:t>encorafenib</w:t>
            </w:r>
            <w:proofErr w:type="spellEnd"/>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proofErr w:type="spellStart"/>
            <w:r>
              <w:rPr>
                <w:rFonts w:ascii="Times New Roman" w:hAnsi="Times New Roman" w:cs="Times New Roman"/>
              </w:rPr>
              <w:t>Sotorasib</w:t>
            </w:r>
            <w:proofErr w:type="spellEnd"/>
            <w:r>
              <w:rPr>
                <w:rFonts w:ascii="Times New Roman" w:hAnsi="Times New Roman" w:cs="Times New Roman"/>
              </w:rPr>
              <w:t xml:space="preserve"> or </w:t>
            </w:r>
            <w:proofErr w:type="spellStart"/>
            <w:r>
              <w:rPr>
                <w:rFonts w:ascii="Times New Roman" w:hAnsi="Times New Roman" w:cs="Times New Roman"/>
              </w:rPr>
              <w:t>adagrasib</w:t>
            </w:r>
            <w:proofErr w:type="spellEnd"/>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Vinorelbine, docetaxel, gemcitabine, pemetrexed, or paclitaxel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 xml:space="preserve">Imatinib, </w:t>
            </w:r>
            <w:proofErr w:type="spellStart"/>
            <w:r>
              <w:rPr>
                <w:rFonts w:ascii="Times New Roman" w:hAnsi="Times New Roman" w:cs="Times New Roman"/>
              </w:rPr>
              <w:t>dasatinib</w:t>
            </w:r>
            <w:proofErr w:type="spellEnd"/>
            <w:r>
              <w:rPr>
                <w:rFonts w:ascii="Times New Roman" w:hAnsi="Times New Roman" w:cs="Times New Roman"/>
              </w:rPr>
              <w:t>,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proofErr w:type="spellStart"/>
            <w:r>
              <w:rPr>
                <w:rFonts w:ascii="Times New Roman" w:hAnsi="Times New Roman" w:cs="Times New Roman"/>
              </w:rPr>
              <w:t>Capmatinib</w:t>
            </w:r>
            <w:proofErr w:type="spellEnd"/>
            <w:r>
              <w:rPr>
                <w:rFonts w:ascii="Times New Roman" w:hAnsi="Times New Roman" w:cs="Times New Roman"/>
              </w:rPr>
              <w:t xml:space="preserve"> or </w:t>
            </w:r>
            <w:proofErr w:type="spellStart"/>
            <w:r>
              <w:rPr>
                <w:rFonts w:ascii="Times New Roman" w:hAnsi="Times New Roman" w:cs="Times New Roman"/>
              </w:rPr>
              <w:t>tepotinib</w:t>
            </w:r>
            <w:proofErr w:type="spellEnd"/>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6AA696F7" w:rsidR="004E4A72" w:rsidRDefault="003F078E"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FA6AEF" wp14:editId="354DC5A8">
            <wp:extent cx="5632315" cy="4206470"/>
            <wp:effectExtent l="0" t="0" r="0" b="0"/>
            <wp:docPr id="1102221905" name="Picture 1" descr="A diagram of a dise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21905" name="Picture 1" descr="A diagram of a diseas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48925" cy="4218875"/>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51EFF6F4" w:rsidR="00195978" w:rsidRDefault="00195978" w:rsidP="00195978">
      <w:pPr>
        <w:rPr>
          <w:rFonts w:ascii="Times New Roman" w:hAnsi="Times New Roman" w:cs="Times New Roman"/>
          <w:b/>
          <w:bCs/>
        </w:rPr>
      </w:pPr>
    </w:p>
    <w:p w14:paraId="5847B3AC" w14:textId="3A637AD5" w:rsidR="00521F4D" w:rsidRPr="00486B1A" w:rsidRDefault="00521F4D" w:rsidP="00195978">
      <w:pPr>
        <w:rPr>
          <w:rFonts w:ascii="Times New Roman" w:hAnsi="Times New Roman" w:cs="Times New Roman"/>
        </w:rPr>
      </w:pPr>
      <w:r>
        <w:rPr>
          <w:rFonts w:ascii="Times New Roman" w:hAnsi="Times New Roman" w:cs="Times New Roman"/>
        </w:rPr>
        <w:t>First</w:t>
      </w:r>
      <w:r w:rsidR="00F313AE">
        <w:rPr>
          <w:rFonts w:ascii="Times New Roman" w:hAnsi="Times New Roman" w:cs="Times New Roman"/>
        </w:rPr>
        <w:t>,</w:t>
      </w:r>
      <w:r>
        <w:rPr>
          <w:rFonts w:ascii="Times New Roman" w:hAnsi="Times New Roman" w:cs="Times New Roman"/>
        </w:rPr>
        <w:t xml:space="preserve"> we performed propensity score matching (PSM) at various PD-L1 threshold to compare the efficacy of IO monotherapy vs chemotherapy.</w:t>
      </w:r>
      <w:r w:rsidR="00F313AE">
        <w:rPr>
          <w:rFonts w:ascii="Times New Roman" w:hAnsi="Times New Roman" w:cs="Times New Roman"/>
        </w:rPr>
        <w:t xml:space="preserve"> </w:t>
      </w:r>
      <w:r w:rsidR="003642A1">
        <w:rPr>
          <w:rFonts w:ascii="Times New Roman" w:hAnsi="Times New Roman" w:cs="Times New Roman"/>
        </w:rPr>
        <w:t xml:space="preserve">This way, after adjusting for confounders, we can examine at what threshold IO monotherapy begins to outperform chemotherapy within this specific cohort. </w:t>
      </w:r>
      <w:r w:rsidR="00CF7184">
        <w:rPr>
          <w:rFonts w:ascii="Times New Roman" w:hAnsi="Times New Roman" w:cs="Times New Roman"/>
        </w:rPr>
        <w:t xml:space="preserve">We performed </w:t>
      </w:r>
      <w:r w:rsidR="00486B1A">
        <w:rPr>
          <w:rFonts w:ascii="Times New Roman" w:hAnsi="Times New Roman" w:cs="Times New Roman"/>
        </w:rPr>
        <w:t xml:space="preserve">1:1 </w:t>
      </w:r>
      <w:r w:rsidR="00CF7184">
        <w:rPr>
          <w:rFonts w:ascii="Times New Roman" w:hAnsi="Times New Roman" w:cs="Times New Roman"/>
        </w:rPr>
        <w:t xml:space="preserve">PSM </w:t>
      </w:r>
      <w:r w:rsidR="00486B1A">
        <w:rPr>
          <w:rFonts w:ascii="Times New Roman" w:hAnsi="Times New Roman" w:cs="Times New Roman"/>
        </w:rPr>
        <w:t xml:space="preserve">with replacement </w:t>
      </w:r>
      <w:r w:rsidR="00CF7184">
        <w:rPr>
          <w:rFonts w:ascii="Times New Roman" w:hAnsi="Times New Roman" w:cs="Times New Roman"/>
        </w:rPr>
        <w:t>separately for patients with PD-L1 &gt;= 1%, 10%, 20%, 30%, 40%, 50%, 60%, 70%, 80%, 90%, and 100%</w:t>
      </w:r>
      <w:r w:rsidR="00486B1A">
        <w:rPr>
          <w:rFonts w:ascii="Times New Roman" w:hAnsi="Times New Roman" w:cs="Times New Roman"/>
        </w:rPr>
        <w:t xml:space="preserve"> using the </w:t>
      </w:r>
      <w:proofErr w:type="spellStart"/>
      <w:r w:rsidR="00486B1A">
        <w:rPr>
          <w:rFonts w:ascii="Times New Roman" w:hAnsi="Times New Roman" w:cs="Times New Roman"/>
          <w:i/>
          <w:iCs/>
        </w:rPr>
        <w:t>teffects</w:t>
      </w:r>
      <w:proofErr w:type="spellEnd"/>
      <w:r w:rsidR="00486B1A">
        <w:rPr>
          <w:rFonts w:ascii="Times New Roman" w:hAnsi="Times New Roman" w:cs="Times New Roman"/>
        </w:rPr>
        <w:t xml:space="preserve"> library in Stata. </w:t>
      </w:r>
      <w:r w:rsidR="00B83CFF">
        <w:rPr>
          <w:rFonts w:ascii="Times New Roman" w:hAnsi="Times New Roman" w:cs="Times New Roman"/>
        </w:rPr>
        <w:t xml:space="preserve">PSM provides an average treatment effect (ATE), </w:t>
      </w:r>
      <w:r w:rsidR="00292FAD">
        <w:rPr>
          <w:rFonts w:ascii="Times New Roman" w:hAnsi="Times New Roman" w:cs="Times New Roman"/>
        </w:rPr>
        <w:t xml:space="preserve">which reflects the change in likelihood of 12-month progression for those on IO monotherapy as opposed to chemotherapy. </w:t>
      </w:r>
      <w:r w:rsidR="00E169B3">
        <w:rPr>
          <w:rFonts w:ascii="Times New Roman" w:hAnsi="Times New Roman" w:cs="Times New Roman"/>
        </w:rPr>
        <w:t xml:space="preserve">ATE is calculated similarly for 12-month mortality. </w:t>
      </w:r>
      <w:r w:rsidR="00B83CFF">
        <w:rPr>
          <w:rFonts w:ascii="Times New Roman" w:hAnsi="Times New Roman" w:cs="Times New Roman"/>
        </w:rPr>
        <w:t xml:space="preserve"> </w:t>
      </w:r>
    </w:p>
    <w:p w14:paraId="144ABEC5" w14:textId="77777777" w:rsidR="00195978" w:rsidRDefault="00195978" w:rsidP="008A7DFA">
      <w:pPr>
        <w:rPr>
          <w:rFonts w:ascii="Times New Roman" w:hAnsi="Times New Roman" w:cs="Times New Roman"/>
          <w:b/>
          <w:bCs/>
          <w:i/>
          <w:iCs/>
        </w:rPr>
      </w:pPr>
    </w:p>
    <w:p w14:paraId="339FF23D" w14:textId="1CEAD8FD" w:rsidR="008A7DFA" w:rsidRPr="00FF446B" w:rsidRDefault="00483B2E" w:rsidP="00483B2E">
      <w:pPr>
        <w:rPr>
          <w:rFonts w:ascii="Times New Roman" w:hAnsi="Times New Roman" w:cs="Times New Roman"/>
          <w:b/>
          <w:bCs/>
          <w:i/>
          <w:iCs/>
        </w:rPr>
      </w:pPr>
      <w:r>
        <w:rPr>
          <w:rFonts w:ascii="Times New Roman" w:hAnsi="Times New Roman" w:cs="Times New Roman"/>
          <w:b/>
          <w:bCs/>
          <w:i/>
          <w:iCs/>
        </w:rPr>
        <w:t>Instrumental</w:t>
      </w:r>
      <w:r w:rsidR="008A7DFA" w:rsidRPr="00FF446B">
        <w:rPr>
          <w:rFonts w:ascii="Times New Roman" w:hAnsi="Times New Roman" w:cs="Times New Roman"/>
          <w:b/>
          <w:bCs/>
          <w:i/>
          <w:iCs/>
        </w:rPr>
        <w:t xml:space="preserve"> </w:t>
      </w:r>
      <w:r>
        <w:rPr>
          <w:rFonts w:ascii="Times New Roman" w:hAnsi="Times New Roman" w:cs="Times New Roman"/>
          <w:b/>
          <w:bCs/>
          <w:i/>
          <w:iCs/>
        </w:rPr>
        <w:t>Variable</w:t>
      </w:r>
      <w:r w:rsidR="008A7DFA" w:rsidRPr="00FF446B">
        <w:rPr>
          <w:rFonts w:ascii="Times New Roman" w:hAnsi="Times New Roman" w:cs="Times New Roman"/>
          <w:b/>
          <w:bCs/>
          <w:i/>
          <w:iCs/>
        </w:rPr>
        <w:t xml:space="preserve"> Approach</w:t>
      </w:r>
    </w:p>
    <w:p w14:paraId="1A1CDF4F" w14:textId="77777777" w:rsidR="008A7DFA" w:rsidRDefault="008A7DFA" w:rsidP="008A7DFA">
      <w:pPr>
        <w:rPr>
          <w:rFonts w:ascii="Times New Roman" w:hAnsi="Times New Roman" w:cs="Times New Roman"/>
          <w:b/>
          <w:bCs/>
        </w:rPr>
      </w:pPr>
    </w:p>
    <w:p w14:paraId="16821E2A" w14:textId="4D7784E5" w:rsidR="004E454D" w:rsidRDefault="008A7DFA" w:rsidP="004E454D">
      <w:pPr>
        <w:rPr>
          <w:rFonts w:ascii="Times New Roman" w:hAnsi="Times New Roman" w:cs="Times New Roman"/>
        </w:rPr>
      </w:pPr>
      <w:r>
        <w:rPr>
          <w:rFonts w:ascii="Times New Roman" w:hAnsi="Times New Roman" w:cs="Times New Roman"/>
        </w:rPr>
        <w:t>We used a</w:t>
      </w:r>
      <w:r w:rsidR="00521F4D">
        <w:rPr>
          <w:rFonts w:ascii="Times New Roman" w:hAnsi="Times New Roman" w:cs="Times New Roman"/>
        </w:rPr>
        <w:t>n</w:t>
      </w:r>
      <w:r>
        <w:rPr>
          <w:rFonts w:ascii="Times New Roman" w:hAnsi="Times New Roman" w:cs="Times New Roman"/>
        </w:rPr>
        <w:t xml:space="preserve"> </w:t>
      </w:r>
      <w:r w:rsidR="00483B2E">
        <w:rPr>
          <w:rFonts w:ascii="Times New Roman" w:hAnsi="Times New Roman" w:cs="Times New Roman"/>
        </w:rPr>
        <w:t xml:space="preserve">instrumental variable (IV) analysis to examine </w:t>
      </w:r>
      <w:r>
        <w:rPr>
          <w:rFonts w:ascii="Times New Roman" w:hAnsi="Times New Roman" w:cs="Times New Roman"/>
        </w:rPr>
        <w:t xml:space="preserve">the effect of IO monotherapy versus chemotherapy for patients who were just above or just below the PD-L1 threshold of 50%. </w:t>
      </w:r>
      <w:r w:rsidR="00483B2E">
        <w:rPr>
          <w:rFonts w:ascii="Times New Roman" w:hAnsi="Times New Roman" w:cs="Times New Roman"/>
        </w:rPr>
        <w:t>We used whether the patient met the 50% PD-L1 threshold as our instrument</w:t>
      </w:r>
      <w:r w:rsidR="00CA3F37">
        <w:rPr>
          <w:rFonts w:ascii="Times New Roman" w:hAnsi="Times New Roman" w:cs="Times New Roman"/>
        </w:rPr>
        <w:t xml:space="preserve"> since meeting the threshold increases the likelihood of receiving IO monotherapy but does not directly affect the likelihood of 12-month PFS or OS. </w:t>
      </w:r>
      <w:r w:rsidR="00483B2E">
        <w:rPr>
          <w:rFonts w:ascii="Times New Roman" w:hAnsi="Times New Roman" w:cs="Times New Roman"/>
        </w:rPr>
        <w:t xml:space="preserve">Since patient characteristics values are likely comparable between patients who are just above or below the 50% threshold, the IV analysis allows for a form of pseudo-randomization. </w:t>
      </w:r>
      <w:r w:rsidR="004E454D">
        <w:rPr>
          <w:rFonts w:ascii="Times New Roman" w:hAnsi="Times New Roman" w:cs="Times New Roman"/>
        </w:rPr>
        <w:lastRenderedPageBreak/>
        <w:t xml:space="preserve">Given that our outcomes of interest are binary, we used a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In the first stage, a regression is performed to model how IO monotherapy is allocated based on the instrument (whether the patient’s PD-L1 &gt;=50%). In the second stage, a regression is performed to predict the outcome of interest while adjusting for the likelihood of receiving IO monotherapy and other covariates. We choose to examine patients whose PD-L1 values lie in the range </w:t>
      </w:r>
      <w:r w:rsidR="008C2049">
        <w:rPr>
          <w:rFonts w:ascii="Times New Roman" w:hAnsi="Times New Roman" w:cs="Times New Roman"/>
        </w:rPr>
        <w:t>3</w:t>
      </w:r>
      <w:r w:rsidR="004E454D">
        <w:rPr>
          <w:rFonts w:ascii="Times New Roman" w:hAnsi="Times New Roman" w:cs="Times New Roman"/>
        </w:rPr>
        <w:t xml:space="preserve">0% to 60% as well as 30% to 70%. The results of the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is the local average treatment effect of IO monotherapy versus chemotherapy for those patients who exist in the specified range. </w:t>
      </w:r>
      <w:r w:rsidR="00985801">
        <w:rPr>
          <w:rFonts w:ascii="Times New Roman" w:hAnsi="Times New Roman" w:cs="Times New Roman"/>
        </w:rPr>
        <w:t xml:space="preserve">We used robust standard errors in fitting the model. </w:t>
      </w: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w:t>
      </w:r>
      <w:proofErr w:type="spellStart"/>
      <w:r w:rsidR="003616E5">
        <w:rPr>
          <w:rFonts w:ascii="Times New Roman" w:hAnsi="Times New Roman" w:cs="Times New Roman"/>
        </w:rPr>
        <w:t>XGBoost</w:t>
      </w:r>
      <w:proofErr w:type="spellEnd"/>
      <w:r w:rsidR="003616E5">
        <w:rPr>
          <w:rFonts w:ascii="Times New Roman" w:hAnsi="Times New Roman" w:cs="Times New Roman"/>
        </w:rPr>
        <w:t xml:space="preserve"> binary classifier using the </w:t>
      </w:r>
      <w:proofErr w:type="spellStart"/>
      <w:r w:rsidR="003616E5">
        <w:rPr>
          <w:rFonts w:ascii="Times New Roman" w:hAnsi="Times New Roman" w:cs="Times New Roman"/>
          <w:i/>
          <w:iCs/>
        </w:rPr>
        <w:t>sklearn</w:t>
      </w:r>
      <w:proofErr w:type="spellEnd"/>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Pr="004B7DBC" w:rsidRDefault="00777CBA" w:rsidP="00743BF5">
      <w:pPr>
        <w:rPr>
          <w:rFonts w:ascii="Times New Roman" w:hAnsi="Times New Roman" w:cs="Times New Roman"/>
        </w:rPr>
      </w:pPr>
    </w:p>
    <w:p w14:paraId="64306A50" w14:textId="50EE2681" w:rsidR="00BF5DEB" w:rsidRDefault="00241291" w:rsidP="004B7DBC">
      <w:pPr>
        <w:rPr>
          <w:rFonts w:ascii="Times New Roman" w:hAnsi="Times New Roman" w:cs="Times New Roman"/>
        </w:rPr>
      </w:pPr>
      <w:r w:rsidRPr="004B7DBC">
        <w:rPr>
          <w:rFonts w:ascii="Times New Roman" w:hAnsi="Times New Roman" w:cs="Times New Roman"/>
        </w:rPr>
        <w:t>78354 patients were available in the entire dataset. Once exclusion criteria were applied, the sample decreased to 34173 patients.</w:t>
      </w:r>
      <w:r w:rsidR="009F3AC7" w:rsidRPr="004B7DBC">
        <w:rPr>
          <w:rFonts w:ascii="Times New Roman" w:hAnsi="Times New Roman" w:cs="Times New Roman"/>
        </w:rPr>
        <w:t xml:space="preserve"> 22785 (66.7%) experienced disease progression </w:t>
      </w:r>
      <w:r w:rsidR="006E028B" w:rsidRPr="004B7DBC">
        <w:rPr>
          <w:rFonts w:ascii="Times New Roman" w:hAnsi="Times New Roman" w:cs="Times New Roman"/>
        </w:rPr>
        <w:t>and</w:t>
      </w:r>
      <w:r w:rsidR="009F3AC7" w:rsidRPr="004B7DBC">
        <w:rPr>
          <w:rFonts w:ascii="Times New Roman" w:hAnsi="Times New Roman" w:cs="Times New Roman"/>
        </w:rPr>
        <w:t xml:space="preserve"> </w:t>
      </w:r>
      <w:r w:rsidR="006E028B" w:rsidRPr="004B7DBC">
        <w:rPr>
          <w:rFonts w:ascii="Times New Roman" w:hAnsi="Times New Roman" w:cs="Times New Roman"/>
        </w:rPr>
        <w:t xml:space="preserve">12060 (35.3%) died within 12 months of first-line therapy initiation. </w:t>
      </w:r>
      <w:r w:rsidR="00AE69F7" w:rsidRPr="004B7DBC">
        <w:rPr>
          <w:rFonts w:ascii="Times New Roman" w:hAnsi="Times New Roman" w:cs="Times New Roman"/>
        </w:rPr>
        <w:t xml:space="preserve">17379 (50.9%) received doublet chemotherapy, 3838 (11.2%) received IO monotherapy, 4283 (12.5%) received combination therapy, and 8673 (25.4%) received another form of first-line therapy.  </w:t>
      </w:r>
      <w:r w:rsidRPr="004B7DBC">
        <w:rPr>
          <w:rFonts w:ascii="Times New Roman" w:hAnsi="Times New Roman" w:cs="Times New Roman"/>
        </w:rPr>
        <w:t>PD-L1 testing was reported for 13227 (</w:t>
      </w:r>
      <w:r w:rsidR="00BB279A" w:rsidRPr="004B7DBC">
        <w:rPr>
          <w:rFonts w:ascii="Times New Roman" w:hAnsi="Times New Roman" w:cs="Times New Roman"/>
        </w:rPr>
        <w:t>38.7</w:t>
      </w:r>
      <w:r w:rsidRPr="004B7DBC">
        <w:rPr>
          <w:rFonts w:ascii="Times New Roman" w:hAnsi="Times New Roman" w:cs="Times New Roman"/>
        </w:rPr>
        <w:t>%) patients in the cohort.</w:t>
      </w:r>
      <w:r w:rsidR="00A51404" w:rsidRPr="004B7DBC">
        <w:rPr>
          <w:rFonts w:ascii="Times New Roman" w:hAnsi="Times New Roman" w:cs="Times New Roman"/>
        </w:rPr>
        <w:t xml:space="preserve"> Of the patients </w:t>
      </w:r>
      <w:r w:rsidR="00815743" w:rsidRPr="004B7DBC">
        <w:rPr>
          <w:rFonts w:ascii="Times New Roman" w:hAnsi="Times New Roman" w:cs="Times New Roman"/>
        </w:rPr>
        <w:t xml:space="preserve">for whom PD-L1 status was available, 4308 (32.6%) had PD-L1 expression &gt;= 50%, 4076 (30.8%) had 1% &lt;= PD-L1 &lt; 50%, and 4843 (36.6%) were confirmed to be negative. </w:t>
      </w:r>
      <w:r w:rsidR="00777CBA" w:rsidRPr="004B7DBC">
        <w:rPr>
          <w:rFonts w:ascii="Times New Roman" w:hAnsi="Times New Roman" w:cs="Times New Roman"/>
        </w:rPr>
        <w:t xml:space="preserve">The demographic makeup of our cohort can be seen in </w:t>
      </w:r>
      <w:r w:rsidR="00090F09" w:rsidRPr="004B7DBC">
        <w:rPr>
          <w:rFonts w:ascii="Times New Roman" w:hAnsi="Times New Roman" w:cs="Times New Roman"/>
        </w:rPr>
        <w:t>Table</w:t>
      </w:r>
      <w:r w:rsidR="00777CBA" w:rsidRPr="004B7DBC">
        <w:rPr>
          <w:rFonts w:ascii="Times New Roman" w:hAnsi="Times New Roman" w:cs="Times New Roman"/>
        </w:rPr>
        <w:t xml:space="preserve"> </w:t>
      </w:r>
      <w:r w:rsidR="00535108" w:rsidRPr="004B7DBC">
        <w:rPr>
          <w:rFonts w:ascii="Times New Roman" w:hAnsi="Times New Roman" w:cs="Times New Roman"/>
        </w:rPr>
        <w:t>1.</w:t>
      </w:r>
      <w:r w:rsidR="00777CBA" w:rsidRPr="004B7DBC">
        <w:rPr>
          <w:rFonts w:ascii="Times New Roman" w:hAnsi="Times New Roman" w:cs="Times New Roman"/>
        </w:rPr>
        <w:t xml:space="preserve"> </w:t>
      </w:r>
    </w:p>
    <w:p w14:paraId="6A542BD5" w14:textId="77777777" w:rsidR="004B7DBC" w:rsidRPr="004B7DBC" w:rsidRDefault="004B7DBC" w:rsidP="004B7DBC">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5E649952" w:rsidR="00D92E2F" w:rsidRPr="009428B5" w:rsidRDefault="005D01E6" w:rsidP="00EA297A">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w:t>
      </w:r>
      <w:r w:rsidR="008B5062" w:rsidRPr="009428B5">
        <w:rPr>
          <w:rFonts w:ascii="Times New Roman" w:hAnsi="Times New Roman" w:cs="Times New Roman"/>
        </w:rPr>
        <w:t xml:space="preserve">patients in the IO monotherapy group with PD-L1 &gt;= 50% had improved 12-month PFS (HR 0.59 [0.45, 0.79], p &lt; 0.0001) compared to those with PD-L1 &lt; 50%. </w:t>
      </w:r>
      <w:r w:rsidR="00D92E2F" w:rsidRPr="009428B5">
        <w:rPr>
          <w:rFonts w:ascii="Times New Roman" w:hAnsi="Times New Roman" w:cs="Times New Roman"/>
        </w:rPr>
        <w:t xml:space="preserve">There was no difference in 12-month PFS for patients with PD-L1 &gt;= 50% receiving chemotherapy (HR 0.89 [0.70, 1.13], p = 0.34) </w:t>
      </w:r>
    </w:p>
    <w:p w14:paraId="77D173DA" w14:textId="0966AD97" w:rsidR="005D01E6" w:rsidRDefault="00D92E2F" w:rsidP="00EA297A">
      <w:pPr>
        <w:rPr>
          <w:rFonts w:ascii="Times New Roman" w:hAnsi="Times New Roman" w:cs="Times New Roman"/>
        </w:rPr>
      </w:pPr>
      <w:r w:rsidRPr="009428B5">
        <w:rPr>
          <w:rFonts w:ascii="Times New Roman" w:hAnsi="Times New Roman" w:cs="Times New Roman"/>
        </w:rPr>
        <w:t xml:space="preserve">combination therapy (HR 0.85 [0.64, 1.13], p = 0.26) compared to those with PD-L1 &lt; 50%. </w:t>
      </w:r>
      <w:r w:rsidR="000C523E" w:rsidRPr="009428B5">
        <w:rPr>
          <w:rFonts w:ascii="Times New Roman" w:hAnsi="Times New Roman" w:cs="Times New Roman"/>
        </w:rPr>
        <w:t xml:space="preserve">There was no difference in overall survival for these three treatment groups when stratifying by PD-L1 status. </w:t>
      </w:r>
      <w:r w:rsidRPr="009428B5">
        <w:rPr>
          <w:rFonts w:ascii="Times New Roman" w:hAnsi="Times New Roman" w:cs="Times New Roman"/>
        </w:rPr>
        <w:t xml:space="preserve"> </w:t>
      </w:r>
      <w:r w:rsidR="000C523E" w:rsidRPr="009428B5">
        <w:rPr>
          <w:rFonts w:ascii="Times New Roman" w:hAnsi="Times New Roman" w:cs="Times New Roman"/>
        </w:rPr>
        <w:t xml:space="preserve">Figures *** and *** demonstrate Kaplan-Meier survival curves for 12-month PFS and 12-month OS for these groups. </w:t>
      </w:r>
      <w:r w:rsidR="003F7197" w:rsidRPr="009428B5">
        <w:rPr>
          <w:rFonts w:ascii="Times New Roman" w:hAnsi="Times New Roman" w:cs="Times New Roman"/>
        </w:rPr>
        <w:t>Complete information regarding hazard ratios can be seen in Table ***.</w:t>
      </w:r>
    </w:p>
    <w:p w14:paraId="0B5CB997" w14:textId="77777777" w:rsidR="00736EC1" w:rsidRDefault="00736EC1" w:rsidP="00EA297A">
      <w:pPr>
        <w:rPr>
          <w:rFonts w:ascii="Times New Roman" w:hAnsi="Times New Roman" w:cs="Times New Roman"/>
        </w:rPr>
      </w:pPr>
    </w:p>
    <w:p w14:paraId="456206B8" w14:textId="77777777" w:rsidR="00691C0D" w:rsidRDefault="00691C0D" w:rsidP="00691C0D">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27A6208" wp14:editId="3C0FB7E8">
            <wp:extent cx="5758774" cy="3678360"/>
            <wp:effectExtent l="0" t="0" r="0" b="5080"/>
            <wp:docPr id="2115177281"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71184" cy="3686287"/>
                    </a:xfrm>
                    <a:prstGeom prst="rect">
                      <a:avLst/>
                    </a:prstGeom>
                  </pic:spPr>
                </pic:pic>
              </a:graphicData>
            </a:graphic>
          </wp:inline>
        </w:drawing>
      </w:r>
    </w:p>
    <w:p w14:paraId="5CA89CC8" w14:textId="77777777" w:rsidR="00691C0D" w:rsidRDefault="00691C0D" w:rsidP="00691C0D">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4B9379A0" w14:textId="77777777" w:rsidR="00691C0D" w:rsidRPr="001E780A" w:rsidRDefault="00691C0D" w:rsidP="00691C0D">
      <w:pPr>
        <w:rPr>
          <w:rFonts w:ascii="Times New Roman" w:hAnsi="Times New Roman" w:cs="Times New Roman"/>
        </w:rPr>
      </w:pPr>
      <w:r w:rsidRPr="0064500B">
        <w:rPr>
          <w:rFonts w:ascii="Times New Roman" w:hAnsi="Times New Roman" w:cs="Times New Roman"/>
        </w:rPr>
        <w:t>* = significant at the 0.05 level. **=significant at the 0.01 level.</w:t>
      </w:r>
    </w:p>
    <w:p w14:paraId="73ADC836" w14:textId="77777777" w:rsidR="00691C0D" w:rsidRDefault="00691C0D" w:rsidP="00691C0D">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0F0171" wp14:editId="54B734CD">
            <wp:extent cx="6290945" cy="4084955"/>
            <wp:effectExtent l="0" t="0" r="0" b="4445"/>
            <wp:docPr id="1142556653"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0945" cy="4084955"/>
                    </a:xfrm>
                    <a:prstGeom prst="rect">
                      <a:avLst/>
                    </a:prstGeom>
                  </pic:spPr>
                </pic:pic>
              </a:graphicData>
            </a:graphic>
          </wp:inline>
        </w:drawing>
      </w:r>
    </w:p>
    <w:p w14:paraId="6CE6BEB1" w14:textId="77777777" w:rsidR="00691C0D" w:rsidRDefault="00691C0D" w:rsidP="00691C0D">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6B2E8EE6" w14:textId="77777777" w:rsidR="00691C0D" w:rsidRPr="0064500B" w:rsidRDefault="00691C0D" w:rsidP="00691C0D">
      <w:pPr>
        <w:rPr>
          <w:rFonts w:ascii="Times New Roman" w:hAnsi="Times New Roman" w:cs="Times New Roman"/>
        </w:rPr>
      </w:pPr>
      <w:r w:rsidRPr="0064500B">
        <w:rPr>
          <w:rFonts w:ascii="Times New Roman" w:hAnsi="Times New Roman" w:cs="Times New Roman"/>
        </w:rPr>
        <w:t>* = significant at the 0.05 level. **=significant at the 0.01 level.</w:t>
      </w:r>
    </w:p>
    <w:p w14:paraId="7D2B379A" w14:textId="77777777" w:rsidR="00691C0D" w:rsidRDefault="00691C0D" w:rsidP="00691C0D">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691C0D" w:rsidRPr="0089483E" w14:paraId="38CB8AA4" w14:textId="77777777" w:rsidTr="00B40594">
        <w:tc>
          <w:tcPr>
            <w:tcW w:w="4860" w:type="dxa"/>
          </w:tcPr>
          <w:p w14:paraId="7E011271" w14:textId="77777777" w:rsidR="00691C0D" w:rsidRPr="00804F04" w:rsidRDefault="00691C0D" w:rsidP="00B40594">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0A2D70DD" w14:textId="77777777" w:rsidR="00691C0D" w:rsidRPr="00804F04" w:rsidRDefault="00691C0D" w:rsidP="00B40594">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671" w:type="dxa"/>
          </w:tcPr>
          <w:p w14:paraId="0C4F92D9" w14:textId="77777777" w:rsidR="00691C0D" w:rsidRPr="00804F04" w:rsidRDefault="00691C0D" w:rsidP="00B40594">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520" w:type="dxa"/>
          </w:tcPr>
          <w:p w14:paraId="63C14A06" w14:textId="77777777" w:rsidR="00691C0D" w:rsidRPr="00804F04" w:rsidRDefault="00691C0D" w:rsidP="00B40594">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941B50E" w14:textId="77777777" w:rsidR="00691C0D" w:rsidRPr="00804F04" w:rsidRDefault="00691C0D" w:rsidP="00B40594">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691C0D" w:rsidRPr="0089483E" w14:paraId="265F9549" w14:textId="77777777" w:rsidTr="00B40594">
        <w:tc>
          <w:tcPr>
            <w:tcW w:w="4860" w:type="dxa"/>
          </w:tcPr>
          <w:p w14:paraId="73928406" w14:textId="77777777" w:rsidR="00691C0D" w:rsidRPr="00804F04" w:rsidRDefault="00691C0D" w:rsidP="00B40594">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6DFE133" w14:textId="77777777" w:rsidR="00691C0D" w:rsidRPr="00804F04" w:rsidRDefault="00691C0D" w:rsidP="00B40594">
            <w:pPr>
              <w:jc w:val="center"/>
              <w:rPr>
                <w:rFonts w:ascii="Times New Roman" w:hAnsi="Times New Roman" w:cs="Times New Roman"/>
                <w:sz w:val="22"/>
                <w:szCs w:val="22"/>
              </w:rPr>
            </w:pPr>
          </w:p>
        </w:tc>
        <w:tc>
          <w:tcPr>
            <w:tcW w:w="671" w:type="dxa"/>
          </w:tcPr>
          <w:p w14:paraId="65CF4781" w14:textId="77777777" w:rsidR="00691C0D" w:rsidRPr="00804F04" w:rsidRDefault="00691C0D" w:rsidP="00B40594">
            <w:pPr>
              <w:jc w:val="center"/>
              <w:rPr>
                <w:rFonts w:ascii="Times New Roman" w:hAnsi="Times New Roman" w:cs="Times New Roman"/>
                <w:sz w:val="22"/>
                <w:szCs w:val="22"/>
              </w:rPr>
            </w:pPr>
          </w:p>
        </w:tc>
        <w:tc>
          <w:tcPr>
            <w:tcW w:w="2520" w:type="dxa"/>
          </w:tcPr>
          <w:p w14:paraId="5BF701DE" w14:textId="77777777" w:rsidR="00691C0D" w:rsidRPr="00804F04" w:rsidRDefault="00691C0D" w:rsidP="00B40594">
            <w:pPr>
              <w:jc w:val="center"/>
              <w:rPr>
                <w:rFonts w:ascii="Times New Roman" w:hAnsi="Times New Roman" w:cs="Times New Roman"/>
                <w:sz w:val="22"/>
                <w:szCs w:val="22"/>
              </w:rPr>
            </w:pPr>
          </w:p>
        </w:tc>
        <w:tc>
          <w:tcPr>
            <w:tcW w:w="926" w:type="dxa"/>
          </w:tcPr>
          <w:p w14:paraId="2E0F91F8" w14:textId="77777777" w:rsidR="00691C0D" w:rsidRPr="00804F04" w:rsidRDefault="00691C0D" w:rsidP="00B40594">
            <w:pPr>
              <w:jc w:val="center"/>
              <w:rPr>
                <w:rFonts w:ascii="Times New Roman" w:hAnsi="Times New Roman" w:cs="Times New Roman"/>
                <w:sz w:val="22"/>
                <w:szCs w:val="22"/>
              </w:rPr>
            </w:pPr>
          </w:p>
        </w:tc>
      </w:tr>
      <w:tr w:rsidR="00691C0D" w:rsidRPr="0089483E" w14:paraId="222F8698" w14:textId="77777777" w:rsidTr="00B40594">
        <w:tc>
          <w:tcPr>
            <w:tcW w:w="4860" w:type="dxa"/>
          </w:tcPr>
          <w:p w14:paraId="3BEEE238"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566949DF"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2043CD73"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642D7BA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3FEDD5CA" w14:textId="77777777" w:rsidR="00691C0D" w:rsidRPr="00772E0F" w:rsidRDefault="00691C0D" w:rsidP="00B40594">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691C0D" w:rsidRPr="0089483E" w14:paraId="0225AAF2" w14:textId="77777777" w:rsidTr="00B40594">
        <w:tc>
          <w:tcPr>
            <w:tcW w:w="4860" w:type="dxa"/>
          </w:tcPr>
          <w:p w14:paraId="144B3164"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23B27756"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1098E5F4"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54BA6E99"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0F31BCD3"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0.34</w:t>
            </w:r>
          </w:p>
        </w:tc>
      </w:tr>
      <w:tr w:rsidR="00691C0D" w:rsidRPr="0089483E" w14:paraId="0D3381EE" w14:textId="77777777" w:rsidTr="00B40594">
        <w:tc>
          <w:tcPr>
            <w:tcW w:w="4860" w:type="dxa"/>
          </w:tcPr>
          <w:p w14:paraId="7A1BB38B"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13C3CD1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599FC3D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1292329"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0236D91B"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0.26</w:t>
            </w:r>
          </w:p>
        </w:tc>
      </w:tr>
      <w:tr w:rsidR="00691C0D" w:rsidRPr="0089483E" w14:paraId="693FE621" w14:textId="77777777" w:rsidTr="00B40594">
        <w:tc>
          <w:tcPr>
            <w:tcW w:w="4860" w:type="dxa"/>
          </w:tcPr>
          <w:p w14:paraId="0C0C45E2" w14:textId="77777777" w:rsidR="00691C0D" w:rsidRPr="00804F04" w:rsidRDefault="00691C0D" w:rsidP="00B4059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4DE19EF9" w14:textId="77777777" w:rsidR="00691C0D" w:rsidRPr="00804F04" w:rsidRDefault="00691C0D" w:rsidP="00B40594">
            <w:pPr>
              <w:jc w:val="center"/>
              <w:rPr>
                <w:rFonts w:ascii="Times New Roman" w:hAnsi="Times New Roman" w:cs="Times New Roman"/>
                <w:sz w:val="22"/>
                <w:szCs w:val="22"/>
              </w:rPr>
            </w:pPr>
          </w:p>
        </w:tc>
        <w:tc>
          <w:tcPr>
            <w:tcW w:w="671" w:type="dxa"/>
          </w:tcPr>
          <w:p w14:paraId="639C83A9" w14:textId="77777777" w:rsidR="00691C0D" w:rsidRPr="00804F04" w:rsidRDefault="00691C0D" w:rsidP="00B40594">
            <w:pPr>
              <w:jc w:val="center"/>
              <w:rPr>
                <w:rFonts w:ascii="Times New Roman" w:hAnsi="Times New Roman" w:cs="Times New Roman"/>
                <w:sz w:val="22"/>
                <w:szCs w:val="22"/>
              </w:rPr>
            </w:pPr>
          </w:p>
        </w:tc>
        <w:tc>
          <w:tcPr>
            <w:tcW w:w="2520" w:type="dxa"/>
          </w:tcPr>
          <w:p w14:paraId="0673CF1A" w14:textId="77777777" w:rsidR="00691C0D" w:rsidRPr="00804F04" w:rsidRDefault="00691C0D" w:rsidP="00B40594">
            <w:pPr>
              <w:jc w:val="center"/>
              <w:rPr>
                <w:rFonts w:ascii="Times New Roman" w:hAnsi="Times New Roman" w:cs="Times New Roman"/>
                <w:sz w:val="22"/>
                <w:szCs w:val="22"/>
              </w:rPr>
            </w:pPr>
          </w:p>
        </w:tc>
        <w:tc>
          <w:tcPr>
            <w:tcW w:w="926" w:type="dxa"/>
          </w:tcPr>
          <w:p w14:paraId="23DCD0B8" w14:textId="77777777" w:rsidR="00691C0D" w:rsidRPr="00804F04" w:rsidRDefault="00691C0D" w:rsidP="00B40594">
            <w:pPr>
              <w:jc w:val="center"/>
              <w:rPr>
                <w:rFonts w:ascii="Times New Roman" w:hAnsi="Times New Roman" w:cs="Times New Roman"/>
                <w:sz w:val="22"/>
                <w:szCs w:val="22"/>
              </w:rPr>
            </w:pPr>
          </w:p>
        </w:tc>
      </w:tr>
      <w:tr w:rsidR="00691C0D" w:rsidRPr="0089483E" w14:paraId="622F409A" w14:textId="77777777" w:rsidTr="00B40594">
        <w:tc>
          <w:tcPr>
            <w:tcW w:w="4860" w:type="dxa"/>
          </w:tcPr>
          <w:p w14:paraId="536C5E2C" w14:textId="77777777" w:rsidR="00691C0D" w:rsidRPr="00804F04" w:rsidRDefault="00691C0D" w:rsidP="00B40594">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F65A42F"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795895FB"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567EC893"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58E19C1F"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0.38</w:t>
            </w:r>
          </w:p>
        </w:tc>
      </w:tr>
      <w:tr w:rsidR="00691C0D" w:rsidRPr="0089483E" w14:paraId="2E38CA1D" w14:textId="77777777" w:rsidTr="00B40594">
        <w:tc>
          <w:tcPr>
            <w:tcW w:w="4860" w:type="dxa"/>
          </w:tcPr>
          <w:p w14:paraId="49CE5100"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0B064CE9"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0BC14D4E"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11BF67D4"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76FEF63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0.07</w:t>
            </w:r>
          </w:p>
        </w:tc>
      </w:tr>
      <w:tr w:rsidR="00691C0D" w:rsidRPr="0089483E" w14:paraId="6DA20168" w14:textId="77777777" w:rsidTr="00B40594">
        <w:tc>
          <w:tcPr>
            <w:tcW w:w="4860" w:type="dxa"/>
          </w:tcPr>
          <w:p w14:paraId="53AE9978"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6C426FC0"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4BC60CD0"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07E66F5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2E4A2609"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0.86</w:t>
            </w:r>
          </w:p>
        </w:tc>
      </w:tr>
    </w:tbl>
    <w:p w14:paraId="7B1CE053" w14:textId="77777777" w:rsidR="00691C0D" w:rsidRDefault="00691C0D" w:rsidP="00691C0D">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PD-L1 positive test-set patients stratified by PD-L1 status. L: 1% &lt;= PD-L1 &lt; 50% and H: PD-L1 &gt;=50%. All patients in this analysis are driver-mutation negative. </w:t>
      </w:r>
    </w:p>
    <w:p w14:paraId="5F345063" w14:textId="1791B923" w:rsidR="00691C0D" w:rsidRDefault="00691C0D" w:rsidP="00F346F5">
      <w:pPr>
        <w:rPr>
          <w:rFonts w:ascii="Times New Roman" w:hAnsi="Times New Roman" w:cs="Times New Roman"/>
        </w:rPr>
      </w:pPr>
      <w:r w:rsidRPr="0064500B">
        <w:rPr>
          <w:rFonts w:ascii="Times New Roman" w:hAnsi="Times New Roman" w:cs="Times New Roman"/>
        </w:rPr>
        <w:t>* = significant at the 0.05 level. **=significant at the 0.01 level.</w:t>
      </w:r>
    </w:p>
    <w:p w14:paraId="05A863AB" w14:textId="77777777" w:rsidR="00691C0D" w:rsidRDefault="00691C0D" w:rsidP="00EA297A">
      <w:pPr>
        <w:rPr>
          <w:rFonts w:ascii="Times New Roman" w:hAnsi="Times New Roman" w:cs="Times New Roman"/>
        </w:rPr>
      </w:pPr>
    </w:p>
    <w:p w14:paraId="554E8EDA" w14:textId="08E7ADB1" w:rsidR="00736EC1" w:rsidRPr="009428B5" w:rsidRDefault="00736EC1" w:rsidP="00691C0D">
      <w:pPr>
        <w:rPr>
          <w:rFonts w:ascii="Times New Roman" w:hAnsi="Times New Roman" w:cs="Times New Roman"/>
        </w:rPr>
      </w:pPr>
      <w:r>
        <w:rPr>
          <w:rFonts w:ascii="Times New Roman" w:hAnsi="Times New Roman" w:cs="Times New Roman"/>
        </w:rPr>
        <w:t xml:space="preserve">Following propensity score matching for patients who meet various thresholds, only patients with PD-L1 &gt;= 80% and PD-L1 of 100% saw significant 12-month PFS benefit with IO monotherapy relative to chemotherapy (-10.4% and -23.1%, respectively). </w:t>
      </w:r>
      <w:r w:rsidR="000B57BD">
        <w:rPr>
          <w:rFonts w:ascii="Times New Roman" w:hAnsi="Times New Roman" w:cs="Times New Roman"/>
        </w:rPr>
        <w:t xml:space="preserve">Graphical representation of ATE can be seen in Figure ***. </w:t>
      </w:r>
      <w:r w:rsidR="005650E7">
        <w:rPr>
          <w:rFonts w:ascii="Times New Roman" w:hAnsi="Times New Roman" w:cs="Times New Roman"/>
        </w:rPr>
        <w:t>All ATE for each threshold can be found in Table ***.</w:t>
      </w:r>
    </w:p>
    <w:p w14:paraId="72D436A9" w14:textId="6D622F4A" w:rsidR="005D01E6" w:rsidRDefault="00373993" w:rsidP="00691C0D">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ABD1B06" wp14:editId="710C743C">
            <wp:extent cx="4805464" cy="3194103"/>
            <wp:effectExtent l="0" t="0" r="0" b="0"/>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32525" cy="3212090"/>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7627AB47" w14:textId="77777777" w:rsidR="004B7DBC" w:rsidRDefault="004B7DBC" w:rsidP="00BD0D3C">
      <w:pPr>
        <w:rPr>
          <w:rFonts w:ascii="Times New Roman" w:hAnsi="Times New Roman" w:cs="Times New Roman"/>
          <w:b/>
          <w:bCs/>
        </w:rPr>
      </w:pP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11CF3EC3" w14:textId="77777777" w:rsidR="00D92657" w:rsidRDefault="00D92657" w:rsidP="004755C6">
      <w:pPr>
        <w:rPr>
          <w:rFonts w:ascii="Times New Roman" w:hAnsi="Times New Roman" w:cs="Times New Roman"/>
          <w:b/>
          <w:bCs/>
        </w:rPr>
      </w:pPr>
    </w:p>
    <w:p w14:paraId="47264F02" w14:textId="2F4E34AF" w:rsidR="009C1EC3" w:rsidRDefault="009C1EC3" w:rsidP="00691C0D">
      <w:pPr>
        <w:rPr>
          <w:rFonts w:ascii="Times New Roman" w:hAnsi="Times New Roman" w:cs="Times New Roman"/>
        </w:rPr>
      </w:pPr>
      <w:r>
        <w:rPr>
          <w:rFonts w:ascii="Times New Roman" w:hAnsi="Times New Roman" w:cs="Times New Roman"/>
        </w:rPr>
        <w:t xml:space="preserve">In the IV analysis following two-stage least-squares </w:t>
      </w:r>
      <w:proofErr w:type="spellStart"/>
      <w:r>
        <w:rPr>
          <w:rFonts w:ascii="Times New Roman" w:hAnsi="Times New Roman" w:cs="Times New Roman"/>
        </w:rPr>
        <w:t>biprobit</w:t>
      </w:r>
      <w:proofErr w:type="spellEnd"/>
      <w:r>
        <w:rPr>
          <w:rFonts w:ascii="Times New Roman" w:hAnsi="Times New Roman" w:cs="Times New Roman"/>
        </w:rPr>
        <w:t xml:space="preserve"> regression, there was no significant difference in likelihood of 12-month disease progression or 12-month mortality for patients with PD-L1 &gt;= 30% and PD-L1 &lt;= 60%. 326 patients had PD-L1 values between 30-49% and 760 patients had PD-L1 values between 50-69% in this analysis. </w:t>
      </w:r>
      <w:r w:rsidR="004565AC">
        <w:rPr>
          <w:rFonts w:ascii="Times New Roman" w:hAnsi="Times New Roman" w:cs="Times New Roman"/>
        </w:rPr>
        <w:t xml:space="preserve">The instrument in first-stage regression had an F-statistics of *** and *** for 12-month PFS and 12-month OS, respectively, illustrating that using the PD-L1 threshold of 50% is an appropriate instrument. </w:t>
      </w:r>
    </w:p>
    <w:p w14:paraId="58C2E828" w14:textId="77777777" w:rsidR="00F346F5" w:rsidRPr="00691C0D" w:rsidRDefault="00F346F5" w:rsidP="00691C0D">
      <w:pPr>
        <w:rPr>
          <w:rFonts w:ascii="Times New Roman" w:hAnsi="Times New Roman" w:cs="Times New Roman"/>
        </w:rPr>
      </w:pPr>
    </w:p>
    <w:tbl>
      <w:tblPr>
        <w:tblStyle w:val="TableGrid"/>
        <w:tblW w:w="0" w:type="auto"/>
        <w:tblLook w:val="04A0" w:firstRow="1" w:lastRow="0" w:firstColumn="1" w:lastColumn="0" w:noHBand="0" w:noVBand="1"/>
      </w:tblPr>
      <w:tblGrid>
        <w:gridCol w:w="2065"/>
        <w:gridCol w:w="1710"/>
        <w:gridCol w:w="1620"/>
        <w:gridCol w:w="1890"/>
        <w:gridCol w:w="1620"/>
        <w:gridCol w:w="990"/>
      </w:tblGrid>
      <w:tr w:rsidR="008C2049" w:rsidRPr="00216BD9" w14:paraId="1C4C614F" w14:textId="77777777" w:rsidTr="002A30BD">
        <w:tc>
          <w:tcPr>
            <w:tcW w:w="2065" w:type="dxa"/>
          </w:tcPr>
          <w:p w14:paraId="2738F1E3" w14:textId="249C0079" w:rsidR="008C2049" w:rsidRDefault="008C2049" w:rsidP="00D92657">
            <w:pPr>
              <w:jc w:val="center"/>
              <w:rPr>
                <w:rFonts w:ascii="Times New Roman" w:hAnsi="Times New Roman" w:cs="Times New Roman"/>
                <w:b/>
                <w:bCs/>
              </w:rPr>
            </w:pPr>
            <w:r>
              <w:rPr>
                <w:rFonts w:ascii="Times New Roman" w:hAnsi="Times New Roman" w:cs="Times New Roman"/>
                <w:b/>
                <w:bCs/>
              </w:rPr>
              <w:t>Outcome</w:t>
            </w:r>
          </w:p>
        </w:tc>
        <w:tc>
          <w:tcPr>
            <w:tcW w:w="1710" w:type="dxa"/>
            <w:vAlign w:val="bottom"/>
          </w:tcPr>
          <w:p w14:paraId="4594BB2C" w14:textId="32472B17"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under threshold</w:t>
            </w:r>
          </w:p>
        </w:tc>
        <w:tc>
          <w:tcPr>
            <w:tcW w:w="1620" w:type="dxa"/>
            <w:vAlign w:val="bottom"/>
          </w:tcPr>
          <w:p w14:paraId="75DD6C49" w14:textId="15A1E508"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over threshold</w:t>
            </w:r>
          </w:p>
        </w:tc>
        <w:tc>
          <w:tcPr>
            <w:tcW w:w="1890" w:type="dxa"/>
            <w:vAlign w:val="bottom"/>
          </w:tcPr>
          <w:p w14:paraId="4A901C89" w14:textId="0D11F4EE" w:rsidR="008C2049" w:rsidRPr="00216BD9" w:rsidRDefault="008C2049" w:rsidP="008C2049">
            <w:pPr>
              <w:rPr>
                <w:rFonts w:ascii="Times New Roman" w:hAnsi="Times New Roman" w:cs="Times New Roman"/>
                <w:b/>
                <w:bCs/>
              </w:rPr>
            </w:pPr>
            <w:r>
              <w:rPr>
                <w:rFonts w:ascii="Times New Roman" w:hAnsi="Times New Roman" w:cs="Times New Roman"/>
                <w:b/>
                <w:bCs/>
              </w:rPr>
              <w:t xml:space="preserve">Local average treatment effect </w:t>
            </w:r>
          </w:p>
        </w:tc>
        <w:tc>
          <w:tcPr>
            <w:tcW w:w="1620" w:type="dxa"/>
            <w:vAlign w:val="bottom"/>
          </w:tcPr>
          <w:p w14:paraId="15A3A2E4"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95% CI</w:t>
            </w:r>
          </w:p>
        </w:tc>
        <w:tc>
          <w:tcPr>
            <w:tcW w:w="990" w:type="dxa"/>
            <w:vAlign w:val="bottom"/>
          </w:tcPr>
          <w:p w14:paraId="41ACC69E"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p-value</w:t>
            </w:r>
          </w:p>
        </w:tc>
      </w:tr>
      <w:tr w:rsidR="008C2049" w:rsidRPr="00216BD9" w14:paraId="341AA09A" w14:textId="77777777" w:rsidTr="002A30BD">
        <w:tc>
          <w:tcPr>
            <w:tcW w:w="2065" w:type="dxa"/>
          </w:tcPr>
          <w:p w14:paraId="25121DCB" w14:textId="7514FD4C" w:rsidR="008C2049" w:rsidRDefault="008C2049" w:rsidP="008C2049">
            <w:pPr>
              <w:jc w:val="center"/>
              <w:rPr>
                <w:rFonts w:ascii="Times New Roman" w:hAnsi="Times New Roman" w:cs="Times New Roman"/>
                <w:b/>
                <w:bCs/>
              </w:rPr>
            </w:pPr>
            <w:r>
              <w:rPr>
                <w:rFonts w:ascii="Times New Roman" w:hAnsi="Times New Roman" w:cs="Times New Roman"/>
                <w:b/>
                <w:bCs/>
              </w:rPr>
              <w:t xml:space="preserve">12-month </w:t>
            </w:r>
            <w:r w:rsidR="002A30BD">
              <w:rPr>
                <w:rFonts w:ascii="Times New Roman" w:hAnsi="Times New Roman" w:cs="Times New Roman"/>
                <w:b/>
                <w:bCs/>
              </w:rPr>
              <w:t>Progression</w:t>
            </w:r>
          </w:p>
        </w:tc>
        <w:tc>
          <w:tcPr>
            <w:tcW w:w="1710" w:type="dxa"/>
            <w:vAlign w:val="bottom"/>
          </w:tcPr>
          <w:p w14:paraId="013A1F02" w14:textId="11CBFA68" w:rsidR="008C2049" w:rsidRPr="008C2049" w:rsidRDefault="002A30BD" w:rsidP="008C2049">
            <w:pPr>
              <w:jc w:val="center"/>
              <w:rPr>
                <w:rFonts w:ascii="Times New Roman" w:hAnsi="Times New Roman" w:cs="Times New Roman"/>
              </w:rPr>
            </w:pPr>
            <w:r>
              <w:rPr>
                <w:rFonts w:ascii="Times New Roman" w:hAnsi="Times New Roman" w:cs="Times New Roman"/>
              </w:rPr>
              <w:t>326</w:t>
            </w:r>
          </w:p>
        </w:tc>
        <w:tc>
          <w:tcPr>
            <w:tcW w:w="1620" w:type="dxa"/>
            <w:vAlign w:val="bottom"/>
          </w:tcPr>
          <w:p w14:paraId="2DC44108" w14:textId="1974BA6A" w:rsidR="008C2049" w:rsidRPr="008C2049" w:rsidRDefault="002A30BD" w:rsidP="008C2049">
            <w:pPr>
              <w:jc w:val="center"/>
              <w:rPr>
                <w:rFonts w:ascii="Times New Roman" w:hAnsi="Times New Roman" w:cs="Times New Roman"/>
              </w:rPr>
            </w:pPr>
            <w:r>
              <w:rPr>
                <w:rFonts w:ascii="Times New Roman" w:hAnsi="Times New Roman" w:cs="Times New Roman"/>
              </w:rPr>
              <w:t>760</w:t>
            </w:r>
          </w:p>
        </w:tc>
        <w:tc>
          <w:tcPr>
            <w:tcW w:w="1890" w:type="dxa"/>
            <w:vAlign w:val="bottom"/>
          </w:tcPr>
          <w:p w14:paraId="5CFF9750" w14:textId="5A6D76EC" w:rsidR="008C2049" w:rsidRPr="008C2049" w:rsidRDefault="002A30BD" w:rsidP="008C2049">
            <w:pPr>
              <w:jc w:val="center"/>
              <w:rPr>
                <w:rFonts w:ascii="Times New Roman" w:hAnsi="Times New Roman" w:cs="Times New Roman"/>
              </w:rPr>
            </w:pPr>
            <w:r>
              <w:rPr>
                <w:rFonts w:ascii="Times New Roman" w:hAnsi="Times New Roman" w:cs="Times New Roman"/>
              </w:rPr>
              <w:t xml:space="preserve">-11.9 </w:t>
            </w:r>
          </w:p>
        </w:tc>
        <w:tc>
          <w:tcPr>
            <w:tcW w:w="1620" w:type="dxa"/>
            <w:vAlign w:val="bottom"/>
          </w:tcPr>
          <w:p w14:paraId="545CC160" w14:textId="330D22D4" w:rsidR="008C2049" w:rsidRPr="008C2049" w:rsidRDefault="002A30BD" w:rsidP="008C2049">
            <w:pPr>
              <w:jc w:val="center"/>
              <w:rPr>
                <w:rFonts w:ascii="Times New Roman" w:hAnsi="Times New Roman" w:cs="Times New Roman"/>
                <w:color w:val="000000"/>
              </w:rPr>
            </w:pPr>
            <w:r>
              <w:rPr>
                <w:rFonts w:ascii="Times New Roman" w:hAnsi="Times New Roman" w:cs="Times New Roman"/>
              </w:rPr>
              <w:t>[-8</w:t>
            </w:r>
            <w:r w:rsidR="00906FE0">
              <w:rPr>
                <w:rFonts w:ascii="Times New Roman" w:hAnsi="Times New Roman" w:cs="Times New Roman"/>
              </w:rPr>
              <w:t>3.8</w:t>
            </w:r>
            <w:r>
              <w:rPr>
                <w:rFonts w:ascii="Times New Roman" w:hAnsi="Times New Roman" w:cs="Times New Roman"/>
              </w:rPr>
              <w:t>, 6</w:t>
            </w:r>
            <w:r w:rsidR="00906FE0">
              <w:rPr>
                <w:rFonts w:ascii="Times New Roman" w:hAnsi="Times New Roman" w:cs="Times New Roman"/>
              </w:rPr>
              <w:t>0</w:t>
            </w:r>
            <w:r>
              <w:rPr>
                <w:rFonts w:ascii="Times New Roman" w:hAnsi="Times New Roman" w:cs="Times New Roman"/>
              </w:rPr>
              <w:t>.0]</w:t>
            </w:r>
          </w:p>
        </w:tc>
        <w:tc>
          <w:tcPr>
            <w:tcW w:w="990" w:type="dxa"/>
            <w:vAlign w:val="bottom"/>
          </w:tcPr>
          <w:p w14:paraId="057351ED" w14:textId="038796A7" w:rsidR="008C2049" w:rsidRPr="008C2049" w:rsidRDefault="002A30BD" w:rsidP="008C2049">
            <w:pPr>
              <w:jc w:val="center"/>
              <w:rPr>
                <w:rFonts w:ascii="Times New Roman" w:hAnsi="Times New Roman" w:cs="Times New Roman"/>
                <w:color w:val="000000"/>
              </w:rPr>
            </w:pPr>
            <w:r>
              <w:rPr>
                <w:rFonts w:ascii="Times New Roman" w:hAnsi="Times New Roman" w:cs="Times New Roman"/>
                <w:color w:val="000000"/>
              </w:rPr>
              <w:t>0.75</w:t>
            </w:r>
          </w:p>
        </w:tc>
      </w:tr>
      <w:tr w:rsidR="002A30BD" w:rsidRPr="00216BD9" w14:paraId="2BADF6BA" w14:textId="77777777" w:rsidTr="002A30BD">
        <w:tc>
          <w:tcPr>
            <w:tcW w:w="2065" w:type="dxa"/>
          </w:tcPr>
          <w:p w14:paraId="2E413554" w14:textId="4AA100ED" w:rsidR="002A30BD" w:rsidRDefault="002A30BD" w:rsidP="002A30BD">
            <w:pPr>
              <w:jc w:val="center"/>
              <w:rPr>
                <w:rFonts w:ascii="Times New Roman" w:hAnsi="Times New Roman" w:cs="Times New Roman"/>
                <w:b/>
                <w:bCs/>
              </w:rPr>
            </w:pPr>
            <w:r>
              <w:rPr>
                <w:rFonts w:ascii="Times New Roman" w:hAnsi="Times New Roman" w:cs="Times New Roman"/>
                <w:b/>
                <w:bCs/>
              </w:rPr>
              <w:t>12-month Morta</w:t>
            </w:r>
            <w:r w:rsidR="00C20A11">
              <w:rPr>
                <w:rFonts w:ascii="Times New Roman" w:hAnsi="Times New Roman" w:cs="Times New Roman"/>
                <w:b/>
                <w:bCs/>
              </w:rPr>
              <w:t>l</w:t>
            </w:r>
            <w:r>
              <w:rPr>
                <w:rFonts w:ascii="Times New Roman" w:hAnsi="Times New Roman" w:cs="Times New Roman"/>
                <w:b/>
                <w:bCs/>
              </w:rPr>
              <w:t>ity</w:t>
            </w:r>
          </w:p>
        </w:tc>
        <w:tc>
          <w:tcPr>
            <w:tcW w:w="1710" w:type="dxa"/>
            <w:vAlign w:val="bottom"/>
          </w:tcPr>
          <w:p w14:paraId="36916CAB" w14:textId="1268A962" w:rsidR="002A30BD" w:rsidRPr="008C2049" w:rsidRDefault="002A30BD" w:rsidP="002A30BD">
            <w:pPr>
              <w:jc w:val="center"/>
              <w:rPr>
                <w:rFonts w:ascii="Times New Roman" w:hAnsi="Times New Roman" w:cs="Times New Roman"/>
              </w:rPr>
            </w:pPr>
            <w:r>
              <w:rPr>
                <w:rFonts w:ascii="Times New Roman" w:hAnsi="Times New Roman" w:cs="Times New Roman"/>
              </w:rPr>
              <w:t>326</w:t>
            </w:r>
          </w:p>
        </w:tc>
        <w:tc>
          <w:tcPr>
            <w:tcW w:w="1620" w:type="dxa"/>
            <w:vAlign w:val="bottom"/>
          </w:tcPr>
          <w:p w14:paraId="0402A8A0" w14:textId="5436C348" w:rsidR="002A30BD" w:rsidRPr="008C2049" w:rsidRDefault="002A30BD" w:rsidP="002A30BD">
            <w:pPr>
              <w:jc w:val="center"/>
              <w:rPr>
                <w:rFonts w:ascii="Times New Roman" w:hAnsi="Times New Roman" w:cs="Times New Roman"/>
              </w:rPr>
            </w:pPr>
            <w:r>
              <w:rPr>
                <w:rFonts w:ascii="Times New Roman" w:hAnsi="Times New Roman" w:cs="Times New Roman"/>
              </w:rPr>
              <w:t>760</w:t>
            </w:r>
          </w:p>
        </w:tc>
        <w:tc>
          <w:tcPr>
            <w:tcW w:w="1890" w:type="dxa"/>
            <w:vAlign w:val="bottom"/>
          </w:tcPr>
          <w:p w14:paraId="750BC70E" w14:textId="02CE5FA6" w:rsidR="002A30BD" w:rsidRPr="008C2049" w:rsidRDefault="002A30BD" w:rsidP="002A30BD">
            <w:pPr>
              <w:jc w:val="center"/>
              <w:rPr>
                <w:rFonts w:ascii="Times New Roman" w:hAnsi="Times New Roman" w:cs="Times New Roman"/>
              </w:rPr>
            </w:pPr>
            <w:r>
              <w:rPr>
                <w:rFonts w:ascii="Times New Roman" w:hAnsi="Times New Roman" w:cs="Times New Roman"/>
              </w:rPr>
              <w:t xml:space="preserve">22.7 </w:t>
            </w:r>
          </w:p>
        </w:tc>
        <w:tc>
          <w:tcPr>
            <w:tcW w:w="1620" w:type="dxa"/>
            <w:vAlign w:val="bottom"/>
          </w:tcPr>
          <w:p w14:paraId="5FE0687C" w14:textId="31B1843B"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[-56.</w:t>
            </w:r>
            <w:r w:rsidR="00906FE0">
              <w:rPr>
                <w:rFonts w:ascii="Times New Roman" w:hAnsi="Times New Roman" w:cs="Times New Roman"/>
                <w:color w:val="000000"/>
              </w:rPr>
              <w:t>2</w:t>
            </w:r>
            <w:r>
              <w:rPr>
                <w:rFonts w:ascii="Times New Roman" w:hAnsi="Times New Roman" w:cs="Times New Roman"/>
                <w:color w:val="000000"/>
              </w:rPr>
              <w:t>, 10</w:t>
            </w:r>
            <w:r w:rsidR="00906FE0">
              <w:rPr>
                <w:rFonts w:ascii="Times New Roman" w:hAnsi="Times New Roman" w:cs="Times New Roman"/>
                <w:color w:val="000000"/>
              </w:rPr>
              <w:t>1</w:t>
            </w:r>
            <w:r>
              <w:rPr>
                <w:rFonts w:ascii="Times New Roman" w:hAnsi="Times New Roman" w:cs="Times New Roman"/>
                <w:color w:val="000000"/>
              </w:rPr>
              <w:t>.</w:t>
            </w:r>
            <w:r w:rsidR="00906FE0">
              <w:rPr>
                <w:rFonts w:ascii="Times New Roman" w:hAnsi="Times New Roman" w:cs="Times New Roman"/>
                <w:color w:val="000000"/>
              </w:rPr>
              <w:t>7</w:t>
            </w:r>
            <w:r>
              <w:rPr>
                <w:rFonts w:ascii="Times New Roman" w:hAnsi="Times New Roman" w:cs="Times New Roman"/>
                <w:color w:val="000000"/>
              </w:rPr>
              <w:t>]</w:t>
            </w:r>
          </w:p>
        </w:tc>
        <w:tc>
          <w:tcPr>
            <w:tcW w:w="990" w:type="dxa"/>
            <w:vAlign w:val="bottom"/>
          </w:tcPr>
          <w:p w14:paraId="3F153563" w14:textId="1A317C8E"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0.5</w:t>
            </w:r>
            <w:r w:rsidR="00906FE0">
              <w:rPr>
                <w:rFonts w:ascii="Times New Roman" w:hAnsi="Times New Roman" w:cs="Times New Roman"/>
                <w:color w:val="000000"/>
              </w:rPr>
              <w:t>7</w:t>
            </w:r>
          </w:p>
        </w:tc>
      </w:tr>
    </w:tbl>
    <w:p w14:paraId="7A5DA403" w14:textId="6A1856D7" w:rsidR="00D92657" w:rsidRDefault="00D92657" w:rsidP="003B3E8B">
      <w:pPr>
        <w:rPr>
          <w:rFonts w:ascii="Times New Roman" w:hAnsi="Times New Roman" w:cs="Times New Roman"/>
          <w:b/>
          <w:bCs/>
        </w:rPr>
      </w:pPr>
      <w:r w:rsidRPr="00D92657">
        <w:rPr>
          <w:rFonts w:ascii="Times New Roman" w:hAnsi="Times New Roman" w:cs="Times New Roman"/>
          <w:b/>
          <w:bCs/>
        </w:rPr>
        <w:t xml:space="preserve">Table ***: </w:t>
      </w:r>
      <w:r w:rsidR="00C20A11">
        <w:rPr>
          <w:rFonts w:ascii="Times New Roman" w:hAnsi="Times New Roman" w:cs="Times New Roman"/>
          <w:b/>
          <w:bCs/>
        </w:rPr>
        <w:t>Results following two-stage least-squares i</w:t>
      </w:r>
      <w:r w:rsidR="00483B2E">
        <w:rPr>
          <w:rFonts w:ascii="Times New Roman" w:hAnsi="Times New Roman" w:cs="Times New Roman"/>
          <w:b/>
          <w:bCs/>
        </w:rPr>
        <w:t>nstrumental variable approac</w:t>
      </w:r>
      <w:r w:rsidR="00C20A11">
        <w:rPr>
          <w:rFonts w:ascii="Times New Roman" w:hAnsi="Times New Roman" w:cs="Times New Roman"/>
          <w:b/>
          <w:bCs/>
        </w:rPr>
        <w:t>h</w:t>
      </w:r>
      <w:r w:rsidR="008C2049">
        <w:rPr>
          <w:rFonts w:ascii="Times New Roman" w:hAnsi="Times New Roman" w:cs="Times New Roman"/>
          <w:b/>
          <w:bCs/>
        </w:rPr>
        <w:t xml:space="preserve">. </w:t>
      </w:r>
      <w:r w:rsidR="004B7DBC">
        <w:rPr>
          <w:rFonts w:ascii="Times New Roman" w:hAnsi="Times New Roman" w:cs="Times New Roman"/>
          <w:b/>
          <w:bCs/>
        </w:rPr>
        <w:t>Local average treatment effect reflects the change in likelihood of the specified outcome for the IO monotherapy group relative to the chemotherapy group.</w:t>
      </w:r>
    </w:p>
    <w:p w14:paraId="2A0C4EA2" w14:textId="77777777" w:rsidR="003B3E8B" w:rsidRDefault="003B3E8B" w:rsidP="00D92657">
      <w:pPr>
        <w:rPr>
          <w:rFonts w:ascii="Times New Roman" w:hAnsi="Times New Roman" w:cs="Times New Roman"/>
          <w:b/>
          <w:bCs/>
        </w:rPr>
      </w:pPr>
    </w:p>
    <w:p w14:paraId="0F03CA17" w14:textId="6CDC8F32" w:rsidR="003B3E8B" w:rsidRPr="003B3E8B" w:rsidRDefault="003B3E8B" w:rsidP="00EA297A">
      <w:pPr>
        <w:rPr>
          <w:rFonts w:ascii="Times New Roman" w:hAnsi="Times New Roman" w:cs="Times New Roman"/>
          <w:u w:val="single"/>
        </w:rPr>
      </w:pPr>
      <w:r w:rsidRPr="003B3E8B">
        <w:rPr>
          <w:rFonts w:ascii="Times New Roman" w:hAnsi="Times New Roman" w:cs="Times New Roman"/>
          <w:b/>
          <w:bCs/>
          <w:i/>
          <w:iCs/>
          <w:u w:val="single"/>
        </w:rPr>
        <w:t>Machine Learning Model Evaluation</w:t>
      </w:r>
      <w:r w:rsidRPr="003B3E8B">
        <w:rPr>
          <w:rFonts w:ascii="Times New Roman" w:hAnsi="Times New Roman" w:cs="Times New Roman"/>
          <w:u w:val="single"/>
        </w:rPr>
        <w:t xml:space="preserve"> </w:t>
      </w:r>
    </w:p>
    <w:p w14:paraId="773596DD" w14:textId="5401E8A6" w:rsidR="00E94C65" w:rsidRPr="003F7197" w:rsidRDefault="00FD0DA6" w:rsidP="00307AAC">
      <w:pPr>
        <w:rPr>
          <w:rFonts w:ascii="Times New Roman" w:hAnsi="Times New Roman" w:cs="Times New Roman"/>
        </w:rPr>
      </w:pPr>
      <w:r w:rsidRPr="003F7197">
        <w:rPr>
          <w:rFonts w:ascii="Times New Roman" w:hAnsi="Times New Roman" w:cs="Times New Roman"/>
        </w:rPr>
        <w:t xml:space="preserve">The ML models achieved an AUROC of 0.70 (95% CI [0.69, 0.71]) and 0.74 (95% CI: [0.73, 0.75]) for predicting 12-month PFS and 12-month OS, respectively. </w:t>
      </w:r>
      <w:r w:rsidR="009E2E6B">
        <w:rPr>
          <w:rFonts w:ascii="Times New Roman" w:hAnsi="Times New Roman" w:cs="Times New Roman"/>
        </w:rPr>
        <w:t xml:space="preserve"> </w:t>
      </w:r>
      <w:r w:rsidR="00E94C65">
        <w:rPr>
          <w:rFonts w:ascii="Times New Roman" w:hAnsi="Times New Roman" w:cs="Times New Roman"/>
        </w:rPr>
        <w:t xml:space="preserve">SHAPLEY plots </w:t>
      </w:r>
      <w:r w:rsidR="00307AAC">
        <w:rPr>
          <w:rFonts w:ascii="Times New Roman" w:hAnsi="Times New Roman" w:cs="Times New Roman"/>
        </w:rPr>
        <w:t xml:space="preserve">were used to provide a layer of interpretability regarding how the </w:t>
      </w:r>
      <w:proofErr w:type="spellStart"/>
      <w:r w:rsidR="00307AAC">
        <w:rPr>
          <w:rFonts w:ascii="Times New Roman" w:hAnsi="Times New Roman" w:cs="Times New Roman"/>
        </w:rPr>
        <w:t>XGBoost</w:t>
      </w:r>
      <w:proofErr w:type="spellEnd"/>
      <w:r w:rsidR="00307AAC">
        <w:rPr>
          <w:rFonts w:ascii="Times New Roman" w:hAnsi="Times New Roman" w:cs="Times New Roman"/>
        </w:rPr>
        <w:t xml:space="preserve"> ML classifier made its predictions; the plots demonstrate the features that provide the most input to the model’s final prediction. These plots </w:t>
      </w:r>
      <w:r w:rsidR="00E94C65">
        <w:rPr>
          <w:rFonts w:ascii="Times New Roman" w:hAnsi="Times New Roman" w:cs="Times New Roman"/>
        </w:rPr>
        <w:t xml:space="preserve">are depicted in Figures *** and ***. </w:t>
      </w:r>
      <w:r w:rsidR="00241F34">
        <w:rPr>
          <w:rFonts w:ascii="Times New Roman" w:hAnsi="Times New Roman" w:cs="Times New Roman"/>
        </w:rPr>
        <w:t xml:space="preserve">Creatinine was the most impactful feature for predicting 12-month PFS, as the model found that higher creatinine values decreased the likelihood of disease progression. Other pertinent predictors of remaining progression free after 12 months included being ALK positive, not having a smoking history, and having an ECOG status of 0. </w:t>
      </w:r>
      <w:r w:rsidR="00BF25E0">
        <w:rPr>
          <w:rFonts w:ascii="Times New Roman" w:hAnsi="Times New Roman" w:cs="Times New Roman"/>
        </w:rPr>
        <w:t xml:space="preserve">For 12-month OS, ALK positivity, Medicaid coverage, and identifying as Asian, smoking history, and ECOG status were the most important features. </w:t>
      </w:r>
      <w:r w:rsidR="00842F88">
        <w:rPr>
          <w:rFonts w:ascii="Times New Roman" w:hAnsi="Times New Roman" w:cs="Times New Roman"/>
        </w:rPr>
        <w:t xml:space="preserve">PD-L1 did not rank in the top 20 of most significant features for either model. </w:t>
      </w:r>
    </w:p>
    <w:p w14:paraId="18546136" w14:textId="5305215E" w:rsidR="00A41901" w:rsidRPr="00EA297A" w:rsidRDefault="00A41901" w:rsidP="00EA297A">
      <w:pPr>
        <w:rPr>
          <w:rFonts w:ascii="Times New Roman" w:hAnsi="Times New Roman" w:cs="Times New Roman"/>
          <w:b/>
          <w:bCs/>
          <w:i/>
          <w:iCs/>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7951A129" w14:textId="6168973E" w:rsidR="00071243" w:rsidRDefault="00DE32B4" w:rsidP="00A41901">
      <w:pPr>
        <w:rPr>
          <w:rFonts w:ascii="Times New Roman" w:hAnsi="Times New Roman" w:cs="Times New Roman"/>
        </w:rPr>
      </w:pPr>
      <w:r>
        <w:rPr>
          <w:rFonts w:ascii="Times New Roman" w:hAnsi="Times New Roman" w:cs="Times New Roman"/>
        </w:rPr>
        <w:t xml:space="preserve">We use the ML algorithm to predict response to various therapies in the independent test set, which comprised 20% of the original cohort. </w:t>
      </w:r>
      <w:r w:rsidR="00C324E5">
        <w:rPr>
          <w:rFonts w:ascii="Times New Roman" w:hAnsi="Times New Roman" w:cs="Times New Roman"/>
        </w:rPr>
        <w:t xml:space="preserve">Kaplan-Meier survival plots each illustrate two curves, one for patients deemed “low-risk” for the outcome of interest and the other for patients deemed “high risk.” </w:t>
      </w:r>
      <w:r w:rsidR="00D47A7E">
        <w:rPr>
          <w:rFonts w:ascii="Times New Roman" w:hAnsi="Times New Roman" w:cs="Times New Roman"/>
        </w:rPr>
        <w:t xml:space="preserve">Patients classified as low-risk for 12-month PFS had significantly better survival compared to the high-risk </w:t>
      </w:r>
      <w:r w:rsidR="00D47A7E" w:rsidRPr="00D47A7E">
        <w:rPr>
          <w:rFonts w:ascii="Times New Roman" w:hAnsi="Times New Roman" w:cs="Times New Roman"/>
        </w:rPr>
        <w:t>group (HR 0.45 [0.42, 0.48]</w:t>
      </w:r>
      <w:r w:rsidR="00D47A7E">
        <w:rPr>
          <w:rFonts w:ascii="Times New Roman" w:hAnsi="Times New Roman" w:cs="Times New Roman"/>
        </w:rPr>
        <w:t>, p&lt;0.001</w:t>
      </w:r>
      <w:r w:rsidR="00D47A7E" w:rsidRPr="00D47A7E">
        <w:rPr>
          <w:rFonts w:ascii="Times New Roman" w:hAnsi="Times New Roman" w:cs="Times New Roman"/>
        </w:rPr>
        <w:t>)</w:t>
      </w:r>
      <w:r w:rsidR="00D47A7E">
        <w:rPr>
          <w:rFonts w:ascii="Times New Roman" w:hAnsi="Times New Roman" w:cs="Times New Roman"/>
        </w:rPr>
        <w:t xml:space="preserve"> for all therapy groups. When restricting to ALK, EGFR, and ROS1 negative patients receiving chemotherapy or IO monotherapy, low-risk patients still had superior survival (</w:t>
      </w:r>
      <w:r w:rsidR="00D47A7E" w:rsidRPr="00D47A7E">
        <w:rPr>
          <w:rFonts w:ascii="Times New Roman" w:hAnsi="Times New Roman" w:cs="Times New Roman"/>
        </w:rPr>
        <w:t>HR 0.</w:t>
      </w:r>
      <w:r w:rsidR="00D47A7E">
        <w:rPr>
          <w:rFonts w:ascii="Times New Roman" w:hAnsi="Times New Roman" w:cs="Times New Roman"/>
        </w:rPr>
        <w:t>50</w:t>
      </w:r>
      <w:r w:rsidR="00D47A7E" w:rsidRPr="00D47A7E">
        <w:rPr>
          <w:rFonts w:ascii="Times New Roman" w:hAnsi="Times New Roman" w:cs="Times New Roman"/>
        </w:rPr>
        <w:t xml:space="preserve"> [0.4</w:t>
      </w:r>
      <w:r w:rsidR="00D47A7E">
        <w:rPr>
          <w:rFonts w:ascii="Times New Roman" w:hAnsi="Times New Roman" w:cs="Times New Roman"/>
        </w:rPr>
        <w:t>6</w:t>
      </w:r>
      <w:r w:rsidR="00D47A7E" w:rsidRPr="00D47A7E">
        <w:rPr>
          <w:rFonts w:ascii="Times New Roman" w:hAnsi="Times New Roman" w:cs="Times New Roman"/>
        </w:rPr>
        <w:t>, 0.</w:t>
      </w:r>
      <w:r w:rsidR="00D47A7E">
        <w:rPr>
          <w:rFonts w:ascii="Times New Roman" w:hAnsi="Times New Roman" w:cs="Times New Roman"/>
        </w:rPr>
        <w:t>54</w:t>
      </w:r>
      <w:r w:rsidR="00D47A7E" w:rsidRPr="00D47A7E">
        <w:rPr>
          <w:rFonts w:ascii="Times New Roman" w:hAnsi="Times New Roman" w:cs="Times New Roman"/>
        </w:rPr>
        <w:t>]</w:t>
      </w:r>
      <w:r w:rsidR="00D47A7E">
        <w:rPr>
          <w:rFonts w:ascii="Times New Roman" w:hAnsi="Times New Roman" w:cs="Times New Roman"/>
        </w:rPr>
        <w:t>, p&lt;0.001</w:t>
      </w:r>
      <w:r w:rsidR="00D47A7E" w:rsidRPr="00D47A7E">
        <w:rPr>
          <w:rFonts w:ascii="Times New Roman" w:hAnsi="Times New Roman" w:cs="Times New Roman"/>
        </w:rPr>
        <w:t>)</w:t>
      </w:r>
      <w:r w:rsidR="00C80B83">
        <w:rPr>
          <w:rFonts w:ascii="Times New Roman" w:hAnsi="Times New Roman" w:cs="Times New Roman"/>
        </w:rPr>
        <w:t>. Patients deemed low-risk for IO monotherapy had improved survival (HR 0.53 [0.44, 0.63</w:t>
      </w:r>
      <w:proofErr w:type="gramStart"/>
      <w:r w:rsidR="00C80B83">
        <w:rPr>
          <w:rFonts w:ascii="Times New Roman" w:hAnsi="Times New Roman" w:cs="Times New Roman"/>
        </w:rPr>
        <w:t>]</w:t>
      </w:r>
      <w:r w:rsidR="00C80B83" w:rsidRPr="00C80B83">
        <w:rPr>
          <w:rFonts w:ascii="Times New Roman" w:hAnsi="Times New Roman" w:cs="Times New Roman"/>
        </w:rPr>
        <w:t xml:space="preserve"> </w:t>
      </w:r>
      <w:r w:rsidR="00C80B83">
        <w:rPr>
          <w:rFonts w:ascii="Times New Roman" w:hAnsi="Times New Roman" w:cs="Times New Roman"/>
        </w:rPr>
        <w:t>,</w:t>
      </w:r>
      <w:proofErr w:type="gramEnd"/>
      <w:r w:rsidR="00C80B83">
        <w:rPr>
          <w:rFonts w:ascii="Times New Roman" w:hAnsi="Times New Roman" w:cs="Times New Roman"/>
        </w:rPr>
        <w:t xml:space="preserve"> p &lt; 0.0001) overall compared to the high-risk group. This survival benefit persisted when looking at patients on IO monotherapy with PD-L1 &gt;= 50% (HR 0.44 [0.32, 0.61], p &lt; 0.0001). </w:t>
      </w:r>
    </w:p>
    <w:p w14:paraId="17F3B17D" w14:textId="77777777" w:rsidR="00C80B83" w:rsidRDefault="00C80B83" w:rsidP="00A41901">
      <w:pPr>
        <w:rPr>
          <w:rFonts w:ascii="Times New Roman" w:hAnsi="Times New Roman" w:cs="Times New Roman"/>
        </w:rPr>
      </w:pPr>
    </w:p>
    <w:p w14:paraId="61468835" w14:textId="5A1CC208" w:rsidR="00C80B83" w:rsidRPr="00071243" w:rsidRDefault="00C80B83" w:rsidP="00A41901">
      <w:pPr>
        <w:rPr>
          <w:rFonts w:ascii="Times New Roman" w:hAnsi="Times New Roman" w:cs="Times New Roman"/>
        </w:rPr>
      </w:pPr>
      <w:r>
        <w:rPr>
          <w:rFonts w:ascii="Times New Roman" w:hAnsi="Times New Roman" w:cs="Times New Roman"/>
        </w:rPr>
        <w:t xml:space="preserve">Similar results were seen when predicting 12-month OS. </w:t>
      </w:r>
      <w:r w:rsidR="00916F9B">
        <w:rPr>
          <w:rFonts w:ascii="Times New Roman" w:hAnsi="Times New Roman" w:cs="Times New Roman"/>
        </w:rPr>
        <w:t xml:space="preserve">When all patients in the test set were included, low-risk patients had improved survival compared to high-risk patients (HR 0.29 [0.27, 0.32], p &lt; 0.0001). </w:t>
      </w:r>
      <w:r w:rsidR="00842F88">
        <w:rPr>
          <w:rFonts w:ascii="Times New Roman" w:hAnsi="Times New Roman" w:cs="Times New Roman"/>
        </w:rPr>
        <w:t xml:space="preserve">The algorithm also predicted 12-month OS for patients receiving IO monotherapy (HR 0.38 [0.28, 0.49]) and </w:t>
      </w:r>
      <w:r w:rsidR="003E57D5">
        <w:rPr>
          <w:rFonts w:ascii="Times New Roman" w:hAnsi="Times New Roman" w:cs="Times New Roman"/>
        </w:rPr>
        <w:t xml:space="preserve">for those with PD-L1 &gt;= 50% (0.40 [0.27, 0.60], p&lt;0.0001). </w:t>
      </w:r>
      <w:r w:rsidR="00A46112">
        <w:rPr>
          <w:rFonts w:ascii="Times New Roman" w:hAnsi="Times New Roman" w:cs="Times New Roman"/>
        </w:rPr>
        <w:t xml:space="preserve">Chemotherapy patients deemed also low-risk had improved survival (HR 0.30 [0.26, 0.34], p&lt;0.0001). </w:t>
      </w:r>
    </w:p>
    <w:p w14:paraId="233EE641" w14:textId="17482B29"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69A2ADA3">
            <wp:extent cx="2789832" cy="3313049"/>
            <wp:effectExtent l="0" t="0" r="4445" b="1905"/>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3863" cy="3389089"/>
                    </a:xfrm>
                    <a:prstGeom prst="rect">
                      <a:avLst/>
                    </a:prstGeom>
                  </pic:spPr>
                </pic:pic>
              </a:graphicData>
            </a:graphic>
          </wp:inline>
        </w:drawing>
      </w:r>
      <w:r w:rsidR="006A40A4">
        <w:rPr>
          <w:rFonts w:ascii="Times New Roman" w:hAnsi="Times New Roman" w:cs="Times New Roman"/>
          <w:b/>
          <w:bCs/>
        </w:rPr>
        <w:t xml:space="preserve">   </w:t>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78A99C16">
            <wp:extent cx="2743200" cy="3257670"/>
            <wp:effectExtent l="0" t="0" r="0" b="635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30568" cy="3361424"/>
                    </a:xfrm>
                    <a:prstGeom prst="rect">
                      <a:avLst/>
                    </a:prstGeom>
                  </pic:spPr>
                </pic:pic>
              </a:graphicData>
            </a:graphic>
          </wp:inline>
        </w:drawing>
      </w:r>
    </w:p>
    <w:p w14:paraId="7E5A8ECB" w14:textId="52D779A3" w:rsidR="00CE6280" w:rsidRDefault="00555AA8" w:rsidP="00CE6280">
      <w:pPr>
        <w:rPr>
          <w:rFonts w:ascii="Times New Roman" w:hAnsi="Times New Roman" w:cs="Times New Roman"/>
          <w:b/>
          <w:bCs/>
          <w:noProof/>
        </w:rPr>
      </w:pPr>
      <w:r w:rsidRPr="00555AA8">
        <w:rPr>
          <w:rFonts w:ascii="Times New Roman" w:hAnsi="Times New Roman" w:cs="Times New Roman"/>
          <w:b/>
          <w:bCs/>
          <w:noProof/>
        </w:rPr>
        <w:t xml:space="preserve"> </w:t>
      </w:r>
      <w:r w:rsidR="004F2656">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08D59F8A"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248B37DC">
            <wp:extent cx="2695699" cy="3201262"/>
            <wp:effectExtent l="0" t="0" r="0" b="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80107" cy="3301500"/>
                    </a:xfrm>
                    <a:prstGeom prst="rect">
                      <a:avLst/>
                    </a:prstGeom>
                  </pic:spPr>
                </pic:pic>
              </a:graphicData>
            </a:graphic>
          </wp:inline>
        </w:drawing>
      </w:r>
      <w:r w:rsidR="006A40A4">
        <w:rPr>
          <w:rFonts w:ascii="Times New Roman" w:hAnsi="Times New Roman" w:cs="Times New Roman"/>
          <w:b/>
          <w:bCs/>
        </w:rPr>
        <w:t xml:space="preserve"> </w:t>
      </w:r>
      <w:r w:rsidR="00D90184">
        <w:rPr>
          <w:rFonts w:ascii="Times New Roman" w:hAnsi="Times New Roman" w:cs="Times New Roman"/>
          <w:b/>
          <w:bCs/>
        </w:rPr>
        <w:t xml:space="preserve"> </w:t>
      </w:r>
      <w:r w:rsidR="006A40A4">
        <w:rPr>
          <w:rFonts w:ascii="Times New Roman" w:hAnsi="Times New Roman" w:cs="Times New Roman"/>
          <w:b/>
          <w:bCs/>
        </w:rPr>
        <w:t xml:space="preserve"> </w:t>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52A87B33">
            <wp:extent cx="2729973" cy="3241964"/>
            <wp:effectExtent l="0" t="0" r="635"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35385" cy="3367145"/>
                    </a:xfrm>
                    <a:prstGeom prst="rect">
                      <a:avLst/>
                    </a:prstGeom>
                  </pic:spPr>
                </pic:pic>
              </a:graphicData>
            </a:graphic>
          </wp:inline>
        </w:drawing>
      </w:r>
    </w:p>
    <w:p w14:paraId="5275CCB9" w14:textId="172395A0" w:rsidR="00DC307F" w:rsidRDefault="00320A6D" w:rsidP="0007652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6C065B60" w14:textId="02E8C766" w:rsidR="00DC307F" w:rsidRDefault="00626488" w:rsidP="00804F04">
      <w:pPr>
        <w:rPr>
          <w:rFonts w:ascii="Times New Roman" w:hAnsi="Times New Roman" w:cs="Times New Roman"/>
          <w:b/>
          <w:bCs/>
          <w:noProof/>
        </w:rPr>
      </w:pPr>
      <w:r>
        <w:rPr>
          <w:rFonts w:ascii="Times New Roman" w:hAnsi="Times New Roman" w:cs="Times New Roman"/>
          <w:b/>
          <w:bCs/>
          <w:noProof/>
        </w:rPr>
        <w:lastRenderedPageBreak/>
        <w:drawing>
          <wp:inline distT="0" distB="0" distL="0" distR="0" wp14:anchorId="37365325" wp14:editId="236A7206">
            <wp:extent cx="6290945" cy="1918970"/>
            <wp:effectExtent l="0" t="0" r="0" b="0"/>
            <wp:docPr id="1364007007" name="Picture 1" descr="A graph of a patient's surviva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07007" name="Picture 1" descr="A graph of a patient's survival&#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1918970"/>
                    </a:xfrm>
                    <a:prstGeom prst="rect">
                      <a:avLst/>
                    </a:prstGeom>
                  </pic:spPr>
                </pic:pic>
              </a:graphicData>
            </a:graphic>
          </wp:inline>
        </w:drawing>
      </w:r>
    </w:p>
    <w:p w14:paraId="15F7810E" w14:textId="3561E36F" w:rsidR="00071243" w:rsidRDefault="00071243" w:rsidP="00071243">
      <w:pPr>
        <w:rPr>
          <w:rFonts w:ascii="Times New Roman" w:hAnsi="Times New Roman" w:cs="Times New Roman"/>
          <w:b/>
          <w:bCs/>
        </w:rPr>
      </w:pPr>
    </w:p>
    <w:p w14:paraId="5CE28DE2" w14:textId="58F8FEF5" w:rsidR="00071243" w:rsidRDefault="00071243" w:rsidP="00631BC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demonstrating</w:t>
      </w:r>
      <w:r w:rsidR="00626488">
        <w:rPr>
          <w:rFonts w:ascii="Times New Roman" w:hAnsi="Times New Roman" w:cs="Times New Roman"/>
          <w:b/>
          <w:bCs/>
        </w:rPr>
        <w:t xml:space="preserve"> (A)</w:t>
      </w:r>
      <w:r>
        <w:rPr>
          <w:rFonts w:ascii="Times New Roman" w:hAnsi="Times New Roman" w:cs="Times New Roman"/>
          <w:b/>
          <w:bCs/>
        </w:rPr>
        <w:t xml:space="preserve"> 12-month PFS</w:t>
      </w:r>
      <w:r w:rsidR="00626488">
        <w:rPr>
          <w:rFonts w:ascii="Times New Roman" w:hAnsi="Times New Roman" w:cs="Times New Roman"/>
          <w:b/>
          <w:bCs/>
        </w:rPr>
        <w:t xml:space="preserve"> and (B) 12-month OS</w:t>
      </w:r>
      <w:r>
        <w:rPr>
          <w:rFonts w:ascii="Times New Roman" w:hAnsi="Times New Roman" w:cs="Times New Roman"/>
          <w:b/>
          <w:bCs/>
        </w:rPr>
        <w:t xml:space="preserve">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w:t>
      </w:r>
      <w:r w:rsidR="00626488">
        <w:rPr>
          <w:rFonts w:ascii="Times New Roman" w:hAnsi="Times New Roman" w:cs="Times New Roman"/>
          <w:b/>
          <w:bCs/>
        </w:rPr>
        <w:t>T</w:t>
      </w:r>
      <w:r>
        <w:rPr>
          <w:rFonts w:ascii="Times New Roman" w:hAnsi="Times New Roman" w:cs="Times New Roman"/>
          <w:b/>
          <w:bCs/>
        </w:rPr>
        <w:t>hreshold</w:t>
      </w:r>
      <w:r w:rsidR="00626488">
        <w:rPr>
          <w:rFonts w:ascii="Times New Roman" w:hAnsi="Times New Roman" w:cs="Times New Roman"/>
          <w:b/>
          <w:bCs/>
        </w:rPr>
        <w:t>s</w:t>
      </w:r>
      <w:r>
        <w:rPr>
          <w:rFonts w:ascii="Times New Roman" w:hAnsi="Times New Roman" w:cs="Times New Roman"/>
          <w:b/>
          <w:bCs/>
        </w:rPr>
        <w:t xml:space="preserve"> of 0.70 </w:t>
      </w:r>
      <w:r w:rsidR="00626488">
        <w:rPr>
          <w:rFonts w:ascii="Times New Roman" w:hAnsi="Times New Roman" w:cs="Times New Roman"/>
          <w:b/>
          <w:bCs/>
        </w:rPr>
        <w:t xml:space="preserve">and 0.47 were </w:t>
      </w:r>
      <w:r>
        <w:rPr>
          <w:rFonts w:ascii="Times New Roman" w:hAnsi="Times New Roman" w:cs="Times New Roman"/>
          <w:b/>
          <w:bCs/>
        </w:rPr>
        <w:t>set for classifying patients as high-risk</w:t>
      </w:r>
      <w:r w:rsidR="00626488">
        <w:rPr>
          <w:rFonts w:ascii="Times New Roman" w:hAnsi="Times New Roman" w:cs="Times New Roman"/>
          <w:b/>
          <w:bCs/>
        </w:rPr>
        <w:t xml:space="preserve"> in the PFS and OS models, respectively</w:t>
      </w:r>
      <w:r>
        <w:rPr>
          <w:rFonts w:ascii="Times New Roman" w:hAnsi="Times New Roman" w:cs="Times New Roman"/>
          <w:b/>
          <w:bCs/>
        </w:rPr>
        <w:t>. All patients included are driver-mutation negative</w:t>
      </w:r>
      <w:r w:rsidR="00626488">
        <w:rPr>
          <w:rFonts w:ascii="Times New Roman" w:hAnsi="Times New Roman" w:cs="Times New Roman"/>
          <w:b/>
          <w:bCs/>
        </w:rPr>
        <w:t xml:space="preserve"> and had reported PD-L1 status.</w:t>
      </w:r>
    </w:p>
    <w:p w14:paraId="7A6A1055" w14:textId="69D221F3" w:rsidR="00071243" w:rsidRDefault="00071243" w:rsidP="00071243">
      <w:pPr>
        <w:rPr>
          <w:rFonts w:ascii="Times New Roman" w:hAnsi="Times New Roman" w:cs="Times New Roman"/>
          <w:b/>
          <w:bCs/>
        </w:rPr>
      </w:pPr>
    </w:p>
    <w:p w14:paraId="52018909" w14:textId="26A7B830" w:rsidR="00071243" w:rsidRDefault="00626488" w:rsidP="00071243">
      <w:pPr>
        <w:rPr>
          <w:rFonts w:ascii="Times New Roman" w:hAnsi="Times New Roman" w:cs="Times New Roman"/>
          <w:b/>
          <w:bCs/>
        </w:rPr>
      </w:pPr>
      <w:r>
        <w:rPr>
          <w:rFonts w:ascii="Times New Roman" w:hAnsi="Times New Roman" w:cs="Times New Roman"/>
          <w:b/>
          <w:bCs/>
          <w:noProof/>
        </w:rPr>
        <w:drawing>
          <wp:inline distT="0" distB="0" distL="0" distR="0" wp14:anchorId="0B51C89B" wp14:editId="62987213">
            <wp:extent cx="6290945" cy="1885315"/>
            <wp:effectExtent l="0" t="0" r="0" b="0"/>
            <wp:docPr id="96229815" name="Picture 2" descr="A graph of overall survi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9815" name="Picture 2" descr="A graph of overall survival&#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90945" cy="1885315"/>
                    </a:xfrm>
                    <a:prstGeom prst="rect">
                      <a:avLst/>
                    </a:prstGeom>
                  </pic:spPr>
                </pic:pic>
              </a:graphicData>
            </a:graphic>
          </wp:inline>
        </w:drawing>
      </w:r>
    </w:p>
    <w:p w14:paraId="431385ED" w14:textId="1ADD1EF8" w:rsidR="00626488" w:rsidRDefault="00626488" w:rsidP="00626488">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(A) 12-month PFS and (B)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Thresholds of 0.70 and 0.47 were set for classifying patients as high-risk in the PFS and OS models, respectively. All patients included are driver-mutation negative and had </w:t>
      </w:r>
      <w:r>
        <w:rPr>
          <w:rFonts w:ascii="Times New Roman" w:hAnsi="Times New Roman" w:cs="Times New Roman"/>
          <w:b/>
          <w:bCs/>
        </w:rPr>
        <w:t>PD-L1 &gt;= 50%.</w:t>
      </w:r>
    </w:p>
    <w:p w14:paraId="297FE0B7" w14:textId="77777777" w:rsidR="00626488" w:rsidRDefault="00626488" w:rsidP="00626488">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44482C" w:rsidRPr="0089483E" w14:paraId="70901A77" w14:textId="77777777" w:rsidTr="00B960D3">
        <w:tc>
          <w:tcPr>
            <w:tcW w:w="4860" w:type="dxa"/>
          </w:tcPr>
          <w:p w14:paraId="6C092C9C" w14:textId="77777777" w:rsidR="0044482C" w:rsidRPr="00804F04" w:rsidRDefault="0044482C" w:rsidP="00B960D3">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37013F5A" w14:textId="77777777" w:rsidR="0044482C" w:rsidRPr="00804F04" w:rsidRDefault="0044482C" w:rsidP="00B960D3">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45E84213" w14:textId="77777777" w:rsidR="0044482C" w:rsidRPr="00804F04" w:rsidRDefault="0044482C" w:rsidP="00B960D3">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7A3BBFB2" w14:textId="77777777" w:rsidR="0044482C" w:rsidRPr="00804F04" w:rsidRDefault="0044482C" w:rsidP="00B960D3">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613605F9" w14:textId="77777777" w:rsidR="0044482C" w:rsidRPr="00804F04" w:rsidRDefault="0044482C" w:rsidP="00B960D3">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4482C" w:rsidRPr="0089483E" w14:paraId="464492EC" w14:textId="77777777" w:rsidTr="00B960D3">
        <w:tc>
          <w:tcPr>
            <w:tcW w:w="4860" w:type="dxa"/>
          </w:tcPr>
          <w:p w14:paraId="63542E7B" w14:textId="77777777" w:rsidR="0044482C" w:rsidRPr="00804F04" w:rsidRDefault="0044482C" w:rsidP="00B960D3">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2F880A10" w14:textId="77777777" w:rsidR="0044482C" w:rsidRPr="00804F04" w:rsidRDefault="0044482C" w:rsidP="00B960D3">
            <w:pPr>
              <w:jc w:val="center"/>
              <w:rPr>
                <w:rFonts w:ascii="Times New Roman" w:hAnsi="Times New Roman" w:cs="Times New Roman"/>
                <w:sz w:val="22"/>
                <w:szCs w:val="22"/>
              </w:rPr>
            </w:pPr>
          </w:p>
        </w:tc>
        <w:tc>
          <w:tcPr>
            <w:tcW w:w="671" w:type="dxa"/>
          </w:tcPr>
          <w:p w14:paraId="10F6D870" w14:textId="77777777" w:rsidR="0044482C" w:rsidRPr="00804F04" w:rsidRDefault="0044482C" w:rsidP="00B960D3">
            <w:pPr>
              <w:jc w:val="center"/>
              <w:rPr>
                <w:rFonts w:ascii="Times New Roman" w:hAnsi="Times New Roman" w:cs="Times New Roman"/>
                <w:sz w:val="22"/>
                <w:szCs w:val="22"/>
              </w:rPr>
            </w:pPr>
          </w:p>
        </w:tc>
        <w:tc>
          <w:tcPr>
            <w:tcW w:w="2520" w:type="dxa"/>
          </w:tcPr>
          <w:p w14:paraId="68DA053F" w14:textId="77777777" w:rsidR="0044482C" w:rsidRPr="00804F04" w:rsidRDefault="0044482C" w:rsidP="00B960D3">
            <w:pPr>
              <w:jc w:val="center"/>
              <w:rPr>
                <w:rFonts w:ascii="Times New Roman" w:hAnsi="Times New Roman" w:cs="Times New Roman"/>
                <w:sz w:val="22"/>
                <w:szCs w:val="22"/>
              </w:rPr>
            </w:pPr>
          </w:p>
        </w:tc>
        <w:tc>
          <w:tcPr>
            <w:tcW w:w="1057" w:type="dxa"/>
          </w:tcPr>
          <w:p w14:paraId="0F082372" w14:textId="77777777" w:rsidR="0044482C" w:rsidRPr="00804F04" w:rsidRDefault="0044482C" w:rsidP="00B960D3">
            <w:pPr>
              <w:jc w:val="center"/>
              <w:rPr>
                <w:rFonts w:ascii="Times New Roman" w:hAnsi="Times New Roman" w:cs="Times New Roman"/>
                <w:sz w:val="22"/>
                <w:szCs w:val="22"/>
              </w:rPr>
            </w:pPr>
          </w:p>
        </w:tc>
      </w:tr>
      <w:tr w:rsidR="0044482C" w:rsidRPr="0089483E" w14:paraId="70776CBE" w14:textId="77777777" w:rsidTr="00B960D3">
        <w:tc>
          <w:tcPr>
            <w:tcW w:w="4860" w:type="dxa"/>
          </w:tcPr>
          <w:p w14:paraId="4FC53EA7"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5D015B1E" w14:textId="71117C28"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3719</w:t>
            </w:r>
          </w:p>
        </w:tc>
        <w:tc>
          <w:tcPr>
            <w:tcW w:w="671" w:type="dxa"/>
          </w:tcPr>
          <w:p w14:paraId="18116E8F" w14:textId="48233CB6"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3116</w:t>
            </w:r>
          </w:p>
        </w:tc>
        <w:tc>
          <w:tcPr>
            <w:tcW w:w="2520" w:type="dxa"/>
          </w:tcPr>
          <w:p w14:paraId="6FCB2390" w14:textId="1DE2A420" w:rsidR="0044482C" w:rsidRPr="00804F04" w:rsidRDefault="007649BC" w:rsidP="00B960D3">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5F202D51" w14:textId="77777777" w:rsidR="0044482C" w:rsidRPr="00752D21" w:rsidRDefault="0044482C" w:rsidP="00B960D3">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44482C" w:rsidRPr="0089483E" w14:paraId="5B39C318" w14:textId="77777777" w:rsidTr="00B960D3">
        <w:tc>
          <w:tcPr>
            <w:tcW w:w="4860" w:type="dxa"/>
          </w:tcPr>
          <w:p w14:paraId="30939994"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29779377" w14:textId="1FC7FFF5"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1991</w:t>
            </w:r>
          </w:p>
        </w:tc>
        <w:tc>
          <w:tcPr>
            <w:tcW w:w="671" w:type="dxa"/>
          </w:tcPr>
          <w:p w14:paraId="6B6107C2" w14:textId="185E99D0"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2053</w:t>
            </w:r>
          </w:p>
        </w:tc>
        <w:tc>
          <w:tcPr>
            <w:tcW w:w="2520" w:type="dxa"/>
          </w:tcPr>
          <w:p w14:paraId="04737AEB" w14:textId="394FAEC0"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5D3F29F7" w14:textId="77777777" w:rsidR="0044482C" w:rsidRPr="00804F04" w:rsidRDefault="0044482C" w:rsidP="00B960D3">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44482C" w:rsidRPr="0089483E" w14:paraId="557D2989" w14:textId="77777777" w:rsidTr="00B960D3">
        <w:tc>
          <w:tcPr>
            <w:tcW w:w="4860" w:type="dxa"/>
          </w:tcPr>
          <w:p w14:paraId="6125EBD8"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679" w:type="dxa"/>
          </w:tcPr>
          <w:p w14:paraId="06D59AD5" w14:textId="1BC54FE2"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362</w:t>
            </w:r>
          </w:p>
        </w:tc>
        <w:tc>
          <w:tcPr>
            <w:tcW w:w="671" w:type="dxa"/>
          </w:tcPr>
          <w:p w14:paraId="4BA19D4B" w14:textId="1ED11B1C"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149</w:t>
            </w:r>
          </w:p>
        </w:tc>
        <w:tc>
          <w:tcPr>
            <w:tcW w:w="2520" w:type="dxa"/>
          </w:tcPr>
          <w:p w14:paraId="121C1DC4" w14:textId="156A7328" w:rsidR="0044482C" w:rsidRPr="00804F04" w:rsidRDefault="007649BC" w:rsidP="00B960D3">
            <w:pPr>
              <w:jc w:val="center"/>
              <w:rPr>
                <w:rFonts w:ascii="Times New Roman" w:hAnsi="Times New Roman" w:cs="Times New Roman"/>
                <w:sz w:val="22"/>
                <w:szCs w:val="22"/>
              </w:rPr>
            </w:pPr>
            <w:r>
              <w:rPr>
                <w:rFonts w:ascii="Times New Roman" w:hAnsi="Times New Roman" w:cs="Times New Roman"/>
                <w:sz w:val="22"/>
                <w:szCs w:val="22"/>
              </w:rPr>
              <w:t>0.54 [0.43, 0.67]</w:t>
            </w:r>
          </w:p>
        </w:tc>
        <w:tc>
          <w:tcPr>
            <w:tcW w:w="1057" w:type="dxa"/>
          </w:tcPr>
          <w:p w14:paraId="5BAEA1AC" w14:textId="77777777" w:rsidR="0044482C" w:rsidRPr="00804F04" w:rsidRDefault="0044482C" w:rsidP="00B960D3">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44482C" w:rsidRPr="0089483E" w14:paraId="6B33AE86" w14:textId="77777777" w:rsidTr="00B960D3">
        <w:tc>
          <w:tcPr>
            <w:tcW w:w="4860" w:type="dxa"/>
          </w:tcPr>
          <w:p w14:paraId="3DAF55BF"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r>
              <w:rPr>
                <w:rFonts w:ascii="Times New Roman" w:hAnsi="Times New Roman" w:cs="Times New Roman"/>
                <w:i/>
                <w:iCs/>
                <w:sz w:val="22"/>
                <w:szCs w:val="22"/>
                <w:vertAlign w:val="superscript"/>
              </w:rPr>
              <w:t>+</w:t>
            </w:r>
          </w:p>
        </w:tc>
        <w:tc>
          <w:tcPr>
            <w:tcW w:w="679" w:type="dxa"/>
          </w:tcPr>
          <w:p w14:paraId="0A794639" w14:textId="2CB15DBD"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278</w:t>
            </w:r>
          </w:p>
        </w:tc>
        <w:tc>
          <w:tcPr>
            <w:tcW w:w="671" w:type="dxa"/>
          </w:tcPr>
          <w:p w14:paraId="6987B745" w14:textId="0228F9EF"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62</w:t>
            </w:r>
          </w:p>
        </w:tc>
        <w:tc>
          <w:tcPr>
            <w:tcW w:w="2520" w:type="dxa"/>
          </w:tcPr>
          <w:p w14:paraId="168EC59C" w14:textId="4E5BC154" w:rsidR="0044482C" w:rsidRDefault="007649BC" w:rsidP="00B960D3">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7E3FA897" w14:textId="77777777" w:rsidR="0044482C" w:rsidRPr="00752D21" w:rsidRDefault="0044482C" w:rsidP="00B960D3">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29F793D5" w14:textId="77777777" w:rsidTr="00B960D3">
        <w:tc>
          <w:tcPr>
            <w:tcW w:w="4860" w:type="dxa"/>
          </w:tcPr>
          <w:p w14:paraId="6ADDE50D" w14:textId="213260D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679" w:type="dxa"/>
          </w:tcPr>
          <w:p w14:paraId="5DA91503" w14:textId="6B4754E7"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490</w:t>
            </w:r>
          </w:p>
        </w:tc>
        <w:tc>
          <w:tcPr>
            <w:tcW w:w="671" w:type="dxa"/>
          </w:tcPr>
          <w:p w14:paraId="3A980682" w14:textId="6AE91ADF"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365</w:t>
            </w:r>
          </w:p>
        </w:tc>
        <w:tc>
          <w:tcPr>
            <w:tcW w:w="2520" w:type="dxa"/>
          </w:tcPr>
          <w:p w14:paraId="753E6AB6" w14:textId="61156960"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0.47 [0.40, 0.56]</w:t>
            </w:r>
          </w:p>
        </w:tc>
        <w:tc>
          <w:tcPr>
            <w:tcW w:w="1057" w:type="dxa"/>
          </w:tcPr>
          <w:p w14:paraId="7690BEE0" w14:textId="24B9D3D3"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1436F16F" w14:textId="77777777" w:rsidTr="00B960D3">
        <w:tc>
          <w:tcPr>
            <w:tcW w:w="4860" w:type="dxa"/>
          </w:tcPr>
          <w:p w14:paraId="34B73F01" w14:textId="77777777" w:rsidR="009C54EF" w:rsidRPr="00804F04" w:rsidRDefault="009C54EF" w:rsidP="009C54EF">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&gt;= 50%</w:t>
            </w:r>
            <w:r>
              <w:rPr>
                <w:rFonts w:ascii="Times New Roman" w:hAnsi="Times New Roman" w:cs="Times New Roman"/>
                <w:i/>
                <w:iCs/>
                <w:sz w:val="22"/>
                <w:szCs w:val="22"/>
                <w:vertAlign w:val="superscript"/>
              </w:rPr>
              <w:t>+</w:t>
            </w:r>
          </w:p>
        </w:tc>
        <w:tc>
          <w:tcPr>
            <w:tcW w:w="679" w:type="dxa"/>
          </w:tcPr>
          <w:p w14:paraId="74F8E61F" w14:textId="0C37790F"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147</w:t>
            </w:r>
          </w:p>
        </w:tc>
        <w:tc>
          <w:tcPr>
            <w:tcW w:w="671" w:type="dxa"/>
          </w:tcPr>
          <w:p w14:paraId="0BA12E86" w14:textId="7CD18538"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62</w:t>
            </w:r>
          </w:p>
        </w:tc>
        <w:tc>
          <w:tcPr>
            <w:tcW w:w="2520" w:type="dxa"/>
          </w:tcPr>
          <w:p w14:paraId="41827683" w14:textId="29B58887"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0.40 [0.28, 0.57]</w:t>
            </w:r>
          </w:p>
        </w:tc>
        <w:tc>
          <w:tcPr>
            <w:tcW w:w="1057" w:type="dxa"/>
          </w:tcPr>
          <w:p w14:paraId="45096365"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06BCCAE2" w14:textId="77777777" w:rsidTr="00B960D3">
        <w:tc>
          <w:tcPr>
            <w:tcW w:w="4860" w:type="dxa"/>
          </w:tcPr>
          <w:p w14:paraId="4DE235B7" w14:textId="77777777" w:rsidR="009C54EF" w:rsidRPr="00804F04" w:rsidRDefault="009C54EF" w:rsidP="009C54E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7A338A9D" w14:textId="77777777" w:rsidR="009C54EF" w:rsidRPr="00804F04" w:rsidRDefault="009C54EF" w:rsidP="009C54EF">
            <w:pPr>
              <w:jc w:val="center"/>
              <w:rPr>
                <w:rFonts w:ascii="Times New Roman" w:hAnsi="Times New Roman" w:cs="Times New Roman"/>
                <w:sz w:val="22"/>
                <w:szCs w:val="22"/>
              </w:rPr>
            </w:pPr>
          </w:p>
        </w:tc>
        <w:tc>
          <w:tcPr>
            <w:tcW w:w="671" w:type="dxa"/>
          </w:tcPr>
          <w:p w14:paraId="2659A0C6" w14:textId="77777777" w:rsidR="009C54EF" w:rsidRPr="00804F04" w:rsidRDefault="009C54EF" w:rsidP="009C54EF">
            <w:pPr>
              <w:jc w:val="center"/>
              <w:rPr>
                <w:rFonts w:ascii="Times New Roman" w:hAnsi="Times New Roman" w:cs="Times New Roman"/>
                <w:sz w:val="22"/>
                <w:szCs w:val="22"/>
              </w:rPr>
            </w:pPr>
          </w:p>
        </w:tc>
        <w:tc>
          <w:tcPr>
            <w:tcW w:w="2520" w:type="dxa"/>
          </w:tcPr>
          <w:p w14:paraId="57798972" w14:textId="77777777" w:rsidR="009C54EF" w:rsidRPr="00804F04" w:rsidRDefault="009C54EF" w:rsidP="009C54EF">
            <w:pPr>
              <w:jc w:val="center"/>
              <w:rPr>
                <w:rFonts w:ascii="Times New Roman" w:hAnsi="Times New Roman" w:cs="Times New Roman"/>
                <w:sz w:val="22"/>
                <w:szCs w:val="22"/>
              </w:rPr>
            </w:pPr>
          </w:p>
        </w:tc>
        <w:tc>
          <w:tcPr>
            <w:tcW w:w="1057" w:type="dxa"/>
          </w:tcPr>
          <w:p w14:paraId="6C9AB91F" w14:textId="77777777" w:rsidR="009C54EF" w:rsidRPr="00804F04" w:rsidRDefault="009C54EF" w:rsidP="009C54EF">
            <w:pPr>
              <w:jc w:val="center"/>
              <w:rPr>
                <w:rFonts w:ascii="Times New Roman" w:hAnsi="Times New Roman" w:cs="Times New Roman"/>
                <w:sz w:val="22"/>
                <w:szCs w:val="22"/>
              </w:rPr>
            </w:pPr>
          </w:p>
        </w:tc>
      </w:tr>
      <w:tr w:rsidR="009C54EF" w:rsidRPr="0089483E" w14:paraId="612230B8" w14:textId="77777777" w:rsidTr="00B960D3">
        <w:tc>
          <w:tcPr>
            <w:tcW w:w="4860" w:type="dxa"/>
          </w:tcPr>
          <w:p w14:paraId="13BFF3E1" w14:textId="77777777" w:rsidR="009C54EF" w:rsidRPr="00804F04" w:rsidRDefault="009C54EF" w:rsidP="009C54EF">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45FBC5EC" w14:textId="4DB24542"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1745</w:t>
            </w:r>
          </w:p>
        </w:tc>
        <w:tc>
          <w:tcPr>
            <w:tcW w:w="671" w:type="dxa"/>
          </w:tcPr>
          <w:p w14:paraId="66E4B7A3" w14:textId="0E4C9B7E"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2285</w:t>
            </w:r>
          </w:p>
        </w:tc>
        <w:tc>
          <w:tcPr>
            <w:tcW w:w="2520" w:type="dxa"/>
          </w:tcPr>
          <w:p w14:paraId="6F65DE4D" w14:textId="1354970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320E1401"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60D31971" w14:textId="77777777" w:rsidTr="00B960D3">
        <w:tc>
          <w:tcPr>
            <w:tcW w:w="4860" w:type="dxa"/>
          </w:tcPr>
          <w:p w14:paraId="77B3F22F"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4D5EF221" w14:textId="5125D61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424</w:t>
            </w:r>
          </w:p>
        </w:tc>
        <w:tc>
          <w:tcPr>
            <w:tcW w:w="671" w:type="dxa"/>
          </w:tcPr>
          <w:p w14:paraId="4E7BBBF9" w14:textId="52AE3863"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343</w:t>
            </w:r>
          </w:p>
        </w:tc>
        <w:tc>
          <w:tcPr>
            <w:tcW w:w="2520" w:type="dxa"/>
          </w:tcPr>
          <w:p w14:paraId="7BE70D14" w14:textId="7B400AD4"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69EDBF5C"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42E8E2D0" w14:textId="77777777" w:rsidTr="00B960D3">
        <w:tc>
          <w:tcPr>
            <w:tcW w:w="4860" w:type="dxa"/>
          </w:tcPr>
          <w:p w14:paraId="565B4A37"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lastRenderedPageBreak/>
              <w:t>IO Monotherapy</w:t>
            </w:r>
            <w:r>
              <w:rPr>
                <w:rFonts w:ascii="Times New Roman" w:hAnsi="Times New Roman" w:cs="Times New Roman"/>
                <w:i/>
                <w:iCs/>
                <w:sz w:val="22"/>
                <w:szCs w:val="22"/>
                <w:vertAlign w:val="superscript"/>
              </w:rPr>
              <w:t>+</w:t>
            </w:r>
          </w:p>
        </w:tc>
        <w:tc>
          <w:tcPr>
            <w:tcW w:w="679" w:type="dxa"/>
          </w:tcPr>
          <w:p w14:paraId="073B08CF" w14:textId="2F476887"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328</w:t>
            </w:r>
          </w:p>
        </w:tc>
        <w:tc>
          <w:tcPr>
            <w:tcW w:w="671" w:type="dxa"/>
          </w:tcPr>
          <w:p w14:paraId="7ECDA518" w14:textId="7975D32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182</w:t>
            </w:r>
          </w:p>
        </w:tc>
        <w:tc>
          <w:tcPr>
            <w:tcW w:w="2520" w:type="dxa"/>
          </w:tcPr>
          <w:p w14:paraId="324376E4" w14:textId="37624DB2"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0.39 [0.29, 0.53]</w:t>
            </w:r>
          </w:p>
        </w:tc>
        <w:tc>
          <w:tcPr>
            <w:tcW w:w="1057" w:type="dxa"/>
          </w:tcPr>
          <w:p w14:paraId="6134D554"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2CD34E1F" w14:textId="77777777" w:rsidTr="00B960D3">
        <w:tc>
          <w:tcPr>
            <w:tcW w:w="4860" w:type="dxa"/>
          </w:tcPr>
          <w:p w14:paraId="7B522398"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r>
              <w:rPr>
                <w:rFonts w:ascii="Times New Roman" w:hAnsi="Times New Roman" w:cs="Times New Roman"/>
                <w:i/>
                <w:iCs/>
                <w:sz w:val="22"/>
                <w:szCs w:val="22"/>
                <w:vertAlign w:val="superscript"/>
              </w:rPr>
              <w:t>+</w:t>
            </w:r>
          </w:p>
        </w:tc>
        <w:tc>
          <w:tcPr>
            <w:tcW w:w="679" w:type="dxa"/>
          </w:tcPr>
          <w:p w14:paraId="192C7CDA" w14:textId="511FE961"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239</w:t>
            </w:r>
          </w:p>
        </w:tc>
        <w:tc>
          <w:tcPr>
            <w:tcW w:w="671" w:type="dxa"/>
          </w:tcPr>
          <w:p w14:paraId="5ABE699F" w14:textId="02070488"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100</w:t>
            </w:r>
          </w:p>
        </w:tc>
        <w:tc>
          <w:tcPr>
            <w:tcW w:w="2520" w:type="dxa"/>
          </w:tcPr>
          <w:p w14:paraId="55E6DBF7" w14:textId="1C22FA24"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4917F74" w14:textId="62EC542F"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b/>
                <w:bCs/>
                <w:sz w:val="22"/>
                <w:szCs w:val="22"/>
              </w:rPr>
              <w:t>&lt;</w:t>
            </w:r>
            <w:r w:rsidRPr="00752D21">
              <w:rPr>
                <w:rFonts w:ascii="Times New Roman" w:hAnsi="Times New Roman" w:cs="Times New Roman"/>
                <w:b/>
                <w:bCs/>
                <w:sz w:val="22"/>
                <w:szCs w:val="22"/>
              </w:rPr>
              <w:t>0.001**</w:t>
            </w:r>
          </w:p>
        </w:tc>
      </w:tr>
      <w:tr w:rsidR="009C54EF" w:rsidRPr="0089483E" w14:paraId="6716A5C4" w14:textId="77777777" w:rsidTr="00B960D3">
        <w:tc>
          <w:tcPr>
            <w:tcW w:w="4860" w:type="dxa"/>
          </w:tcPr>
          <w:p w14:paraId="4168D1F4"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w:t>
            </w:r>
            <w:r>
              <w:rPr>
                <w:rFonts w:ascii="Times New Roman" w:hAnsi="Times New Roman" w:cs="Times New Roman"/>
                <w:i/>
                <w:iCs/>
                <w:sz w:val="22"/>
                <w:szCs w:val="22"/>
              </w:rPr>
              <w:t>&lt;</w:t>
            </w:r>
            <w:r w:rsidRPr="00804F04">
              <w:rPr>
                <w:rFonts w:ascii="Times New Roman" w:hAnsi="Times New Roman" w:cs="Times New Roman"/>
                <w:i/>
                <w:iCs/>
                <w:sz w:val="22"/>
                <w:szCs w:val="22"/>
              </w:rPr>
              <w:t xml:space="preserve"> 50%</w:t>
            </w:r>
            <w:r>
              <w:rPr>
                <w:rFonts w:ascii="Times New Roman" w:hAnsi="Times New Roman" w:cs="Times New Roman"/>
                <w:i/>
                <w:iCs/>
                <w:sz w:val="22"/>
                <w:szCs w:val="22"/>
                <w:vertAlign w:val="superscript"/>
              </w:rPr>
              <w:t>+</w:t>
            </w:r>
          </w:p>
        </w:tc>
        <w:tc>
          <w:tcPr>
            <w:tcW w:w="679" w:type="dxa"/>
          </w:tcPr>
          <w:p w14:paraId="6D4B5D8C" w14:textId="418EDBAD"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89</w:t>
            </w:r>
          </w:p>
        </w:tc>
        <w:tc>
          <w:tcPr>
            <w:tcW w:w="671" w:type="dxa"/>
          </w:tcPr>
          <w:p w14:paraId="7F50B0E0" w14:textId="0D01AF11"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82</w:t>
            </w:r>
          </w:p>
        </w:tc>
        <w:tc>
          <w:tcPr>
            <w:tcW w:w="2520" w:type="dxa"/>
          </w:tcPr>
          <w:p w14:paraId="559E8CAA" w14:textId="76CA9EE9"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0.41 [0.25, 0.69]</w:t>
            </w:r>
          </w:p>
        </w:tc>
        <w:tc>
          <w:tcPr>
            <w:tcW w:w="1057" w:type="dxa"/>
          </w:tcPr>
          <w:p w14:paraId="3E87495F" w14:textId="563F4FDF"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0.001**</w:t>
            </w:r>
          </w:p>
        </w:tc>
      </w:tr>
      <w:tr w:rsidR="009C54EF" w:rsidRPr="0089483E" w14:paraId="6E1456DB" w14:textId="77777777" w:rsidTr="00B960D3">
        <w:tc>
          <w:tcPr>
            <w:tcW w:w="4860" w:type="dxa"/>
          </w:tcPr>
          <w:p w14:paraId="42226365" w14:textId="5E503BE9"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679" w:type="dxa"/>
          </w:tcPr>
          <w:p w14:paraId="3C4BF69A" w14:textId="5304597B"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553</w:t>
            </w:r>
          </w:p>
        </w:tc>
        <w:tc>
          <w:tcPr>
            <w:tcW w:w="671" w:type="dxa"/>
          </w:tcPr>
          <w:p w14:paraId="494054C7" w14:textId="68E99880"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302</w:t>
            </w:r>
          </w:p>
        </w:tc>
        <w:tc>
          <w:tcPr>
            <w:tcW w:w="2520" w:type="dxa"/>
          </w:tcPr>
          <w:p w14:paraId="4401202C" w14:textId="648C5804"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0.31 [0.24, 0.40]</w:t>
            </w:r>
          </w:p>
        </w:tc>
        <w:tc>
          <w:tcPr>
            <w:tcW w:w="1057" w:type="dxa"/>
          </w:tcPr>
          <w:p w14:paraId="7A3C1591" w14:textId="47174CB2"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5F00E5A7" w14:textId="77777777" w:rsidTr="00B960D3">
        <w:tc>
          <w:tcPr>
            <w:tcW w:w="4860" w:type="dxa"/>
          </w:tcPr>
          <w:p w14:paraId="6AE22B63" w14:textId="77777777" w:rsidR="009C54EF" w:rsidRPr="00804F04" w:rsidRDefault="009C54EF" w:rsidP="009C54EF">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&gt;= 50%</w:t>
            </w:r>
            <w:r>
              <w:rPr>
                <w:rFonts w:ascii="Times New Roman" w:hAnsi="Times New Roman" w:cs="Times New Roman"/>
                <w:i/>
                <w:iCs/>
                <w:sz w:val="22"/>
                <w:szCs w:val="22"/>
                <w:vertAlign w:val="superscript"/>
              </w:rPr>
              <w:t>+</w:t>
            </w:r>
          </w:p>
        </w:tc>
        <w:tc>
          <w:tcPr>
            <w:tcW w:w="679" w:type="dxa"/>
          </w:tcPr>
          <w:p w14:paraId="01A77758" w14:textId="7B468197"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173</w:t>
            </w:r>
          </w:p>
        </w:tc>
        <w:tc>
          <w:tcPr>
            <w:tcW w:w="671" w:type="dxa"/>
          </w:tcPr>
          <w:p w14:paraId="109A208C" w14:textId="58ACA98A"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36</w:t>
            </w:r>
          </w:p>
        </w:tc>
        <w:tc>
          <w:tcPr>
            <w:tcW w:w="2520" w:type="dxa"/>
          </w:tcPr>
          <w:p w14:paraId="03DF4978" w14:textId="3DDD2785"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0.21 [0.12, 0.39]</w:t>
            </w:r>
          </w:p>
        </w:tc>
        <w:tc>
          <w:tcPr>
            <w:tcW w:w="1057" w:type="dxa"/>
          </w:tcPr>
          <w:p w14:paraId="28123ED3" w14:textId="77777777"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Default="001C74C1" w:rsidP="00743BF5">
      <w:pPr>
        <w:rPr>
          <w:rFonts w:ascii="Times New Roman" w:hAnsi="Times New Roman" w:cs="Times New Roman"/>
        </w:rPr>
      </w:pPr>
      <w:r>
        <w:rPr>
          <w:rFonts w:ascii="Times New Roman" w:hAnsi="Times New Roman" w:cs="Times New Roman"/>
        </w:rPr>
        <w:t>VA reports no disclosures. RBP ***.</w:t>
      </w:r>
    </w:p>
    <w:p w14:paraId="5F874751" w14:textId="77777777" w:rsidR="00F73752" w:rsidRPr="001C74C1" w:rsidRDefault="00F73752"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xml:space="preserve">. 2020;3:6. </w:t>
      </w:r>
      <w:r w:rsidRPr="005F1278">
        <w:rPr>
          <w:rFonts w:ascii="Times New Roman" w:hAnsi="Times New Roman" w:cs="Times New Roman"/>
        </w:rPr>
        <w:lastRenderedPageBreak/>
        <w:t>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0AE0CAA6" w14:textId="77777777" w:rsidR="007B6205" w:rsidRDefault="007B6205" w:rsidP="00624C9A">
      <w:pPr>
        <w:rPr>
          <w:rFonts w:ascii="Times New Roman" w:hAnsi="Times New Roman" w:cs="Times New Roman"/>
          <w:b/>
          <w:bCs/>
        </w:rPr>
      </w:pPr>
    </w:p>
    <w:p w14:paraId="0F56D452" w14:textId="77777777" w:rsidR="007B6205" w:rsidRDefault="007B6205" w:rsidP="00624C9A">
      <w:pPr>
        <w:rPr>
          <w:rFonts w:ascii="Times New Roman" w:hAnsi="Times New Roman" w:cs="Times New Roman"/>
          <w:b/>
          <w:bCs/>
        </w:rPr>
      </w:pPr>
    </w:p>
    <w:p w14:paraId="6244BA0C" w14:textId="77777777" w:rsidR="007B6205" w:rsidRDefault="007B6205" w:rsidP="00624C9A">
      <w:pPr>
        <w:rPr>
          <w:rFonts w:ascii="Times New Roman" w:hAnsi="Times New Roman" w:cs="Times New Roman"/>
          <w:b/>
          <w:bCs/>
        </w:rPr>
      </w:pPr>
    </w:p>
    <w:p w14:paraId="4C277C7C" w14:textId="77777777" w:rsidR="007B6205" w:rsidRDefault="007B6205" w:rsidP="00624C9A">
      <w:pPr>
        <w:rPr>
          <w:rFonts w:ascii="Times New Roman" w:hAnsi="Times New Roman" w:cs="Times New Roman"/>
          <w:b/>
          <w:bCs/>
        </w:rPr>
      </w:pPr>
    </w:p>
    <w:p w14:paraId="4676F5CC" w14:textId="77777777" w:rsidR="007B6205" w:rsidRDefault="007B6205" w:rsidP="00624C9A">
      <w:pPr>
        <w:rPr>
          <w:rFonts w:ascii="Times New Roman" w:hAnsi="Times New Roman" w:cs="Times New Roman"/>
          <w:b/>
          <w:bCs/>
        </w:rPr>
      </w:pPr>
    </w:p>
    <w:p w14:paraId="183D3A44" w14:textId="77777777" w:rsidR="007B6205" w:rsidRDefault="007B6205" w:rsidP="00624C9A">
      <w:pPr>
        <w:rPr>
          <w:rFonts w:ascii="Times New Roman" w:hAnsi="Times New Roman" w:cs="Times New Roman"/>
          <w:b/>
          <w:bCs/>
        </w:rPr>
      </w:pPr>
    </w:p>
    <w:p w14:paraId="444EA7CD" w14:textId="77777777" w:rsidR="007B6205" w:rsidRDefault="007B6205"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lastRenderedPageBreak/>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lastRenderedPageBreak/>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proofErr w:type="spellStart"/>
            <w:r w:rsidRPr="000653F2">
              <w:rPr>
                <w:rFonts w:ascii="Times New Roman" w:hAnsi="Times New Roman" w:cs="Times New Roman"/>
                <w:sz w:val="22"/>
                <w:szCs w:val="22"/>
              </w:rPr>
              <w:t>Nonsquamous</w:t>
            </w:r>
            <w:proofErr w:type="spellEnd"/>
            <w:r w:rsidRPr="000653F2">
              <w:rPr>
                <w:rFonts w:ascii="Times New Roman" w:hAnsi="Times New Roman" w:cs="Times New Roman"/>
                <w:sz w:val="22"/>
                <w:szCs w:val="22"/>
              </w:rPr>
              <w:t xml:space="preserve">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1E4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1243"/>
    <w:rsid w:val="00072608"/>
    <w:rsid w:val="0007445E"/>
    <w:rsid w:val="00076524"/>
    <w:rsid w:val="000801C0"/>
    <w:rsid w:val="00080D59"/>
    <w:rsid w:val="00081BAF"/>
    <w:rsid w:val="00081EE6"/>
    <w:rsid w:val="000821D8"/>
    <w:rsid w:val="00084321"/>
    <w:rsid w:val="00084C6B"/>
    <w:rsid w:val="00084D65"/>
    <w:rsid w:val="00090F09"/>
    <w:rsid w:val="000910DE"/>
    <w:rsid w:val="00092336"/>
    <w:rsid w:val="000932D7"/>
    <w:rsid w:val="000A1DA8"/>
    <w:rsid w:val="000A2A7D"/>
    <w:rsid w:val="000A31C1"/>
    <w:rsid w:val="000A7A17"/>
    <w:rsid w:val="000B095D"/>
    <w:rsid w:val="000B2D4E"/>
    <w:rsid w:val="000B571F"/>
    <w:rsid w:val="000B57BD"/>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472E"/>
    <w:rsid w:val="00115982"/>
    <w:rsid w:val="0011617C"/>
    <w:rsid w:val="00116986"/>
    <w:rsid w:val="00123DAB"/>
    <w:rsid w:val="001241BE"/>
    <w:rsid w:val="001247DD"/>
    <w:rsid w:val="00125577"/>
    <w:rsid w:val="00132A9A"/>
    <w:rsid w:val="00134620"/>
    <w:rsid w:val="00135875"/>
    <w:rsid w:val="0013783B"/>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87CCC"/>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BD9"/>
    <w:rsid w:val="00216ED3"/>
    <w:rsid w:val="0021718A"/>
    <w:rsid w:val="0022466B"/>
    <w:rsid w:val="00225A2B"/>
    <w:rsid w:val="002262CE"/>
    <w:rsid w:val="00227191"/>
    <w:rsid w:val="00234681"/>
    <w:rsid w:val="00235489"/>
    <w:rsid w:val="00235708"/>
    <w:rsid w:val="002358F9"/>
    <w:rsid w:val="002367A3"/>
    <w:rsid w:val="002369A0"/>
    <w:rsid w:val="00241018"/>
    <w:rsid w:val="00241291"/>
    <w:rsid w:val="00241F34"/>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2FAD"/>
    <w:rsid w:val="00293F2E"/>
    <w:rsid w:val="002A07A9"/>
    <w:rsid w:val="002A30BD"/>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0913"/>
    <w:rsid w:val="003011E8"/>
    <w:rsid w:val="00302168"/>
    <w:rsid w:val="00305085"/>
    <w:rsid w:val="00305E06"/>
    <w:rsid w:val="00307AAC"/>
    <w:rsid w:val="00311C83"/>
    <w:rsid w:val="00311DBA"/>
    <w:rsid w:val="00313D8F"/>
    <w:rsid w:val="00313F61"/>
    <w:rsid w:val="00320A6D"/>
    <w:rsid w:val="0032370D"/>
    <w:rsid w:val="00326BB9"/>
    <w:rsid w:val="003347B4"/>
    <w:rsid w:val="00334F24"/>
    <w:rsid w:val="00346504"/>
    <w:rsid w:val="00346DFA"/>
    <w:rsid w:val="0035082A"/>
    <w:rsid w:val="00351262"/>
    <w:rsid w:val="00351298"/>
    <w:rsid w:val="0035169D"/>
    <w:rsid w:val="00353273"/>
    <w:rsid w:val="00353815"/>
    <w:rsid w:val="00356BDD"/>
    <w:rsid w:val="003616E5"/>
    <w:rsid w:val="003642A1"/>
    <w:rsid w:val="00372EA4"/>
    <w:rsid w:val="0037373B"/>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853"/>
    <w:rsid w:val="003B09E8"/>
    <w:rsid w:val="003B3E8B"/>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E57D5"/>
    <w:rsid w:val="003F0007"/>
    <w:rsid w:val="003F061B"/>
    <w:rsid w:val="003F078E"/>
    <w:rsid w:val="003F4847"/>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4482C"/>
    <w:rsid w:val="00451128"/>
    <w:rsid w:val="00451787"/>
    <w:rsid w:val="004528F7"/>
    <w:rsid w:val="00453E35"/>
    <w:rsid w:val="00455386"/>
    <w:rsid w:val="004565AC"/>
    <w:rsid w:val="0046216F"/>
    <w:rsid w:val="00464616"/>
    <w:rsid w:val="004657D0"/>
    <w:rsid w:val="004755C6"/>
    <w:rsid w:val="00476693"/>
    <w:rsid w:val="00480F09"/>
    <w:rsid w:val="00483100"/>
    <w:rsid w:val="00483B2E"/>
    <w:rsid w:val="00486B1A"/>
    <w:rsid w:val="004872DB"/>
    <w:rsid w:val="00490929"/>
    <w:rsid w:val="00490C08"/>
    <w:rsid w:val="00490F4D"/>
    <w:rsid w:val="00492485"/>
    <w:rsid w:val="00497728"/>
    <w:rsid w:val="0049783E"/>
    <w:rsid w:val="0049790B"/>
    <w:rsid w:val="00497936"/>
    <w:rsid w:val="004A14C4"/>
    <w:rsid w:val="004A21F1"/>
    <w:rsid w:val="004B3700"/>
    <w:rsid w:val="004B4F4A"/>
    <w:rsid w:val="004B4F91"/>
    <w:rsid w:val="004B7DBC"/>
    <w:rsid w:val="004C0C49"/>
    <w:rsid w:val="004C202C"/>
    <w:rsid w:val="004C3C90"/>
    <w:rsid w:val="004C48E0"/>
    <w:rsid w:val="004C4EE4"/>
    <w:rsid w:val="004C5EB1"/>
    <w:rsid w:val="004C68D8"/>
    <w:rsid w:val="004C6ADF"/>
    <w:rsid w:val="004D12E5"/>
    <w:rsid w:val="004D2E44"/>
    <w:rsid w:val="004E454D"/>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1F4D"/>
    <w:rsid w:val="00522A20"/>
    <w:rsid w:val="00525A99"/>
    <w:rsid w:val="00527FC2"/>
    <w:rsid w:val="0053421A"/>
    <w:rsid w:val="00535108"/>
    <w:rsid w:val="0053564E"/>
    <w:rsid w:val="005362EE"/>
    <w:rsid w:val="005416C2"/>
    <w:rsid w:val="00545306"/>
    <w:rsid w:val="005461B5"/>
    <w:rsid w:val="00552903"/>
    <w:rsid w:val="00555AA8"/>
    <w:rsid w:val="00556874"/>
    <w:rsid w:val="00556CA8"/>
    <w:rsid w:val="00560503"/>
    <w:rsid w:val="005606F5"/>
    <w:rsid w:val="00560960"/>
    <w:rsid w:val="005638F5"/>
    <w:rsid w:val="0056482D"/>
    <w:rsid w:val="005650E7"/>
    <w:rsid w:val="005703B4"/>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6488"/>
    <w:rsid w:val="006273F9"/>
    <w:rsid w:val="00631BCA"/>
    <w:rsid w:val="00631BEA"/>
    <w:rsid w:val="00634FA8"/>
    <w:rsid w:val="006371B8"/>
    <w:rsid w:val="0064084D"/>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1C0D"/>
    <w:rsid w:val="00692AF6"/>
    <w:rsid w:val="006933EA"/>
    <w:rsid w:val="00693A07"/>
    <w:rsid w:val="00694829"/>
    <w:rsid w:val="006A4043"/>
    <w:rsid w:val="006A40A4"/>
    <w:rsid w:val="006A6BE7"/>
    <w:rsid w:val="006A78F3"/>
    <w:rsid w:val="006B0CE0"/>
    <w:rsid w:val="006B1DEB"/>
    <w:rsid w:val="006B3727"/>
    <w:rsid w:val="006B4A4A"/>
    <w:rsid w:val="006C1DE6"/>
    <w:rsid w:val="006C6782"/>
    <w:rsid w:val="006D15AF"/>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14"/>
    <w:rsid w:val="0072509B"/>
    <w:rsid w:val="00726085"/>
    <w:rsid w:val="007274FC"/>
    <w:rsid w:val="00730AF7"/>
    <w:rsid w:val="00736D8D"/>
    <w:rsid w:val="00736EC1"/>
    <w:rsid w:val="00743A1B"/>
    <w:rsid w:val="00743BF5"/>
    <w:rsid w:val="00744F3E"/>
    <w:rsid w:val="007464BD"/>
    <w:rsid w:val="00746CB9"/>
    <w:rsid w:val="00752D21"/>
    <w:rsid w:val="00763BB9"/>
    <w:rsid w:val="007649BC"/>
    <w:rsid w:val="0077092B"/>
    <w:rsid w:val="00770FDC"/>
    <w:rsid w:val="00772E0F"/>
    <w:rsid w:val="00776C82"/>
    <w:rsid w:val="007776F1"/>
    <w:rsid w:val="00777CBA"/>
    <w:rsid w:val="00780052"/>
    <w:rsid w:val="007802E4"/>
    <w:rsid w:val="00781D29"/>
    <w:rsid w:val="00782181"/>
    <w:rsid w:val="00786CBA"/>
    <w:rsid w:val="00786DC1"/>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205"/>
    <w:rsid w:val="007B691E"/>
    <w:rsid w:val="007C43D0"/>
    <w:rsid w:val="007C4553"/>
    <w:rsid w:val="007C6AA0"/>
    <w:rsid w:val="007C6CA9"/>
    <w:rsid w:val="007C6FE9"/>
    <w:rsid w:val="007D1433"/>
    <w:rsid w:val="007D6202"/>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4223"/>
    <w:rsid w:val="00825112"/>
    <w:rsid w:val="0082600A"/>
    <w:rsid w:val="00835D9D"/>
    <w:rsid w:val="0084024F"/>
    <w:rsid w:val="00840F0C"/>
    <w:rsid w:val="00841936"/>
    <w:rsid w:val="00842F88"/>
    <w:rsid w:val="00844189"/>
    <w:rsid w:val="00844A7B"/>
    <w:rsid w:val="00845775"/>
    <w:rsid w:val="008461E3"/>
    <w:rsid w:val="00847E48"/>
    <w:rsid w:val="008562B4"/>
    <w:rsid w:val="008562C9"/>
    <w:rsid w:val="00862D19"/>
    <w:rsid w:val="00863DB0"/>
    <w:rsid w:val="00864A66"/>
    <w:rsid w:val="00865C21"/>
    <w:rsid w:val="00867020"/>
    <w:rsid w:val="00873294"/>
    <w:rsid w:val="0087658F"/>
    <w:rsid w:val="00880889"/>
    <w:rsid w:val="00884D1F"/>
    <w:rsid w:val="00885F29"/>
    <w:rsid w:val="00891D8F"/>
    <w:rsid w:val="008946A3"/>
    <w:rsid w:val="0089483E"/>
    <w:rsid w:val="00897308"/>
    <w:rsid w:val="00897C42"/>
    <w:rsid w:val="008A7DFA"/>
    <w:rsid w:val="008B1579"/>
    <w:rsid w:val="008B5062"/>
    <w:rsid w:val="008B5262"/>
    <w:rsid w:val="008B5D35"/>
    <w:rsid w:val="008B6BFE"/>
    <w:rsid w:val="008B75F6"/>
    <w:rsid w:val="008C0B8F"/>
    <w:rsid w:val="008C2049"/>
    <w:rsid w:val="008C5230"/>
    <w:rsid w:val="008C762A"/>
    <w:rsid w:val="008D6140"/>
    <w:rsid w:val="008D6B16"/>
    <w:rsid w:val="008E0F67"/>
    <w:rsid w:val="008E2035"/>
    <w:rsid w:val="008E5769"/>
    <w:rsid w:val="008E7352"/>
    <w:rsid w:val="008E7BB3"/>
    <w:rsid w:val="008F04C5"/>
    <w:rsid w:val="008F25F2"/>
    <w:rsid w:val="008F2C44"/>
    <w:rsid w:val="00902969"/>
    <w:rsid w:val="00906FE0"/>
    <w:rsid w:val="00910292"/>
    <w:rsid w:val="00911429"/>
    <w:rsid w:val="009120A5"/>
    <w:rsid w:val="009126FC"/>
    <w:rsid w:val="00916D63"/>
    <w:rsid w:val="00916F9B"/>
    <w:rsid w:val="00917029"/>
    <w:rsid w:val="00917E7A"/>
    <w:rsid w:val="009218D6"/>
    <w:rsid w:val="00923986"/>
    <w:rsid w:val="0092518C"/>
    <w:rsid w:val="00927E3E"/>
    <w:rsid w:val="009305BC"/>
    <w:rsid w:val="00930E23"/>
    <w:rsid w:val="0093133A"/>
    <w:rsid w:val="00932D4F"/>
    <w:rsid w:val="009428B5"/>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801"/>
    <w:rsid w:val="00985A66"/>
    <w:rsid w:val="009A1E52"/>
    <w:rsid w:val="009B1126"/>
    <w:rsid w:val="009B1EF1"/>
    <w:rsid w:val="009B26F2"/>
    <w:rsid w:val="009B2F25"/>
    <w:rsid w:val="009C1EC3"/>
    <w:rsid w:val="009C54EF"/>
    <w:rsid w:val="009C6E87"/>
    <w:rsid w:val="009D461D"/>
    <w:rsid w:val="009D7BC7"/>
    <w:rsid w:val="009E2033"/>
    <w:rsid w:val="009E2255"/>
    <w:rsid w:val="009E2E6B"/>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6112"/>
    <w:rsid w:val="00A47775"/>
    <w:rsid w:val="00A51404"/>
    <w:rsid w:val="00A53C68"/>
    <w:rsid w:val="00A53CA7"/>
    <w:rsid w:val="00A56767"/>
    <w:rsid w:val="00A61870"/>
    <w:rsid w:val="00A62539"/>
    <w:rsid w:val="00A64D6F"/>
    <w:rsid w:val="00A73311"/>
    <w:rsid w:val="00A81098"/>
    <w:rsid w:val="00A8559B"/>
    <w:rsid w:val="00A9024A"/>
    <w:rsid w:val="00A91E73"/>
    <w:rsid w:val="00A93D19"/>
    <w:rsid w:val="00A9463A"/>
    <w:rsid w:val="00A9574F"/>
    <w:rsid w:val="00A973ED"/>
    <w:rsid w:val="00AA1F3E"/>
    <w:rsid w:val="00AB1114"/>
    <w:rsid w:val="00AB1E05"/>
    <w:rsid w:val="00AB4195"/>
    <w:rsid w:val="00AB6A19"/>
    <w:rsid w:val="00AC0B02"/>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3CFF"/>
    <w:rsid w:val="00B86AF0"/>
    <w:rsid w:val="00B904F1"/>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25E0"/>
    <w:rsid w:val="00BF327F"/>
    <w:rsid w:val="00BF3E92"/>
    <w:rsid w:val="00BF5DEB"/>
    <w:rsid w:val="00BF7F2E"/>
    <w:rsid w:val="00C017F1"/>
    <w:rsid w:val="00C01839"/>
    <w:rsid w:val="00C03321"/>
    <w:rsid w:val="00C05412"/>
    <w:rsid w:val="00C05A20"/>
    <w:rsid w:val="00C06269"/>
    <w:rsid w:val="00C11C84"/>
    <w:rsid w:val="00C138EF"/>
    <w:rsid w:val="00C13B8A"/>
    <w:rsid w:val="00C15808"/>
    <w:rsid w:val="00C15E38"/>
    <w:rsid w:val="00C1792C"/>
    <w:rsid w:val="00C20A11"/>
    <w:rsid w:val="00C229A5"/>
    <w:rsid w:val="00C22EA2"/>
    <w:rsid w:val="00C324E5"/>
    <w:rsid w:val="00C33CA5"/>
    <w:rsid w:val="00C34163"/>
    <w:rsid w:val="00C353FA"/>
    <w:rsid w:val="00C37964"/>
    <w:rsid w:val="00C40D3B"/>
    <w:rsid w:val="00C4194C"/>
    <w:rsid w:val="00C46FBA"/>
    <w:rsid w:val="00C509B2"/>
    <w:rsid w:val="00C5440F"/>
    <w:rsid w:val="00C54BE1"/>
    <w:rsid w:val="00C642A7"/>
    <w:rsid w:val="00C763D9"/>
    <w:rsid w:val="00C80180"/>
    <w:rsid w:val="00C80B83"/>
    <w:rsid w:val="00C819D9"/>
    <w:rsid w:val="00C854E7"/>
    <w:rsid w:val="00C856E8"/>
    <w:rsid w:val="00C86CCE"/>
    <w:rsid w:val="00C87DE7"/>
    <w:rsid w:val="00C90023"/>
    <w:rsid w:val="00C91921"/>
    <w:rsid w:val="00C931FD"/>
    <w:rsid w:val="00CA3F37"/>
    <w:rsid w:val="00CB0A8E"/>
    <w:rsid w:val="00CB1422"/>
    <w:rsid w:val="00CB5336"/>
    <w:rsid w:val="00CB58B2"/>
    <w:rsid w:val="00CB5F8A"/>
    <w:rsid w:val="00CD450F"/>
    <w:rsid w:val="00CD5868"/>
    <w:rsid w:val="00CE0340"/>
    <w:rsid w:val="00CE15C6"/>
    <w:rsid w:val="00CE6280"/>
    <w:rsid w:val="00CE6F9D"/>
    <w:rsid w:val="00CF0019"/>
    <w:rsid w:val="00CF3C6D"/>
    <w:rsid w:val="00CF7184"/>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47A7E"/>
    <w:rsid w:val="00D505E3"/>
    <w:rsid w:val="00D551D9"/>
    <w:rsid w:val="00D56048"/>
    <w:rsid w:val="00D60153"/>
    <w:rsid w:val="00D610CF"/>
    <w:rsid w:val="00D6389D"/>
    <w:rsid w:val="00D756F1"/>
    <w:rsid w:val="00D75D6B"/>
    <w:rsid w:val="00D827A4"/>
    <w:rsid w:val="00D8300D"/>
    <w:rsid w:val="00D87FC1"/>
    <w:rsid w:val="00D90184"/>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307F"/>
    <w:rsid w:val="00DC4C03"/>
    <w:rsid w:val="00DD08FC"/>
    <w:rsid w:val="00DD0C8D"/>
    <w:rsid w:val="00DD12D4"/>
    <w:rsid w:val="00DD5259"/>
    <w:rsid w:val="00DD6E27"/>
    <w:rsid w:val="00DE32B4"/>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69B3"/>
    <w:rsid w:val="00E1775D"/>
    <w:rsid w:val="00E23183"/>
    <w:rsid w:val="00E2553E"/>
    <w:rsid w:val="00E25891"/>
    <w:rsid w:val="00E27B5C"/>
    <w:rsid w:val="00E40A1F"/>
    <w:rsid w:val="00E42DC7"/>
    <w:rsid w:val="00E44FF6"/>
    <w:rsid w:val="00E450C0"/>
    <w:rsid w:val="00E504E8"/>
    <w:rsid w:val="00E52194"/>
    <w:rsid w:val="00E528FC"/>
    <w:rsid w:val="00E536D9"/>
    <w:rsid w:val="00E555BB"/>
    <w:rsid w:val="00E560C0"/>
    <w:rsid w:val="00E72A24"/>
    <w:rsid w:val="00E74D78"/>
    <w:rsid w:val="00E7568E"/>
    <w:rsid w:val="00E82F65"/>
    <w:rsid w:val="00E838A6"/>
    <w:rsid w:val="00E84701"/>
    <w:rsid w:val="00E84B42"/>
    <w:rsid w:val="00E85593"/>
    <w:rsid w:val="00E8790D"/>
    <w:rsid w:val="00E87FFB"/>
    <w:rsid w:val="00E94C65"/>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13AE"/>
    <w:rsid w:val="00F33C98"/>
    <w:rsid w:val="00F346F5"/>
    <w:rsid w:val="00F36D59"/>
    <w:rsid w:val="00F448A4"/>
    <w:rsid w:val="00F4524E"/>
    <w:rsid w:val="00F509CE"/>
    <w:rsid w:val="00F54945"/>
    <w:rsid w:val="00F570B1"/>
    <w:rsid w:val="00F608F2"/>
    <w:rsid w:val="00F60EC9"/>
    <w:rsid w:val="00F65320"/>
    <w:rsid w:val="00F65A2E"/>
    <w:rsid w:val="00F73752"/>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339"/>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1299</TotalTime>
  <Pages>21</Pages>
  <Words>15935</Words>
  <Characters>90836</Characters>
  <Application>Microsoft Office Word</Application>
  <DocSecurity>0</DocSecurity>
  <Lines>756</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860</cp:revision>
  <dcterms:created xsi:type="dcterms:W3CDTF">2024-02-25T18:31:00Z</dcterms:created>
  <dcterms:modified xsi:type="dcterms:W3CDTF">2024-05-19T22:27:00Z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