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Default="009303D9">
      <w:pPr>
        <w:pStyle w:val="papertitle"/>
        <w:spacing w:before="5pt" w:beforeAutospacing="1" w:after="5pt" w:afterAutospacing="1"/>
        <w:rPr>
          <w:kern w:val="48"/>
        </w:rPr>
      </w:pPr>
      <w:r>
        <w:rPr>
          <w:kern w:val="48"/>
        </w:rPr>
        <w:t>MediSentinel: Architecture Design of an AI-Driven Autonomous Cybersecurity Framework for Healthcare Systems and Medical IoT</w:t>
      </w:r>
    </w:p>
    <w:p w14:paraId="24DF2CD4" w14:textId="77777777" w:rsidR="009303D9" w:rsidRDefault="009303D9">
      <w:pPr>
        <w:pStyle w:val="Author"/>
        <w:spacing w:before="5pt" w:beforeAutospacing="1" w:after="5pt" w:afterAutospacing="1"/>
        <w:rPr>
          <w:sz w:val="16"/>
          <w:szCs w:val="16"/>
        </w:rPr>
      </w:pPr>
      <w:r>
        <w:rPr>
          <w:sz w:val="16"/>
          <w:szCs w:val="16"/>
        </w:rPr>
        <w:t>*Note: Sub-titles are not captured in Xplore and should not be used</w:t>
      </w:r>
    </w:p>
    <w:p w14:paraId="20C779BD" w14:textId="77777777" w:rsidR="009303D9" w:rsidRDefault="009303D9">
      <w:pPr>
        <w:pStyle w:val="Author"/>
        <w:spacing w:before="5pt" w:beforeAutospacing="1" w:after="5pt" w:afterAutospacing="1" w:line="6pt" w:lineRule="auto"/>
        <w:rPr>
          <w:sz w:val="16"/>
          <w:szCs w:val="16"/>
        </w:rPr>
      </w:pPr>
    </w:p>
    <w:p w14:paraId="1F960E65" w14:textId="77777777" w:rsidR="00D7522C" w:rsidRDefault="00D7522C">
      <w:pPr>
        <w:pStyle w:val="Author"/>
        <w:spacing w:before="5pt" w:beforeAutospacing="1" w:after="5pt" w:afterAutospacing="1" w:line="6pt" w:lineRule="auto"/>
        <w:sectPr w:rsidR="00D7522C" w:rsidSect="003B4E04">
          <w:footerReference w:type="first" r:id="rId8"/>
          <w:pgSz w:w="595.30pt" w:h="841.90pt" w:code="9"/>
          <w:pgMar w:top="27pt" w:right="44.65pt" w:bottom="72pt" w:left="44.65pt" w:header="36pt" w:footer="36pt" w:gutter="0pt"/>
          <w:cols w:space="36pt"/>
          <w:titlePg/>
          <w:docGrid w:linePitch="360"/>
        </w:sectPr>
      </w:pPr>
    </w:p>
    <w:p w14:paraId="33C58DB4" w14:textId="77777777" w:rsidR="009303D9" w:rsidRDefault="009303D9">
      <w:pPr>
        <w:pStyle w:val="Author"/>
        <w:spacing w:before="5pt" w:beforeAutospacing="1"/>
      </w:pPr>
      <w:r>
        <w:rPr>
          <w:b/>
          <w:sz w:val="18"/>
          <w:szCs w:val="18"/>
        </w:rPr>
        <w:t xml:space="preserve">Shivaraj M</w:t>
      </w:r>
      <w:r>
        <w:rPr>
          <w:i/>
          <w:sz w:val="18"/>
          <w:szCs w:val="18"/>
        </w:rPr>
        <w:br/>
        <w:t xml:space="preserve">Dept. of Computer Science and Engineering</w:t>
      </w:r>
      <w:r>
        <w:rPr>
          <w:i/>
          <w:sz w:val="18"/>
          <w:szCs w:val="18"/>
        </w:rPr>
        <w:br/>
        <w:t xml:space="preserve">R V College of Engineering</w:t>
      </w:r>
      <w:r>
        <w:rPr>
          <w:sz w:val="18"/>
          <w:szCs w:val="18"/>
        </w:rPr>
        <w:br/>
        <w:t xml:space="preserve">Bangalore, India</w:t>
      </w:r>
      <w:r>
        <w:rPr>
          <w:sz w:val="18"/>
          <w:szCs w:val="18"/>
        </w:rPr>
        <w:br/>
        <w:t xml:space="preserve">shivarajm.cs25@rvce.edu.in</w:t>
      </w:r>
      <w:r>
        <w:rPr>
          <w:sz w:val="18"/>
          <w:szCs w:val="18"/>
        </w:rPr>
        <w:br w:type="column"/>
      </w:r>
      <w:r>
        <w:rPr>
          <w:b/>
          <w:sz w:val="18"/>
          <w:szCs w:val="18"/>
        </w:rPr>
        <w:t xml:space="preserve">Rathod Vaibhav Vishwas Ram</w:t>
      </w:r>
      <w:r>
        <w:rPr>
          <w:i/>
          <w:sz w:val="18"/>
          <w:szCs w:val="18"/>
        </w:rPr>
        <w:br/>
        <w:t xml:space="preserve">Dept. of Computer Science and Engineering</w:t>
      </w:r>
      <w:r>
        <w:rPr>
          <w:i/>
          <w:sz w:val="18"/>
          <w:szCs w:val="18"/>
        </w:rPr>
        <w:br/>
        <w:t xml:space="preserve">R V College of Engineering</w:t>
      </w:r>
      <w:r>
        <w:rPr>
          <w:sz w:val="18"/>
          <w:szCs w:val="18"/>
        </w:rPr>
        <w:br/>
        <w:t xml:space="preserve">Bangalore, India</w:t>
      </w:r>
      <w:r>
        <w:rPr>
          <w:sz w:val="18"/>
          <w:szCs w:val="18"/>
        </w:rPr>
        <w:br/>
        <w:t xml:space="preserve">rathodvvr.cs25@rvce.edu.in</w:t>
      </w:r>
    </w:p>
    <w:p w14:paraId="30CC809A" w14:textId="77777777" w:rsidR="009303D9" w:rsidRDefault="009303D9">
      <w:pPr>
        <w:pStyle w:val="Author"/>
        <w:spacing w:before="5pt" w:beforeAutospacing="1"/>
      </w:pPr>
      <w:r>
        <w:rPr>
          <w:b/>
          <w:sz w:val="18"/>
          <w:szCs w:val="18"/>
        </w:rPr>
        <w:t xml:space="preserve">Dr. Mohana, Associate Professor</w:t>
      </w:r>
      <w:r>
        <w:rPr>
          <w:i/>
          <w:sz w:val="18"/>
          <w:szCs w:val="18"/>
        </w:rPr>
        <w:br/>
        <w:t xml:space="preserve">Dept. of Computer Science and Engineering</w:t>
      </w:r>
      <w:r>
        <w:rPr>
          <w:i/>
          <w:sz w:val="18"/>
          <w:szCs w:val="18"/>
        </w:rPr>
        <w:br/>
        <w:t xml:space="preserve">R V College of Engineering</w:t>
      </w:r>
      <w:r>
        <w:rPr>
          <w:sz w:val="18"/>
          <w:szCs w:val="18"/>
        </w:rPr>
        <w:br/>
        <w:t xml:space="preserve">Bangalore, India</w:t>
      </w:r>
      <w:r>
        <w:rPr>
          <w:sz w:val="18"/>
          <w:szCs w:val="18"/>
        </w:rPr>
        <w:br/>
        <w:t xml:space="preserve">mohana@rvce.edu.in</w:t>
      </w:r>
      <w:r>
        <w:rPr>
          <w:sz w:val="18"/>
          <w:szCs w:val="18"/>
        </w:rPr>
        <w:br w:type="column"/>
      </w:r>
      <w:r>
        <w:rPr>
          <w:b/>
          <w:sz w:val="18"/>
          <w:szCs w:val="18"/>
        </w:rPr>
        <w:t xml:space="preserve">Dr. Sudarsan B. G, Associate Professor</w:t>
      </w:r>
      <w:r>
        <w:rPr>
          <w:i/>
          <w:sz w:val="18"/>
          <w:szCs w:val="18"/>
        </w:rPr>
        <w:br/>
        <w:t xml:space="preserve">Dept. of Electronics and Instrumentation Engineering</w:t>
      </w:r>
      <w:r>
        <w:rPr>
          <w:i/>
          <w:sz w:val="18"/>
          <w:szCs w:val="18"/>
        </w:rPr>
        <w:br/>
        <w:t xml:space="preserve">R V College of Engineering</w:t>
      </w:r>
      <w:r>
        <w:rPr>
          <w:sz w:val="18"/>
          <w:szCs w:val="18"/>
        </w:rPr>
        <w:br/>
        <w:t xml:space="preserve">Bangalore, India</w:t>
      </w:r>
      <w:r>
        <w:rPr>
          <w:sz w:val="18"/>
          <w:szCs w:val="18"/>
        </w:rPr>
        <w:br/>
        <w:t xml:space="preserve">sudharshanbg@rvce.edu.in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Default="00BD670B">
      <w:pPr>
        <w:sectPr w:rsidR="009303D9" w:rsidSect="003B4E04">
          <w:type w:val="continuous"/>
          <w:pgSz w:w="595.30pt" w:h="841.90pt" w:code="9"/>
          <w:pgMar w:top="22.50pt" w:right="44.65pt" w:bottom="72pt" w:left="44.65pt" w:header="36pt" w:footer="36pt" w:gutter="0pt"/>
          <w:cols w:num="3" w:space="36pt"/>
          <w:docGrid w:linePitch="360"/>
        </w:sectPr>
      </w:pPr>
      <w:r>
        <w:br w:type="column"/>
      </w:r>
    </w:p>
    <w:p w14:paraId="19AC127F" w14:textId="77777777" w:rsidR="009303D9" w:rsidRDefault="009303D9">
      <w:pPr>
        <w:pStyle w:val="Abstract"/>
      </w:pPr>
      <w:r>
        <w:rPr>
          <w:b/>
          <w:i/>
          <w:iCs/>
        </w:rPr>
        <w:t>Abstract</w:t>
      </w:r>
      <w:r>
        <w:t xml:space="preserve">—The healthcare sector faces unprecedented cybersecurity threats, with the average data breach costing $10.9 million per incident. Modern hospital networks are critically exposed through Electronic Health Records (EHR) systems, cloud infrastructure, and an expanding fleet of Medical IoT devices including infusion pumps, ventilators, and networked pacemakers. Existing signature-based Intrusion Detection Systems fail to detect novel ransomware, zero-day exploits, and AI-driven adversarial attacks, leaving human teams an average of 197 days to identify a breach. MediSentinel is a multi-agent, AI-driven autonomous cybersecurity framework engineered for healthcare environments. It orchestrates five specialized AI agents—Network Monitor, IoT Guardian, Threat Intelligence, Incident Response, and Compliance Audit—over an Apache Kafka and MQTT streaming backbone, achieving threat detection within 5 seconds and autonomous containment within 10 seconds. Detection models using Isolation Forest, LSTM networks, and Autoencoders are trained on CICIDS-2018, NSL-KDD, and IoTID20 benchmarks and hardened via IBM’s Adversarial Robustness Toolbox. Operating entirely on-premise using open-source components, MediSentinel ensures HIPAA-compliant audit logging and full patient data sovereignty.</w:t>
      </w:r>
    </w:p>
    <w:p w14:paraId="4CCA6BAD" w14:textId="77777777" w:rsidR="009303D9" w:rsidRDefault="009303D9">
      <w:pPr>
        <w:pStyle w:val="Keywords"/>
      </w:pPr>
      <w:r>
        <w:t xml:space="preserve">Keywords—Healthcare Cybersecurity, Multi-Agent AI, Medical IoT Security, Intrusion Detection, Anomaly Detection, LSTM, Isolation Forest, Autoencoder, Autonomous Incident Response, Ransomware Detection, Zero-Day Exploits, Adversarial Robustness, HIPAA Compliance, Apache Kafka</w:t>
      </w:r>
    </w:p>
    <w:p w14:paraId="16F2FE9E" w14:textId="77777777" w:rsidR="009303D9" w:rsidRDefault="009303D9">
      <w:pPr>
        <w:pStyle w:val="Heading1"/>
      </w:pPr>
      <w:r>
        <w:t xml:space="preserve">Introduction</w:t>
      </w:r>
    </w:p>
    <w:p w14:paraId="1D893FC0" w14:textId="77777777" w:rsidR="009303D9" w:rsidRDefault="009303D9">
      <w:pPr>
        <w:pStyle w:val="BodyText"/>
      </w:pPr>
      <w:r>
        <w:t xml:space="preserve">Digital transformation has reshaped modern healthcare. Hospitals now rely on interconnected ecosystems spanning Electronic Health Records (EHR) platforms, cloud-based diagnostic storage, and a growing fleet of networked Medical IoT devices including infusion pumps, ventilators, cardiac monitors, and implantable pacemakers. While this connectivity enables unprecedented clinical efficiency, it simultaneously expands the attack surface to a degree that existing security paradigms cannot adequately address [1].</w:t>
      </w:r>
    </w:p>
    <w:p w14:paraId="1FDC98F7" w14:textId="77777777" w:rsidR="009303D9" w:rsidRDefault="009303D9">
      <w:pPr>
        <w:pStyle w:val="BodyText"/>
      </w:pPr>
      <w:r>
        <w:t xml:space="preserve">Healthcare maintains the highest average cost of any industry for data breaches, reaching $10.9 million per incident according to the IBM Security Cost of a Data Breach Report 2023 [1]. In 2020, a ransomware attack on Dusseldorf University Hospital resulted in the first documented patient death directly attributable to a cyberattack, underscoring that cybersecurity failures in healthcare are not merely financial—they can cost lives [2]. The Ponemon Institute (2022) found that 89% of healthcare organizations experienced at least one cyberattack in the preceding two years [3].</w:t>
      </w:r>
    </w:p>
    <w:p w14:paraId="111E2700" w14:textId="77777777" w:rsidR="009303D9" w:rsidRDefault="009303D9">
      <w:pPr>
        <w:pStyle w:val="BodyText"/>
      </w:pPr>
      <w:r>
        <w:t xml:space="preserve">Signature-based IDS solutions fail to detect over 60% of novel attack patterns [4]. Mean time to identify a breach stands at 197 days with an additional 69 days for containment [1]—entirely incompatible with patient-safety requirements. MediSentinel closes this gap through a proactive, autonomous, AI-driven security framework purpose-built for healthcare constraints.</w:t>
      </w:r>
    </w:p>
    <w:p w14:paraId="6153A9FC" w14:textId="77777777" w:rsidR="009303D9" w:rsidRDefault="009303D9">
      <w:pPr>
        <w:pStyle w:val="Heading2"/>
      </w:pPr>
      <w:r>
        <w:t xml:space="preserve">Problem Statement</w:t>
      </w:r>
    </w:p>
    <w:p w14:paraId="0B2500EF" w14:textId="77777777" w:rsidR="009303D9" w:rsidRDefault="009303D9">
      <w:pPr>
        <w:pStyle w:val="BodyText"/>
      </w:pPr>
      <w:r>
        <w:t xml:space="preserve">The core problem is a fundamental mismatch between the healthcare threat environment and its current defences across five dimensions:</w:t>
      </w:r>
    </w:p>
    <w:p w14:paraId="2035B757" w14:textId="77777777" w:rsidR="009303D9" w:rsidRDefault="009303D9">
      <w:pPr>
        <w:pStyle w:val="bulletlist"/>
      </w:pPr>
      <w:r>
        <w:t xml:space="preserve">Legacy Medical IoT Vulnerability: Ventilators and infusion pumps operate on outdated, unpatched firmware lacking vendor support [5], functioning as permanently open attack vectors.</w:t>
      </w:r>
    </w:p>
    <w:p w14:paraId="5D60E378" w14:textId="77777777" w:rsidR="009303D9" w:rsidRDefault="009303D9">
      <w:pPr>
        <w:pStyle w:val="bulletlist"/>
      </w:pPr>
      <w:r>
        <w:t xml:space="preserve">Signature-Based Detection Blindness: Rule-based IDS is blind to zero-day exploits, polymorphic malware, and behavioral anomalies characteristic of modern ransomware campaigns [4].</w:t>
      </w:r>
    </w:p>
    <w:p w14:paraId="31185BC2" w14:textId="77777777" w:rsidR="009303D9" w:rsidRDefault="009303D9">
      <w:pPr>
        <w:pStyle w:val="bulletlist"/>
      </w:pPr>
      <w:r>
        <w:t xml:space="preserve">Unacceptable Response Latency: A 197-day mean time-to-detection renders reactive security models clinically untenable; a compromised IV pump can harm patients within minutes.</w:t>
      </w:r>
    </w:p>
    <w:p w14:paraId="4401AAD9" w14:textId="77777777" w:rsidR="009303D9" w:rsidRDefault="009303D9">
      <w:pPr>
        <w:pStyle w:val="bulletlist"/>
      </w:pPr>
      <w:r>
        <w:t xml:space="preserve">AI-Powered Adversarial Attacks: ML-evasion techniques and AI-generated phishing campaigns render static detection models increasingly ineffective over time.</w:t>
      </w:r>
    </w:p>
    <w:p w14:paraId="57A76CEE" w14:textId="77777777" w:rsidR="009303D9" w:rsidRDefault="009303D9">
      <w:pPr>
        <w:pStyle w:val="bulletlist"/>
      </w:pPr>
      <w:r>
        <w:t xml:space="preserve">Operational Continuity Requirements: Any security solution that disrupts clinical workflows creates its own patient safety risk.</w:t>
      </w:r>
    </w:p>
    <w:p w14:paraId="59B998E7" w14:textId="77777777" w:rsidR="009303D9" w:rsidRDefault="009303D9">
      <w:pPr>
        <w:pStyle w:val="Heading2"/>
      </w:pPr>
      <w:r>
        <w:t xml:space="preserve">Objectives</w:t>
      </w:r>
    </w:p>
    <w:p w14:paraId="4501CCAD" w14:textId="77777777" w:rsidR="009303D9" w:rsidRDefault="009303D9">
      <w:pPr>
        <w:pStyle w:val="BodyText"/>
      </w:pPr>
      <w:r>
        <w:t xml:space="preserve">MediSentinel pursues four primary objectives:</w:t>
      </w:r>
    </w:p>
    <w:p w14:paraId="0B8FC171" w14:textId="77777777" w:rsidR="009303D9" w:rsidRDefault="009303D9">
      <w:pPr>
        <w:pStyle w:val="bulletlist"/>
      </w:pPr>
      <w:r>
        <w:t xml:space="preserve">Design and implement a cooperative multi-agent AI system detecting threats in real time and executing automated responses with minimal human intervention.</w:t>
      </w:r>
    </w:p>
    <w:p w14:paraId="782CBB91" w14:textId="77777777" w:rsidR="009303D9" w:rsidRDefault="009303D9">
      <w:pPr>
        <w:pStyle w:val="bulletlist"/>
      </w:pPr>
      <w:r>
        <w:t xml:space="preserve">Build and validate ML/DL anomaly detection using Isolation Forest, LSTM, and Autoencoders, targeting 95% accuracy with a false positive rate below 2%.</w:t>
      </w:r>
    </w:p>
    <w:p w14:paraId="4FEC996A" w14:textId="77777777" w:rsidR="009303D9" w:rsidRDefault="009303D9">
      <w:pPr>
        <w:pStyle w:val="bulletlist"/>
      </w:pPr>
      <w:r>
        <w:t xml:space="preserve">Develop an automated containment system for device quarantine, traffic blocking, backup recovery, and alert generation without human approval in urgent scenarios.</w:t>
      </w:r>
    </w:p>
    <w:p w14:paraId="3EB08FD5" w14:textId="77777777" w:rsidR="009303D9" w:rsidRDefault="009303D9">
      <w:pPr>
        <w:pStyle w:val="bulletlist"/>
      </w:pPr>
      <w:r>
        <w:t xml:space="preserve">Monitor Medical IoT behavior passively without firmware updates, maintaining a continuously updated threat intelligence pipeline via live STIX/TAXII feeds.</w:t>
      </w:r>
    </w:p>
    <w:p w14:paraId="19982BE5" w14:textId="77777777" w:rsidR="009303D9" w:rsidRDefault="009303D9">
      <w:pPr>
        <w:pStyle w:val="Heading1"/>
      </w:pPr>
      <w:r>
        <w:t xml:space="preserve">Literature Review</w:t>
      </w:r>
    </w:p>
    <w:p w14:paraId="360846B1" w14:textId="77777777" w:rsidR="009303D9" w:rsidRDefault="009303D9">
      <w:pPr>
        <w:pStyle w:val="BodyText"/>
      </w:pPr>
      <w:r>
        <w:t xml:space="preserve">Existing literature reveals progress in individual domains yet exposes a critical gap: no prior work integrates autonomous multi-agent orchestration, real-time ML-based threat detection, passive Medical IoT monitoring, adversarial robustness, and HIPAA-compliant audit logging into a single cohesive on-premise framework [6], [7].</w:t>
      </w:r>
    </w:p>
    <w:p w14:paraId="5C81E38F" w14:textId="77777777" w:rsidR="009303D9" w:rsidRDefault="009303D9">
      <w:pPr>
        <w:pStyle w:val="Heading2"/>
      </w:pPr>
      <w:r>
        <w:t xml:space="preserve">Intrusion Detection Systems in Healthcare</w:t>
      </w:r>
    </w:p>
    <w:p w14:paraId="4E8DDD21" w14:textId="77777777" w:rsidR="009303D9" w:rsidRDefault="009303D9">
      <w:pPr>
        <w:pStyle w:val="BodyText"/>
      </w:pPr>
      <w:r>
        <w:t xml:space="preserve">Traditional IDS such as Snort and Suricata operate on signature databases and miss over 60% of novel attack vectors in healthcare environments [4], [8]. ML-based approaches achieve high benchmark accuracy but suffer from elevated false positive rates in production due to distributional shift [9]. MediSentinel addresses this through ensemble methods, adversarial training, and continuous model retraining against live threat intelligence feeds.</w:t>
      </w:r>
    </w:p>
    <w:p w14:paraId="4B60ED16" w14:textId="77777777" w:rsidR="009303D9" w:rsidRDefault="009303D9">
      <w:pPr>
        <w:pStyle w:val="Heading2"/>
      </w:pPr>
      <w:r>
        <w:t xml:space="preserve">Anomaly Detection for Medical IoT</w:t>
      </w:r>
    </w:p>
    <w:p w14:paraId="1BCC92D9" w14:textId="77777777" w:rsidR="009303D9" w:rsidRDefault="009303D9">
      <w:pPr>
        <w:pStyle w:val="BodyText"/>
      </w:pPr>
      <w:r>
        <w:t xml:space="preserve">Medical IoT devices run proprietary firmware on resource-constrained hardware, making agent-based security impossible without vendor cooperation and cannot be taken offline for patching [5]. Passive network behavior analysis is the only viable monitoring paradigm [10]. Autoencoder-based anomaly detection, which flags high reconstruction error as anomalous, demonstrates strong effectiveness for IoT behavioral monitoring [11].</w:t>
      </w:r>
    </w:p>
    <w:p w14:paraId="6584603B" w14:textId="77777777" w:rsidR="009303D9" w:rsidRDefault="009303D9">
      <w:pPr>
        <w:pStyle w:val="Heading2"/>
      </w:pPr>
      <w:r>
        <w:t xml:space="preserve">Multi-Agent Systems for Cybersecurity</w:t>
      </w:r>
    </w:p>
    <w:p w14:paraId="7384B6A2" w14:textId="77777777" w:rsidR="009303D9" w:rsidRDefault="009303D9">
      <w:pPr>
        <w:pStyle w:val="BodyText"/>
      </w:pPr>
      <w:r>
        <w:t xml:space="preserve">Cooperative multi-agent architectures improve scalability and detection accuracy by decomposing responsibilities across specialized agents [12]. Apache Kafka enables asynchronous, fault-tolerant agent communication at scale [13]. Prior multi-agent healthcare security systems address network intrusion or IoT monitoring in isolation. MediSentinel unifies all five security functions within a single coordinated cluster for the first time.</w:t>
      </w:r>
    </w:p>
    <w:p w14:paraId="64F78AC6" w14:textId="77777777" w:rsidR="009303D9" w:rsidRDefault="009303D9">
      <w:pPr>
        <w:pStyle w:val="Heading2"/>
      </w:pPr>
      <w:r>
        <w:t xml:space="preserve">Adversarial Robustness</w:t>
      </w:r>
    </w:p>
    <w:p w14:paraId="2FEE91C7" w14:textId="77777777" w:rsidR="009303D9" w:rsidRDefault="009303D9">
      <w:pPr>
        <w:pStyle w:val="BodyText"/>
      </w:pPr>
      <w:r>
        <w:t xml:space="preserve">FGSM and Carlini-Wagner attacks reduce classification accuracy of standard IDS models significantly [14], [15]. IBM’s Adversarial Robustness Toolbox (ART) provides a standardized framework for adversarial training and certified defences [16]. MediSentinel integrates ART-based hardening as a mandatory component of its training pipeline, re-executed on each retraining cycle.</w:t>
      </w:r>
    </w:p>
    <w:p w14:paraId="6951F59D" w14:textId="77777777" w:rsidR="009303D9" w:rsidRDefault="009303D9">
      <w:pPr>
        <w:pStyle w:val="Heading1"/>
      </w:pPr>
      <w:r>
        <w:t xml:space="preserve">Methodology</w:t>
      </w:r>
    </w:p>
    <w:p w14:paraId="31BDA620" w14:textId="77777777" w:rsidR="009303D9" w:rsidRDefault="009303D9">
      <w:pPr>
        <w:pStyle w:val="BodyText"/>
      </w:pPr>
      <w:r>
        <w:t xml:space="preserve">MediSentinel employs a distributed, microservices-based architecture around a cooperative cluster of five AI agents communicating over Apache Kafka, targeting sub-second telemetry ingestion, real-time anomaly inference, and autonomous containment within 10 seconds.</w:t>
      </w:r>
    </w:p>
    <w:p w14:paraId="6E55605D" w14:textId="77777777" w:rsidR="009303D9" w:rsidRDefault="009303D9">
      <w:pPr>
        <w:pStyle w:val="Heading2"/>
      </w:pPr>
      <w:r>
        <w:t xml:space="preserve">System Architecture</w:t>
      </w:r>
    </w:p>
    <w:p w14:paraId="5767DC82" w14:textId="77777777" w:rsidR="009303D9" w:rsidRDefault="009303D9">
      <w:pPr>
        <w:pStyle w:val="BodyText"/>
      </w:pPr>
      <w:r>
        <w:t xml:space="preserve">The architecture comprises four layers: (1) IoT Data Ingestion via Eclipse Mosquitto MQTT, (2) Message Broker via Apache Kafka, (3) Core Logic comprising the FastAPI backend and AI Agents Cluster, and (4) the React Presentation Layer. Devices publish telemetry to topics devices/{id}/data and devices/{id}/status. The backend auto-registers devices in PostgreSQL, forwards payloads to Kafka raw_data, and broadcasts anomaly alerts to the React dashboard via persistent WebSocket connections achieving sub-second delivery.</w:t>
      </w:r>
    </w:p>
    <w:p w14:paraId="1B462D66" w14:textId="77777777" w:rsidR="009303D9" w:rsidRDefault="009303D9">
      <w:pPr>
        <w:pStyle w:val="Heading2"/>
      </w:pPr>
      <w:r>
        <w:t xml:space="preserve">Infrastructure Module</w:t>
      </w:r>
    </w:p>
    <w:p w14:paraId="138DCC27" w14:textId="77777777" w:rsidR="009303D9" w:rsidRDefault="009303D9">
      <w:pPr>
        <w:pStyle w:val="BodyText"/>
      </w:pPr>
      <w:r>
        <w:t xml:space="preserve">Eclipse Mosquitto provides the primary ingestion point for Medical IoT telemetry. Apache Kafka guarantees ordered, fault-tolerant delivery across three topics: raw_data, alerts, and threat_intel. PostgreSQL maintains device registries, historical alerts, and compliance audit entries with ACID compliance. Redis provides in-memory caching for rapidly changing device state and session management.</w:t>
      </w:r>
    </w:p>
    <w:p w14:paraId="3B21E26E" w14:textId="77777777" w:rsidR="009303D9" w:rsidRDefault="009303D9">
      <w:pPr>
        <w:pStyle w:val="Heading2"/>
      </w:pPr>
      <w:r>
        <w:t xml:space="preserve">AI Agents Cluster</w:t>
      </w:r>
    </w:p>
    <w:p w14:paraId="549D7D2E" w14:textId="77777777" w:rsidR="009303D9" w:rsidRDefault="009303D9">
      <w:pPr>
        <w:pStyle w:val="BodyText"/>
      </w:pPr>
      <w:r>
        <w:t xml:space="preserve">Five specialized background agents deployed as an independent microservice form the intelligence core:</w:t>
      </w:r>
    </w:p>
    <w:p w14:paraId="16F980E4" w14:textId="77777777" w:rsidR="009303D9" w:rsidRDefault="009303D9">
      <w:pPr>
        <w:pStyle w:val="Heading3"/>
      </w:pPr>
      <w:r>
        <w:t xml:space="preserve">Network Monitor Agent</w:t>
      </w:r>
    </w:p>
    <w:p w14:paraId="6CDBB99C" w14:textId="77777777" w:rsidR="009303D9" w:rsidRDefault="009303D9">
      <w:pPr>
        <w:pStyle w:val="BodyText"/>
      </w:pPr>
      <w:r>
        <w:t xml:space="preserve">Employs two complementary methods. An LSTM network trained on 60-second traffic windows models temporal dynamics; sequences diverging beyond threshold tau_net are flagged. An Isolation Forest assigns anomaly scores via average isolation path length on per-flow features. Alerts fire only when both methods agree (logical AND), reducing false positives while preserving recall.</w:t>
      </w:r>
    </w:p>
    <w:p w14:paraId="48A0ABC2" w14:textId="77777777" w:rsidR="009303D9" w:rsidRDefault="009303D9">
      <w:pPr>
        <w:pStyle w:val="Heading3"/>
      </w:pPr>
      <w:r>
        <w:t xml:space="preserve">IoT Guardian Agent</w:t>
      </w:r>
    </w:p>
    <w:p w14:paraId="2B6E04E5" w14:textId="77777777" w:rsidR="009303D9" w:rsidRDefault="009303D9">
      <w:pPr>
        <w:pStyle w:val="BodyText"/>
      </w:pPr>
      <w:r>
        <w:t xml:space="preserve">Monitors per-device behavioral telemetry using per-device-class Autoencoders. Each model learns a low-dimensional encoding of normal operational metrics (CPU, memory, packet rates, sensor outputs). Reconstruction error exceeding the 99.5th-percentile validation threshold triggers an anomaly alert, detecting compromise and malfunction without firmware modification or device downtime.</w:t>
      </w:r>
    </w:p>
    <w:p w14:paraId="0AAE9D1F" w14:textId="77777777" w:rsidR="009303D9" w:rsidRDefault="009303D9">
      <w:pPr>
        <w:pStyle w:val="Heading3"/>
      </w:pPr>
      <w:r>
        <w:t xml:space="preserve">Incident Response Agent</w:t>
      </w:r>
    </w:p>
    <w:p w14:paraId="7942AD8C" w14:textId="77777777" w:rsidR="009303D9" w:rsidRDefault="009303D9">
      <w:pPr>
        <w:pStyle w:val="BodyText"/>
      </w:pPr>
      <w:r>
        <w:t xml:space="preserve">Triggered when high-severity alerts appear on the Kafka alerts topic, executing: (1) device isolation via SNMP/SDN API, (2) firewall rule injection, (3) structured alert publication, and (4) emergency EHR database snapshot for ransomware-class threats. A 500 ms human-override window is maintained for life-critical devices before executing isolation.</w:t>
      </w:r>
    </w:p>
    <w:p w14:paraId="5BCC2B94" w14:textId="77777777" w:rsidR="009303D9" w:rsidRDefault="009303D9">
      <w:pPr>
        <w:pStyle w:val="Heading3"/>
      </w:pPr>
      <w:r>
        <w:t xml:space="preserve">Threat Intelligence Agent</w:t>
      </w:r>
    </w:p>
    <w:p w14:paraId="43BCF8A9" w14:textId="77777777" w:rsidR="009303D9" w:rsidRDefault="009303D9">
      <w:pPr>
        <w:pStyle w:val="BodyText"/>
      </w:pPr>
      <w:r>
        <w:t xml:space="preserve">Continuously polls STIX/TAXII feeds for the latest Indicators of Compromise. Retrieved bundles are parsed, deduplicated against PostgreSQL, and injected into the threat_intel Kafka topic. Detection agents subscribe and incorporate new signatures without service restart.</w:t>
      </w:r>
    </w:p>
    <w:p w14:paraId="56C44E7C" w14:textId="77777777" w:rsidR="009303D9" w:rsidRDefault="009303D9">
      <w:pPr>
        <w:pStyle w:val="Heading3"/>
      </w:pPr>
      <w:r>
        <w:t xml:space="preserve">Compliance and Audit Agent</w:t>
      </w:r>
    </w:p>
    <w:p w14:paraId="6331F329" w14:textId="77777777" w:rsidR="009303D9" w:rsidRDefault="009303D9">
      <w:pPr>
        <w:pStyle w:val="BodyText"/>
      </w:pPr>
      <w:r>
        <w:t xml:space="preserve">Intercepts all agent-generated events and appends them to an immutable, cryptographically hash-chained audit log where each record stores h_i = SHA-256(r_{i-1} || t_i || payload), satisfying HIPAA Security Rule audit control requirements (45 CFR 164.312(b)) and HITRUST CSF Control 09.aa.</w:t>
      </w:r>
    </w:p>
    <w:p w14:paraId="0B4D1A68" w14:textId="77777777" w:rsidR="009303D9" w:rsidRDefault="009303D9">
      <w:pPr>
        <w:pStyle w:val="Heading2"/>
      </w:pPr>
      <w:r>
        <w:t xml:space="preserve">Adversarial Robustness Pipeline</w:t>
      </w:r>
    </w:p>
    <w:p w14:paraId="3C1978B8" w14:textId="77777777" w:rsidR="009303D9" w:rsidRDefault="009303D9">
      <w:pPr>
        <w:pStyle w:val="BodyText"/>
      </w:pPr>
      <w:r>
        <w:t xml:space="preserve">All ML models are hardened using IBM ART [16]. FGSM and PGD adversarial examples are injected at a 30% training augmentation ratio. Post-training Carlini-Wagner evaluation measures certified robustness bounds. This pipeline re-executes on each model retraining cycle triggered by the Threat Intelligence Agent.</w:t>
      </w:r>
    </w:p>
    <w:p w14:paraId="288F1940" w14:textId="77777777" w:rsidR="009303D9" w:rsidRDefault="009303D9">
      <w:pPr>
        <w:pStyle w:val="Heading2"/>
      </w:pPr>
      <w:r>
        <w:t xml:space="preserve">Federated Learning for Multi-Hospital Deployment</w:t>
      </w:r>
    </w:p>
    <w:p w14:paraId="33992448" w14:textId="77777777" w:rsidR="009303D9" w:rsidRDefault="009303D9">
      <w:pPr>
        <w:pStyle w:val="BodyText"/>
      </w:pPr>
      <w:r>
        <w:t xml:space="preserve">Local models train on site-specific traffic without sharing raw patient data. A central server computes weighted FedAvg updates [17] from participating sites, distributing improved global model weights while maintaining full data sovereignty at each institution.</w:t>
      </w:r>
    </w:p>
    <w:p w14:paraId="05859A7C" w14:textId="77777777" w:rsidR="009303D9" w:rsidRDefault="009303D9">
      <w:pPr>
        <w:pStyle w:val="Heading1"/>
      </w:pPr>
      <w:r>
        <w:t xml:space="preserve">Implementation</w:t>
      </w:r>
    </w:p>
    <w:p w14:paraId="228BAC66" w14:textId="77777777" w:rsidR="009303D9" w:rsidRDefault="009303D9">
      <w:pPr>
        <w:pStyle w:val="BodyText"/>
      </w:pPr>
      <w:r>
        <w:t xml:space="preserve">MediSentinel is implemented entirely using open-source components, containerized with Docker Compose for single-command deployment. Stack: PyTorch 2.1 and scikit-learn for ML; ONNX Runtime for quantized inference; IBM ART 1.17 for adversarial hardening; Apache Kafka 3.6 with Zookeeper and Eclipse Mosquitto 2.0 for streaming; FastAPI 0.104 for the backend; PostgreSQL 16 and Redis 7 for persistence; React 18 with Vite 5 and Recharts for the analyst dashboard.</w:t>
      </w:r>
    </w:p>
    <w:p w14:paraId="477AF81B" w14:textId="77777777" w:rsidR="009303D9" w:rsidRDefault="009303D9">
      <w:pPr>
        <w:pStyle w:val="Heading2"/>
      </w:pPr>
      <w:r>
        <w:t xml:space="preserve">Training Datasets</w:t>
      </w:r>
    </w:p>
    <w:p w14:paraId="0109AF7F" w14:textId="77777777" w:rsidR="009303D9" w:rsidRDefault="009303D9">
      <w:pPr>
        <w:pStyle w:val="BodyText"/>
      </w:pPr>
      <w:r>
        <w:t xml:space="preserve">Three public benchmarks are used. CICIDS-2018 [18] provides 80 network traffic features across 14 attack categories for the Network Monitor Agent. NSL-KDD [19] offers balanced DoS, Probe, R2L, and U2R coverage. IoTID20 [20] captures Mirai and BASHLITE IoT traffic for the IoT Guardian Agent. Synthetic healthcare traffic generated in GNS3 fine-tunes models on realistic Medical IoT and EHR traffic absent from public datasets.</w:t>
      </w:r>
    </w:p>
    <w:p w14:paraId="367D2665" w14:textId="77777777" w:rsidR="009303D9" w:rsidRDefault="009303D9">
      <w:pPr>
        <w:pStyle w:val="Heading2"/>
      </w:pPr>
      <w:r>
        <w:t xml:space="preserve">System Overhead</w:t>
      </w:r>
    </w:p>
    <w:p w14:paraId="1A24F3CE" w14:textId="77777777" w:rsidR="009303D9" w:rsidRDefault="009303D9">
      <w:pPr>
        <w:pStyle w:val="BodyText"/>
      </w:pPr>
      <w:r>
        <w:t xml:space="preserve">All inference pipelines run quantized ONNX models, maintaining combined CPU utilization below 3% and memory below 2 GB on a standard 8-core hospital server (Intel Xeon E5-2680, 32 GB RAM), ensuring MediSentinel does not compete with clinical applications for compute resources.</w:t>
      </w:r>
    </w:p>
    <w:p w14:paraId="2E776E3B" w14:textId="77777777" w:rsidR="009303D9" w:rsidRDefault="009303D9">
      <w:pPr>
        <w:pStyle w:val="Heading1"/>
      </w:pPr>
      <w:r>
        <w:t xml:space="preserve">Results and Discussion</w:t>
      </w:r>
    </w:p>
    <w:p w14:paraId="7EBA3A89" w14:textId="77777777" w:rsidR="009303D9" w:rsidRDefault="009303D9">
      <w:pPr>
        <w:pStyle w:val="Heading2"/>
      </w:pPr>
      <w:r>
        <w:t xml:space="preserve">Experimental Setup</w:t>
      </w:r>
    </w:p>
    <w:p w14:paraId="7780F910" w14:textId="77777777" w:rsidR="009303D9" w:rsidRDefault="009303D9">
      <w:pPr>
        <w:pStyle w:val="BodyText"/>
      </w:pPr>
      <w:r>
        <w:t xml:space="preserve">MediSentinel is evaluated on a GNS3-emulated hospital network with 47 virtual Medical IoT endpoints, 3 EHR application servers, and a cloud-egress router. Metrics: detection accuracy, false positive rate (FPR), mean time to detect (MTTD), mean time to respond (MTTR), system overhead, and adversarial robustness under FGSM/PGD/CW attack.</w:t>
      </w:r>
    </w:p>
    <w:p w14:paraId="44744568" w14:textId="77777777" w:rsidR="009303D9" w:rsidRDefault="009303D9">
      <w:pPr>
        <w:pStyle w:val="Heading2"/>
      </w:pPr>
      <w:r>
        <w:t xml:space="preserve">Detection Performance</w:t>
      </w:r>
    </w:p>
    <w:p w14:paraId="0A683157" w14:textId="77777777" w:rsidR="009303D9" w:rsidRDefault="009303D9">
      <w:pPr>
        <w:pStyle w:val="tablehead"/>
      </w:pPr>
      <w:r>
        <w:t xml:space="preserve">TABLE I.  Detection Performance by Agent and Dataset</w:t>
      </w:r>
    </w:p>
    <w:tbl>
      <w:tblPr>
        <w:tblW w:w="6200" w:type="dxa"/>
        <w:tblBorders>
          <w:top w:val="single" w:sz="4" w:space="0" w:color="2E75B6"/>
          <w:left w:val="none"/>
          <w:bottom w:val="single" w:sz="4" w:space="0" w:color="2E75B6"/>
          <w:right w:val="none"/>
          <w:insideH w:val="single" w:sz="2" w:space="0" w:color="CCCCCC"/>
          <w:insideV w:val="none"/>
        </w:tblBorders>
      </w:tblPr>
      <w:tblGrid>
        <w:gridCol w:w="2700"/>
        <w:gridCol w:w="1400"/>
        <w:gridCol w:w="1100"/>
        <w:gridCol w:w="1000"/>
      </w:tblGrid>
      <w:tr>
        <w:trPr>
          <w:tblHeader/>
        </w:trPr>
        <w:tc>
          <w:tcPr>
            <w:tcW w:w="2700" w:type="dxa"/>
            <w:shd w:val="clear" w:color="auto" w:fill="D9E2F3"/>
            <w:tcMar>
              <w:top w:w="60" w:type="dxa"/>
              <w:left w:w="100" w:type="dxa"/>
              <w:bottom w:w="60" w:type="dxa"/>
              <w:right w:w="100" w:type="dxa"/>
            </w:tcMar>
          </w:tcPr>
          <w:p w14:paraId="3B35A80C" w14:textId="77777777" w:rsidR="009303D9" w:rsidRDefault="009303D9">
            <w:pPr>
              <w:pStyle w:val="tablecolhead"/>
            </w:pPr>
            <w:r>
              <w:t xml:space="preserve">Agent / Dataset</w:t>
            </w:r>
          </w:p>
        </w:tc>
        <w:tc>
          <w:tcPr>
            <w:tcW w:w="1400" w:type="dxa"/>
            <w:shd w:val="clear" w:color="auto" w:fill="D9E2F3"/>
            <w:tcMar>
              <w:top w:w="60" w:type="dxa"/>
              <w:left w:w="100" w:type="dxa"/>
              <w:bottom w:w="60" w:type="dxa"/>
              <w:right w:w="100" w:type="dxa"/>
            </w:tcMar>
          </w:tcPr>
          <w:p w14:paraId="42734948" w14:textId="77777777" w:rsidR="009303D9" w:rsidRDefault="009303D9">
            <w:pPr>
              <w:pStyle w:val="tablecolhead"/>
            </w:pPr>
            <w:r>
              <w:t xml:space="preserve">Accuracy (%)</w:t>
            </w:r>
          </w:p>
        </w:tc>
        <w:tc>
          <w:tcPr>
            <w:tcW w:w="1100" w:type="dxa"/>
            <w:shd w:val="clear" w:color="auto" w:fill="D9E2F3"/>
            <w:tcMar>
              <w:top w:w="60" w:type="dxa"/>
              <w:left w:w="100" w:type="dxa"/>
              <w:bottom w:w="60" w:type="dxa"/>
              <w:right w:w="100" w:type="dxa"/>
            </w:tcMar>
          </w:tcPr>
          <w:p w14:paraId="734B2378" w14:textId="77777777" w:rsidR="009303D9" w:rsidRDefault="009303D9">
            <w:pPr>
              <w:pStyle w:val="tablecolhead"/>
            </w:pPr>
            <w:r>
              <w:t xml:space="preserve">FPR (%)</w:t>
            </w:r>
          </w:p>
        </w:tc>
        <w:tc>
          <w:tcPr>
            <w:tcW w:w="1000" w:type="dxa"/>
            <w:shd w:val="clear" w:color="auto" w:fill="D9E2F3"/>
            <w:tcMar>
              <w:top w:w="60" w:type="dxa"/>
              <w:left w:w="100" w:type="dxa"/>
              <w:bottom w:w="60" w:type="dxa"/>
              <w:right w:w="100" w:type="dxa"/>
            </w:tcMar>
          </w:tcPr>
          <w:p w14:paraId="196AAE9A" w14:textId="77777777" w:rsidR="009303D9" w:rsidRDefault="009303D9">
            <w:pPr>
              <w:pStyle w:val="tablecolhead"/>
            </w:pPr>
            <w:r>
              <w:t xml:space="preserve">F1</w:t>
            </w:r>
          </w:p>
        </w:tc>
      </w:tr>
      <w:tr>
        <w:tc>
          <w:tcPr>
            <w:tcW w:w="2700" w:type="dxa"/>
            <w:shd w:val="clear" w:color="auto" w:fill="FFFFFF"/>
            <w:tcMar>
              <w:top w:w="60" w:type="dxa"/>
              <w:left w:w="100" w:type="dxa"/>
              <w:bottom w:w="60" w:type="dxa"/>
              <w:right w:w="100" w:type="dxa"/>
            </w:tcMar>
          </w:tcPr>
          <w:p w14:paraId="4D9152B6" w14:textId="77777777" w:rsidR="009303D9" w:rsidRDefault="009303D9">
            <w:pPr>
              <w:pStyle w:val="tablecopy"/>
            </w:pPr>
            <w:r>
              <w:t xml:space="preserve">Network Monitor / CICIDS-2018</w:t>
            </w:r>
          </w:p>
        </w:tc>
        <w:tc>
          <w:tcPr>
            <w:tcW w:w="1400" w:type="dxa"/>
            <w:shd w:val="clear" w:color="auto" w:fill="FFFFFF"/>
            <w:tcMar>
              <w:top w:w="60" w:type="dxa"/>
              <w:left w:w="100" w:type="dxa"/>
              <w:bottom w:w="60" w:type="dxa"/>
              <w:right w:w="100" w:type="dxa"/>
            </w:tcMar>
          </w:tcPr>
          <w:p w14:paraId="3B49C4B3" w14:textId="77777777" w:rsidR="009303D9" w:rsidRDefault="009303D9">
            <w:pPr>
              <w:pStyle w:val="tablecopy"/>
            </w:pPr>
            <w:r>
              <w:t xml:space="preserve">97.3</w:t>
            </w:r>
          </w:p>
        </w:tc>
        <w:tc>
          <w:tcPr>
            <w:tcW w:w="1100" w:type="dxa"/>
            <w:shd w:val="clear" w:color="auto" w:fill="FFFFFF"/>
            <w:tcMar>
              <w:top w:w="60" w:type="dxa"/>
              <w:left w:w="100" w:type="dxa"/>
              <w:bottom w:w="60" w:type="dxa"/>
              <w:right w:w="100" w:type="dxa"/>
            </w:tcMar>
          </w:tcPr>
          <w:p w14:paraId="7D14E523" w14:textId="77777777" w:rsidR="009303D9" w:rsidRDefault="009303D9">
            <w:pPr>
              <w:pStyle w:val="tablecopy"/>
            </w:pPr>
            <w:r>
              <w:t xml:space="preserve">1.4</w:t>
            </w:r>
          </w:p>
        </w:tc>
        <w:tc>
          <w:tcPr>
            <w:tcW w:w="1000" w:type="dxa"/>
            <w:shd w:val="clear" w:color="auto" w:fill="FFFFFF"/>
            <w:tcMar>
              <w:top w:w="60" w:type="dxa"/>
              <w:left w:w="100" w:type="dxa"/>
              <w:bottom w:w="60" w:type="dxa"/>
              <w:right w:w="100" w:type="dxa"/>
            </w:tcMar>
          </w:tcPr>
          <w:p w14:paraId="06A194EC" w14:textId="77777777" w:rsidR="009303D9" w:rsidRDefault="009303D9">
            <w:pPr>
              <w:pStyle w:val="tablecopy"/>
            </w:pPr>
            <w:r>
              <w:t xml:space="preserve">0.971</w:t>
            </w:r>
          </w:p>
        </w:tc>
      </w:tr>
      <w:tr>
        <w:tc>
          <w:tcPr>
            <w:tcW w:w="2700" w:type="dxa"/>
            <w:shd w:val="clear" w:color="auto" w:fill="FFFFFF"/>
            <w:tcMar>
              <w:top w:w="60" w:type="dxa"/>
              <w:left w:w="100" w:type="dxa"/>
              <w:bottom w:w="60" w:type="dxa"/>
              <w:right w:w="100" w:type="dxa"/>
            </w:tcMar>
          </w:tcPr>
          <w:p w14:paraId="2DD36077" w14:textId="77777777" w:rsidR="009303D9" w:rsidRDefault="009303D9">
            <w:pPr>
              <w:pStyle w:val="tablecopy"/>
            </w:pPr>
            <w:r>
              <w:t xml:space="preserve">Network Monitor / NSL-KDD</w:t>
            </w:r>
          </w:p>
        </w:tc>
        <w:tc>
          <w:tcPr>
            <w:tcW w:w="1400" w:type="dxa"/>
            <w:shd w:val="clear" w:color="auto" w:fill="FFFFFF"/>
            <w:tcMar>
              <w:top w:w="60" w:type="dxa"/>
              <w:left w:w="100" w:type="dxa"/>
              <w:bottom w:w="60" w:type="dxa"/>
              <w:right w:w="100" w:type="dxa"/>
            </w:tcMar>
          </w:tcPr>
          <w:p w14:paraId="1097A686" w14:textId="77777777" w:rsidR="009303D9" w:rsidRDefault="009303D9">
            <w:pPr>
              <w:pStyle w:val="tablecopy"/>
            </w:pPr>
            <w:r>
              <w:t xml:space="preserve">96.8</w:t>
            </w:r>
          </w:p>
        </w:tc>
        <w:tc>
          <w:tcPr>
            <w:tcW w:w="1100" w:type="dxa"/>
            <w:shd w:val="clear" w:color="auto" w:fill="FFFFFF"/>
            <w:tcMar>
              <w:top w:w="60" w:type="dxa"/>
              <w:left w:w="100" w:type="dxa"/>
              <w:bottom w:w="60" w:type="dxa"/>
              <w:right w:w="100" w:type="dxa"/>
            </w:tcMar>
          </w:tcPr>
          <w:p w14:paraId="1BB01913" w14:textId="77777777" w:rsidR="009303D9" w:rsidRDefault="009303D9">
            <w:pPr>
              <w:pStyle w:val="tablecopy"/>
            </w:pPr>
            <w:r>
              <w:t xml:space="preserve">1.7</w:t>
            </w:r>
          </w:p>
        </w:tc>
        <w:tc>
          <w:tcPr>
            <w:tcW w:w="1000" w:type="dxa"/>
            <w:shd w:val="clear" w:color="auto" w:fill="FFFFFF"/>
            <w:tcMar>
              <w:top w:w="60" w:type="dxa"/>
              <w:left w:w="100" w:type="dxa"/>
              <w:bottom w:w="60" w:type="dxa"/>
              <w:right w:w="100" w:type="dxa"/>
            </w:tcMar>
          </w:tcPr>
          <w:p w14:paraId="79F9139D" w14:textId="77777777" w:rsidR="009303D9" w:rsidRDefault="009303D9">
            <w:pPr>
              <w:pStyle w:val="tablecopy"/>
            </w:pPr>
            <w:r>
              <w:t xml:space="preserve">0.965</w:t>
            </w:r>
          </w:p>
        </w:tc>
      </w:tr>
      <w:tr>
        <w:tc>
          <w:tcPr>
            <w:tcW w:w="2700" w:type="dxa"/>
            <w:shd w:val="clear" w:color="auto" w:fill="FFFFFF"/>
            <w:tcMar>
              <w:top w:w="60" w:type="dxa"/>
              <w:left w:w="100" w:type="dxa"/>
              <w:bottom w:w="60" w:type="dxa"/>
              <w:right w:w="100" w:type="dxa"/>
            </w:tcMar>
          </w:tcPr>
          <w:p w14:paraId="75EB9A26" w14:textId="77777777" w:rsidR="009303D9" w:rsidRDefault="009303D9">
            <w:pPr>
              <w:pStyle w:val="tablecopy"/>
            </w:pPr>
            <w:r>
              <w:t xml:space="preserve">IoT Guardian / IoTID20</w:t>
            </w:r>
          </w:p>
        </w:tc>
        <w:tc>
          <w:tcPr>
            <w:tcW w:w="1400" w:type="dxa"/>
            <w:shd w:val="clear" w:color="auto" w:fill="FFFFFF"/>
            <w:tcMar>
              <w:top w:w="60" w:type="dxa"/>
              <w:left w:w="100" w:type="dxa"/>
              <w:bottom w:w="60" w:type="dxa"/>
              <w:right w:w="100" w:type="dxa"/>
            </w:tcMar>
          </w:tcPr>
          <w:p w14:paraId="5B99DA63" w14:textId="77777777" w:rsidR="009303D9" w:rsidRDefault="009303D9">
            <w:pPr>
              <w:pStyle w:val="tablecopy"/>
            </w:pPr>
            <w:r>
              <w:t xml:space="preserve">95.6</w:t>
            </w:r>
          </w:p>
        </w:tc>
        <w:tc>
          <w:tcPr>
            <w:tcW w:w="1100" w:type="dxa"/>
            <w:shd w:val="clear" w:color="auto" w:fill="FFFFFF"/>
            <w:tcMar>
              <w:top w:w="60" w:type="dxa"/>
              <w:left w:w="100" w:type="dxa"/>
              <w:bottom w:w="60" w:type="dxa"/>
              <w:right w:w="100" w:type="dxa"/>
            </w:tcMar>
          </w:tcPr>
          <w:p w14:paraId="14A57C79" w14:textId="77777777" w:rsidR="009303D9" w:rsidRDefault="009303D9">
            <w:pPr>
              <w:pStyle w:val="tablecopy"/>
            </w:pPr>
            <w:r>
              <w:t xml:space="preserve">1.9</w:t>
            </w:r>
          </w:p>
        </w:tc>
        <w:tc>
          <w:tcPr>
            <w:tcW w:w="1000" w:type="dxa"/>
            <w:shd w:val="clear" w:color="auto" w:fill="FFFFFF"/>
            <w:tcMar>
              <w:top w:w="60" w:type="dxa"/>
              <w:left w:w="100" w:type="dxa"/>
              <w:bottom w:w="60" w:type="dxa"/>
              <w:right w:w="100" w:type="dxa"/>
            </w:tcMar>
          </w:tcPr>
          <w:p w14:paraId="5FBE5A21" w14:textId="77777777" w:rsidR="009303D9" w:rsidRDefault="009303D9">
            <w:pPr>
              <w:pStyle w:val="tablecopy"/>
            </w:pPr>
            <w:r>
              <w:t xml:space="preserve">0.953</w:t>
            </w:r>
          </w:p>
        </w:tc>
      </w:tr>
      <w:tr>
        <w:tc>
          <w:tcPr>
            <w:tcW w:w="2700" w:type="dxa"/>
            <w:shd w:val="clear" w:color="auto" w:fill="FFFFFF"/>
            <w:tcMar>
              <w:top w:w="60" w:type="dxa"/>
              <w:left w:w="100" w:type="dxa"/>
              <w:bottom w:w="60" w:type="dxa"/>
              <w:right w:w="100" w:type="dxa"/>
            </w:tcMar>
          </w:tcPr>
          <w:p w14:paraId="656AFBE2" w14:textId="77777777" w:rsidR="009303D9" w:rsidRDefault="009303D9">
            <w:pPr>
              <w:pStyle w:val="tablecopy"/>
            </w:pPr>
            <w:r>
              <w:t xml:space="preserve">Network Monitor / Synthetic HC</w:t>
            </w:r>
          </w:p>
        </w:tc>
        <w:tc>
          <w:tcPr>
            <w:tcW w:w="1400" w:type="dxa"/>
            <w:shd w:val="clear" w:color="auto" w:fill="FFFFFF"/>
            <w:tcMar>
              <w:top w:w="60" w:type="dxa"/>
              <w:left w:w="100" w:type="dxa"/>
              <w:bottom w:w="60" w:type="dxa"/>
              <w:right w:w="100" w:type="dxa"/>
            </w:tcMar>
          </w:tcPr>
          <w:p w14:paraId="389A1AC8" w14:textId="77777777" w:rsidR="009303D9" w:rsidRDefault="009303D9">
            <w:pPr>
              <w:pStyle w:val="tablecopy"/>
            </w:pPr>
            <w:r>
              <w:t xml:space="preserve">94.1</w:t>
            </w:r>
          </w:p>
        </w:tc>
        <w:tc>
          <w:tcPr>
            <w:tcW w:w="1100" w:type="dxa"/>
            <w:shd w:val="clear" w:color="auto" w:fill="FFFFFF"/>
            <w:tcMar>
              <w:top w:w="60" w:type="dxa"/>
              <w:left w:w="100" w:type="dxa"/>
              <w:bottom w:w="60" w:type="dxa"/>
              <w:right w:w="100" w:type="dxa"/>
            </w:tcMar>
          </w:tcPr>
          <w:p w14:paraId="4C46A421" w14:textId="77777777" w:rsidR="009303D9" w:rsidRDefault="009303D9">
            <w:pPr>
              <w:pStyle w:val="tablecopy"/>
            </w:pPr>
            <w:r>
              <w:t xml:space="preserve">2.1</w:t>
            </w:r>
          </w:p>
        </w:tc>
        <w:tc>
          <w:tcPr>
            <w:tcW w:w="1000" w:type="dxa"/>
            <w:shd w:val="clear" w:color="auto" w:fill="FFFFFF"/>
            <w:tcMar>
              <w:top w:w="60" w:type="dxa"/>
              <w:left w:w="100" w:type="dxa"/>
              <w:bottom w:w="60" w:type="dxa"/>
              <w:right w:w="100" w:type="dxa"/>
            </w:tcMar>
          </w:tcPr>
          <w:p w14:paraId="767162AF" w14:textId="77777777" w:rsidR="009303D9" w:rsidRDefault="009303D9">
            <w:pPr>
              <w:pStyle w:val="tablecopy"/>
            </w:pPr>
            <w:r>
              <w:t xml:space="preserve">0.938</w:t>
            </w:r>
          </w:p>
        </w:tc>
      </w:tr>
      <w:tr>
        <w:tc>
          <w:tcPr>
            <w:tcW w:w="2700" w:type="dxa"/>
            <w:shd w:val="clear" w:color="auto" w:fill="FFFFFF"/>
            <w:tcMar>
              <w:top w:w="60" w:type="dxa"/>
              <w:left w:w="100" w:type="dxa"/>
              <w:bottom w:w="60" w:type="dxa"/>
              <w:right w:w="100" w:type="dxa"/>
            </w:tcMar>
          </w:tcPr>
          <w:p w14:paraId="7DDF46ED" w14:textId="77777777" w:rsidR="009303D9" w:rsidRDefault="009303D9">
            <w:pPr>
              <w:pStyle w:val="tablecopy"/>
            </w:pPr>
            <w:r>
              <w:t xml:space="preserve">IoT Guardian / Synthetic HC</w:t>
            </w:r>
          </w:p>
        </w:tc>
        <w:tc>
          <w:tcPr>
            <w:tcW w:w="1400" w:type="dxa"/>
            <w:shd w:val="clear" w:color="auto" w:fill="FFFFFF"/>
            <w:tcMar>
              <w:top w:w="60" w:type="dxa"/>
              <w:left w:w="100" w:type="dxa"/>
              <w:bottom w:w="60" w:type="dxa"/>
              <w:right w:w="100" w:type="dxa"/>
            </w:tcMar>
          </w:tcPr>
          <w:p w14:paraId="16CC6E25" w14:textId="77777777" w:rsidR="009303D9" w:rsidRDefault="009303D9">
            <w:pPr>
              <w:pStyle w:val="tablecopy"/>
            </w:pPr>
            <w:r>
              <w:t xml:space="preserve">93.8</w:t>
            </w:r>
          </w:p>
        </w:tc>
        <w:tc>
          <w:tcPr>
            <w:tcW w:w="1100" w:type="dxa"/>
            <w:shd w:val="clear" w:color="auto" w:fill="FFFFFF"/>
            <w:tcMar>
              <w:top w:w="60" w:type="dxa"/>
              <w:left w:w="100" w:type="dxa"/>
              <w:bottom w:w="60" w:type="dxa"/>
              <w:right w:w="100" w:type="dxa"/>
            </w:tcMar>
          </w:tcPr>
          <w:p w14:paraId="78E20FF2" w14:textId="77777777" w:rsidR="009303D9" w:rsidRDefault="009303D9">
            <w:pPr>
              <w:pStyle w:val="tablecopy"/>
            </w:pPr>
            <w:r>
              <w:t xml:space="preserve">2.3</w:t>
            </w:r>
          </w:p>
        </w:tc>
        <w:tc>
          <w:tcPr>
            <w:tcW w:w="1000" w:type="dxa"/>
            <w:shd w:val="clear" w:color="auto" w:fill="FFFFFF"/>
            <w:tcMar>
              <w:top w:w="60" w:type="dxa"/>
              <w:left w:w="100" w:type="dxa"/>
              <w:bottom w:w="60" w:type="dxa"/>
              <w:right w:w="100" w:type="dxa"/>
            </w:tcMar>
          </w:tcPr>
          <w:p w14:paraId="4078B557" w14:textId="77777777" w:rsidR="009303D9" w:rsidRDefault="009303D9">
            <w:pPr>
              <w:pStyle w:val="tablecopy"/>
            </w:pPr>
            <w:r>
              <w:t xml:space="preserve">0.934</w:t>
            </w:r>
          </w:p>
        </w:tc>
      </w:tr>
    </w:tbl>
    <w:p w14:paraId="5494B2FA" w14:textId="77777777" w:rsidR="009303D9" w:rsidRDefault="009303D9">
      <w:pPr>
        <w:pStyle w:val="BodyText"/>
      </w:pPr>
      <w:r>
        <w:t xml:space="preserve">All agents meet or approach the target accuracy of 95% with FPR below 2% on benchmarks. Slight degradation on synthetic healthcare traffic reflects the distributional novelty of clinical environments absent from public datasets, motivating the continuous retraining pipeline.</w:t>
      </w:r>
    </w:p>
    <w:p w14:paraId="1697EB6C" w14:textId="77777777" w:rsidR="009303D9" w:rsidRDefault="009303D9">
      <w:pPr>
        <w:pStyle w:val="Heading2"/>
      </w:pPr>
      <w:r>
        <w:t xml:space="preserve">Response Latency</w:t>
      </w:r>
    </w:p>
    <w:p w14:paraId="04CE7406" w14:textId="77777777" w:rsidR="009303D9" w:rsidRDefault="009303D9">
      <w:pPr>
        <w:pStyle w:val="BodyText"/>
      </w:pPr>
      <w:r>
        <w:t xml:space="preserve">Across 500 injected attack scenarios, MediSentinel achieved a mean time to detect (MTTD) of 3.8 s and mean time to respond (MTTR) of 8.2 s, within the 5 s and 10 s design targets. This represents a 99.9% reduction relative to industry averages of 197 days (MTTD) and 69 days (MTTR) [1].</w:t>
      </w:r>
    </w:p>
    <w:p w14:paraId="0E1DAD99" w14:textId="77777777" w:rsidR="009303D9" w:rsidRDefault="009303D9">
      <w:pPr>
        <w:pStyle w:val="Heading2"/>
      </w:pPr>
      <w:r>
        <w:t xml:space="preserve">Adversarial Robustness</w:t>
      </w:r>
    </w:p>
    <w:p w14:paraId="030B9EDD" w14:textId="77777777" w:rsidR="009303D9" w:rsidRDefault="009303D9">
      <w:pPr>
        <w:pStyle w:val="tablehead"/>
      </w:pPr>
      <w:r>
        <w:t xml:space="preserve">TABLE II.  Adversarial Robustness of Network Monitor Agent</w:t>
      </w:r>
    </w:p>
    <w:tbl>
      <w:tblPr>
        <w:tblW w:w="6200" w:type="dxa"/>
        <w:tblBorders>
          <w:top w:val="single" w:sz="4" w:space="0" w:color="2E75B6"/>
          <w:left w:val="none"/>
          <w:bottom w:val="single" w:sz="4" w:space="0" w:color="2E75B6"/>
          <w:right w:val="none"/>
          <w:insideH w:val="single" w:sz="2" w:space="0" w:color="CCCCCC"/>
          <w:insideV w:val="none"/>
        </w:tblBorders>
      </w:tblPr>
      <w:tblGrid>
        <w:gridCol w:w="2500"/>
        <w:gridCol w:w="1750"/>
        <w:gridCol w:w="1950"/>
      </w:tblGrid>
      <w:tr>
        <w:trPr>
          <w:tblHeader/>
        </w:trPr>
        <w:tc>
          <w:tcPr>
            <w:tcW w:w="2500" w:type="dxa"/>
            <w:shd w:val="clear" w:color="auto" w:fill="D9E2F3"/>
            <w:tcMar>
              <w:top w:w="60" w:type="dxa"/>
              <w:left w:w="100" w:type="dxa"/>
              <w:bottom w:w="60" w:type="dxa"/>
              <w:right w:w="100" w:type="dxa"/>
            </w:tcMar>
          </w:tcPr>
          <w:p w14:paraId="15F9768E" w14:textId="77777777" w:rsidR="009303D9" w:rsidRDefault="009303D9">
            <w:pPr>
              <w:pStyle w:val="tablecolhead"/>
            </w:pPr>
            <w:r>
              <w:t xml:space="preserve">Attack</w:t>
            </w:r>
          </w:p>
        </w:tc>
        <w:tc>
          <w:tcPr>
            <w:tcW w:w="1750" w:type="dxa"/>
            <w:shd w:val="clear" w:color="auto" w:fill="D9E2F3"/>
            <w:tcMar>
              <w:top w:w="60" w:type="dxa"/>
              <w:left w:w="100" w:type="dxa"/>
              <w:bottom w:w="60" w:type="dxa"/>
              <w:right w:w="100" w:type="dxa"/>
            </w:tcMar>
          </w:tcPr>
          <w:p w14:paraId="3CB3151A" w14:textId="77777777" w:rsidR="009303D9" w:rsidRDefault="009303D9">
            <w:pPr>
              <w:pStyle w:val="tablecolhead"/>
            </w:pPr>
            <w:r>
              <w:t xml:space="preserve">Baseline (%)</w:t>
            </w:r>
          </w:p>
        </w:tc>
        <w:tc>
          <w:tcPr>
            <w:tcW w:w="1950" w:type="dxa"/>
            <w:shd w:val="clear" w:color="auto" w:fill="D9E2F3"/>
            <w:tcMar>
              <w:top w:w="60" w:type="dxa"/>
              <w:left w:w="100" w:type="dxa"/>
              <w:bottom w:w="60" w:type="dxa"/>
              <w:right w:w="100" w:type="dxa"/>
            </w:tcMar>
          </w:tcPr>
          <w:p w14:paraId="5798E0F3" w14:textId="77777777" w:rsidR="009303D9" w:rsidRDefault="009303D9">
            <w:pPr>
              <w:pStyle w:val="tablecolhead"/>
            </w:pPr>
            <w:r>
              <w:t xml:space="preserve">ART-Hardened (%)</w:t>
            </w:r>
          </w:p>
        </w:tc>
      </w:tr>
      <w:tr>
        <w:tc>
          <w:tcPr>
            <w:tcW w:w="2500" w:type="dxa"/>
            <w:shd w:val="clear" w:color="auto" w:fill="FFFFFF"/>
            <w:tcMar>
              <w:top w:w="60" w:type="dxa"/>
              <w:left w:w="100" w:type="dxa"/>
              <w:bottom w:w="60" w:type="dxa"/>
              <w:right w:w="100" w:type="dxa"/>
            </w:tcMar>
          </w:tcPr>
          <w:p w14:paraId="68FAE217" w14:textId="77777777" w:rsidR="009303D9" w:rsidRDefault="009303D9">
            <w:pPr>
              <w:pStyle w:val="tablecopy"/>
            </w:pPr>
            <w:r>
              <w:t xml:space="preserve">No Attack</w:t>
            </w:r>
          </w:p>
        </w:tc>
        <w:tc>
          <w:tcPr>
            <w:tcW w:w="1750" w:type="dxa"/>
            <w:shd w:val="clear" w:color="auto" w:fill="FFFFFF"/>
            <w:tcMar>
              <w:top w:w="60" w:type="dxa"/>
              <w:left w:w="100" w:type="dxa"/>
              <w:bottom w:w="60" w:type="dxa"/>
              <w:right w:w="100" w:type="dxa"/>
            </w:tcMar>
          </w:tcPr>
          <w:p w14:paraId="35B28C9B" w14:textId="77777777" w:rsidR="009303D9" w:rsidRDefault="009303D9">
            <w:pPr>
              <w:pStyle w:val="tablecopy"/>
            </w:pPr>
            <w:r>
              <w:t xml:space="preserve">97.3</w:t>
            </w:r>
          </w:p>
        </w:tc>
        <w:tc>
          <w:tcPr>
            <w:tcW w:w="1950" w:type="dxa"/>
            <w:shd w:val="clear" w:color="auto" w:fill="FFFFFF"/>
            <w:tcMar>
              <w:top w:w="60" w:type="dxa"/>
              <w:left w:w="100" w:type="dxa"/>
              <w:bottom w:w="60" w:type="dxa"/>
              <w:right w:w="100" w:type="dxa"/>
            </w:tcMar>
          </w:tcPr>
          <w:p w14:paraId="0A7374AF" w14:textId="77777777" w:rsidR="009303D9" w:rsidRDefault="009303D9">
            <w:pPr>
              <w:pStyle w:val="tablecopy"/>
            </w:pPr>
            <w:r>
              <w:t xml:space="preserve">97.1</w:t>
            </w:r>
          </w:p>
        </w:tc>
      </w:tr>
      <w:tr>
        <w:tc>
          <w:tcPr>
            <w:tcW w:w="2500" w:type="dxa"/>
            <w:shd w:val="clear" w:color="auto" w:fill="FFFFFF"/>
            <w:tcMar>
              <w:top w:w="60" w:type="dxa"/>
              <w:left w:w="100" w:type="dxa"/>
              <w:bottom w:w="60" w:type="dxa"/>
              <w:right w:w="100" w:type="dxa"/>
            </w:tcMar>
          </w:tcPr>
          <w:p w14:paraId="77F5361D" w14:textId="77777777" w:rsidR="009303D9" w:rsidRDefault="009303D9">
            <w:pPr>
              <w:pStyle w:val="tablecopy"/>
            </w:pPr>
            <w:r>
              <w:t xml:space="preserve">FGSM (eps=0.1)</w:t>
            </w:r>
          </w:p>
        </w:tc>
        <w:tc>
          <w:tcPr>
            <w:tcW w:w="1750" w:type="dxa"/>
            <w:shd w:val="clear" w:color="auto" w:fill="FFFFFF"/>
            <w:tcMar>
              <w:top w:w="60" w:type="dxa"/>
              <w:left w:w="100" w:type="dxa"/>
              <w:bottom w:w="60" w:type="dxa"/>
              <w:right w:w="100" w:type="dxa"/>
            </w:tcMar>
          </w:tcPr>
          <w:p w14:paraId="36842B8D" w14:textId="77777777" w:rsidR="009303D9" w:rsidRDefault="009303D9">
            <w:pPr>
              <w:pStyle w:val="tablecopy"/>
            </w:pPr>
            <w:r>
              <w:t xml:space="preserve">61.4</w:t>
            </w:r>
          </w:p>
        </w:tc>
        <w:tc>
          <w:tcPr>
            <w:tcW w:w="1950" w:type="dxa"/>
            <w:shd w:val="clear" w:color="auto" w:fill="FFFFFF"/>
            <w:tcMar>
              <w:top w:w="60" w:type="dxa"/>
              <w:left w:w="100" w:type="dxa"/>
              <w:bottom w:w="60" w:type="dxa"/>
              <w:right w:w="100" w:type="dxa"/>
            </w:tcMar>
          </w:tcPr>
          <w:p w14:paraId="50F5DB91" w14:textId="77777777" w:rsidR="009303D9" w:rsidRDefault="009303D9">
            <w:pPr>
              <w:pStyle w:val="tablecopy"/>
            </w:pPr>
            <w:r>
              <w:t xml:space="preserve">89.7</w:t>
            </w:r>
          </w:p>
        </w:tc>
      </w:tr>
      <w:tr>
        <w:tc>
          <w:tcPr>
            <w:tcW w:w="2500" w:type="dxa"/>
            <w:shd w:val="clear" w:color="auto" w:fill="FFFFFF"/>
            <w:tcMar>
              <w:top w:w="60" w:type="dxa"/>
              <w:left w:w="100" w:type="dxa"/>
              <w:bottom w:w="60" w:type="dxa"/>
              <w:right w:w="100" w:type="dxa"/>
            </w:tcMar>
          </w:tcPr>
          <w:p w14:paraId="0B12AAC1" w14:textId="77777777" w:rsidR="009303D9" w:rsidRDefault="009303D9">
            <w:pPr>
              <w:pStyle w:val="tablecopy"/>
            </w:pPr>
            <w:r>
              <w:t xml:space="preserve">PGD (20 steps)</w:t>
            </w:r>
          </w:p>
        </w:tc>
        <w:tc>
          <w:tcPr>
            <w:tcW w:w="1750" w:type="dxa"/>
            <w:shd w:val="clear" w:color="auto" w:fill="FFFFFF"/>
            <w:tcMar>
              <w:top w:w="60" w:type="dxa"/>
              <w:left w:w="100" w:type="dxa"/>
              <w:bottom w:w="60" w:type="dxa"/>
              <w:right w:w="100" w:type="dxa"/>
            </w:tcMar>
          </w:tcPr>
          <w:p w14:paraId="125AED0B" w14:textId="77777777" w:rsidR="009303D9" w:rsidRDefault="009303D9">
            <w:pPr>
              <w:pStyle w:val="tablecopy"/>
            </w:pPr>
            <w:r>
              <w:t xml:space="preserve">44.8</w:t>
            </w:r>
          </w:p>
        </w:tc>
        <w:tc>
          <w:tcPr>
            <w:tcW w:w="1950" w:type="dxa"/>
            <w:shd w:val="clear" w:color="auto" w:fill="FFFFFF"/>
            <w:tcMar>
              <w:top w:w="60" w:type="dxa"/>
              <w:left w:w="100" w:type="dxa"/>
              <w:bottom w:w="60" w:type="dxa"/>
              <w:right w:w="100" w:type="dxa"/>
            </w:tcMar>
          </w:tcPr>
          <w:p w14:paraId="27B7C0D8" w14:textId="77777777" w:rsidR="009303D9" w:rsidRDefault="009303D9">
            <w:pPr>
              <w:pStyle w:val="tablecopy"/>
            </w:pPr>
            <w:r>
              <w:t xml:space="preserve">84.3</w:t>
            </w:r>
          </w:p>
        </w:tc>
      </w:tr>
      <w:tr>
        <w:tc>
          <w:tcPr>
            <w:tcW w:w="2500" w:type="dxa"/>
            <w:shd w:val="clear" w:color="auto" w:fill="FFFFFF"/>
            <w:tcMar>
              <w:top w:w="60" w:type="dxa"/>
              <w:left w:w="100" w:type="dxa"/>
              <w:bottom w:w="60" w:type="dxa"/>
              <w:right w:w="100" w:type="dxa"/>
            </w:tcMar>
          </w:tcPr>
          <w:p w14:paraId="4F16AA12" w14:textId="77777777" w:rsidR="009303D9" w:rsidRDefault="009303D9">
            <w:pPr>
              <w:pStyle w:val="tablecopy"/>
            </w:pPr>
            <w:r>
              <w:t xml:space="preserve">Carlini-Wagner (L2)</w:t>
            </w:r>
          </w:p>
        </w:tc>
        <w:tc>
          <w:tcPr>
            <w:tcW w:w="1750" w:type="dxa"/>
            <w:shd w:val="clear" w:color="auto" w:fill="FFFFFF"/>
            <w:tcMar>
              <w:top w:w="60" w:type="dxa"/>
              <w:left w:w="100" w:type="dxa"/>
              <w:bottom w:w="60" w:type="dxa"/>
              <w:right w:w="100" w:type="dxa"/>
            </w:tcMar>
          </w:tcPr>
          <w:p w14:paraId="00C9BA2F" w14:textId="77777777" w:rsidR="009303D9" w:rsidRDefault="009303D9">
            <w:pPr>
              <w:pStyle w:val="tablecopy"/>
            </w:pPr>
            <w:r>
              <w:t xml:space="preserve">38.2</w:t>
            </w:r>
          </w:p>
        </w:tc>
        <w:tc>
          <w:tcPr>
            <w:tcW w:w="1950" w:type="dxa"/>
            <w:shd w:val="clear" w:color="auto" w:fill="FFFFFF"/>
            <w:tcMar>
              <w:top w:w="60" w:type="dxa"/>
              <w:left w:w="100" w:type="dxa"/>
              <w:bottom w:w="60" w:type="dxa"/>
              <w:right w:w="100" w:type="dxa"/>
            </w:tcMar>
          </w:tcPr>
          <w:p w14:paraId="30D69FA1" w14:textId="77777777" w:rsidR="009303D9" w:rsidRDefault="009303D9">
            <w:pPr>
              <w:pStyle w:val="tablecopy"/>
            </w:pPr>
            <w:r>
              <w:t xml:space="preserve">79.6</w:t>
            </w:r>
          </w:p>
        </w:tc>
      </w:tr>
    </w:tbl>
    <w:p w14:paraId="2A4388AD" w14:textId="77777777" w:rsidR="009303D9" w:rsidRDefault="009303D9">
      <w:pPr>
        <w:pStyle w:val="BodyText"/>
      </w:pPr>
      <w:r>
        <w:t xml:space="preserve">Without adversarial training, FGSM reduces detection accuracy to 61.4%. ART hardening recovers accuracy to 89.7% under FGSM and 84.3% under PGD, demonstrating adversarial hardening is a practical operational requirement for production healthcare security deployments.</w:t>
      </w:r>
    </w:p>
    <w:p w14:paraId="11726C27" w14:textId="77777777" w:rsidR="009303D9" w:rsidRDefault="009303D9">
      <w:pPr>
        <w:pStyle w:val="Heading2"/>
      </w:pPr>
      <w:r>
        <w:t xml:space="preserve">Discussion</w:t>
      </w:r>
    </w:p>
    <w:p w14:paraId="430ED6E2" w14:textId="77777777" w:rsidR="009303D9" w:rsidRDefault="009303D9">
      <w:pPr>
        <w:pStyle w:val="BodyText"/>
      </w:pPr>
      <w:r>
        <w:t xml:space="preserve">The reduction in MTTR from months to seconds has direct patient safety implications. Ransomware that historically locks hospital systems for days can be contained before propagating beyond the initially compromised device. Passive IoT monitoring without firmware modification addresses the 83% of networked medical devices harbouring known vulnerabilities [5]. The hash-chained audit log satisfies HIPAA audit control requirements automatically, replacing days of post-incident manual log aggregation. The open-source, on-premise architecture lowers adoption barriers for resource-constrained hospitals, while federated learning amplifies collective defence capability without centralizing sensitive data.</w:t>
      </w:r>
    </w:p>
    <w:p w14:paraId="33F1DCFF" w14:textId="77777777" w:rsidR="009303D9" w:rsidRDefault="009303D9">
      <w:pPr>
        <w:pStyle w:val="Heading1"/>
      </w:pPr>
      <w:r>
        <w:t xml:space="preserve">Conclusion</w:t>
      </w:r>
    </w:p>
    <w:p w14:paraId="19C3A19A" w14:textId="77777777" w:rsidR="009303D9" w:rsidRDefault="009303D9">
      <w:pPr>
        <w:pStyle w:val="BodyText"/>
      </w:pPr>
      <w:r>
        <w:t xml:space="preserve">MediSentinel represents a paradigm shift in healthcare cybersecurity, moving from reactive signature-based defences toward a proactive, continuously learning, autonomous AI-driven security posture. Through cooperative orchestration of five specialized agents over Apache Kafka and MQTT, the system achieves a mean time to detect of 3.8 s and mean time to respond of 8.2 s across 500 simulated attack scenarios—a 99.9% reduction relative to industry averages.</w:t>
      </w:r>
    </w:p>
    <w:p w14:paraId="734238C1" w14:textId="77777777" w:rsidR="009303D9" w:rsidRDefault="009303D9">
      <w:pPr>
        <w:pStyle w:val="BodyText"/>
      </w:pPr>
      <w:r>
        <w:t xml:space="preserve">Detection accuracy exceeds 95% on CICIDS-2018, NSL-KDD, and IoTID20 with false positive rates below 2%. ART-based adversarial training recovers accuracy from as low as 38% to 79-90% under state-of-the-art evasion attacks. Passive Medical IoT monitoring and automated HIPAA-compliant audit logging complete a comprehensive, entirely open-source, on-premise defence framework. This work establishes MediSentinel as a deployable blueprint for Healthcare 5.0 security infrastructure.</w:t>
      </w:r>
    </w:p>
    <w:p w14:paraId="64D37D4F" w14:textId="77777777" w:rsidR="009303D9" w:rsidRDefault="009303D9">
      <w:pPr>
        <w:pStyle w:val="Heading1"/>
      </w:pPr>
      <w:r>
        <w:t xml:space="preserve">Acknowledgment</w:t>
      </w:r>
    </w:p>
    <w:p w14:paraId="7CB67B58" w14:textId="77777777" w:rsidR="009303D9" w:rsidRDefault="009303D9">
      <w:pPr>
        <w:pStyle w:val="BodyText"/>
      </w:pPr>
      <w:r>
        <w:t xml:space="preserve">The authors thank the developers of Apache Kafka, Eclipse Mosquitto, PyTorch, scikit-learn, and IBM’s Adversarial Robustness Toolbox. The authors also acknowledge the teams responsible for the CICIDS-2018, NSL-KDD, and IoTID20 benchmark datasets.</w:t>
      </w:r>
    </w:p>
    <w:p w14:paraId="07275814" w14:textId="77777777" w:rsidR="009303D9" w:rsidRDefault="009303D9">
      <w:pPr>
        <w:pStyle w:val="Heading1"/>
      </w:pPr>
      <w:r>
        <w:t xml:space="preserve">references</w:t>
      </w:r>
    </w:p>
    <w:p w14:paraId="5209BB07" w14:textId="77777777" w:rsidR="009303D9" w:rsidRDefault="009303D9">
      <w:pPr>
        <w:pStyle w:val="references"/>
      </w:pPr>
      <w:r>
        <w:t xml:space="preserve">[1] IBM Security, “Cost of a Data Breach Report 2023,” IBM Corporation, 2023.</w:t>
      </w:r>
    </w:p>
    <w:p w14:paraId="1B204EDE" w14:textId="77777777" w:rsidR="009303D9" w:rsidRDefault="009303D9">
      <w:pPr>
        <w:pStyle w:val="references"/>
      </w:pPr>
      <w:r>
        <w:t xml:space="preserve">[2] B. Westrick, “Ransomware Attack Linked to Death of German Hospital Patient,” Health IT Security, Sep. 2020.</w:t>
      </w:r>
    </w:p>
    <w:p w14:paraId="38C354FA" w14:textId="77777777" w:rsidR="009303D9" w:rsidRDefault="009303D9">
      <w:pPr>
        <w:pStyle w:val="references"/>
      </w:pPr>
      <w:r>
        <w:t xml:space="preserve">[3] Ponemon Institute, “2022 State of Cybersecurity in Healthcare,” Research Report, 2022.</w:t>
      </w:r>
    </w:p>
    <w:p w14:paraId="210844EE" w14:textId="77777777" w:rsidR="009303D9" w:rsidRDefault="009303D9">
      <w:pPr>
        <w:pStyle w:val="references"/>
      </w:pPr>
      <w:r>
        <w:t xml:space="preserve">[4] M. Aldwairi and A. Alwabel, “Signatures-based intrusion detection system for the Internet of Things,” Int. J. Commun. Syst., vol. 34, no. 3, 2020.</w:t>
      </w:r>
    </w:p>
    <w:p w14:paraId="45E1FDC0" w14:textId="77777777" w:rsidR="009303D9" w:rsidRDefault="009303D9">
      <w:pPr>
        <w:pStyle w:val="references"/>
      </w:pPr>
      <w:r>
        <w:t xml:space="preserve">[5] B. Rios and J. Butts, “Security Evaluation of Medical Devices,” in Proc. IEEE S&amp;P Workshop on Medical Device Security, 2022.</w:t>
      </w:r>
    </w:p>
    <w:p w14:paraId="33C87D3C" w14:textId="77777777" w:rsidR="009303D9" w:rsidRDefault="009303D9">
      <w:pPr>
        <w:pStyle w:val="references"/>
      </w:pPr>
      <w:r>
        <w:t xml:space="preserve">[6] A. Khraisat et al., “Survey of intrusion detection systems,” Cybersecurity, vol. 2, no. 1, p. 20, 2019.</w:t>
      </w:r>
    </w:p>
    <w:p w14:paraId="69ADFC10" w14:textId="77777777" w:rsidR="009303D9" w:rsidRDefault="009303D9">
      <w:pPr>
        <w:pStyle w:val="references"/>
      </w:pPr>
      <w:r>
        <w:t xml:space="preserve">[7] A. Dorri, S. S. Kanhere, and R. Jurdak, “Multi-Agent Systems: A Survey,” IEEE Access, vol. 6, pp. 28573–28593, 2018.</w:t>
      </w:r>
    </w:p>
    <w:p w14:paraId="61D40841" w14:textId="77777777" w:rsidR="009303D9" w:rsidRDefault="009303D9">
      <w:pPr>
        <w:pStyle w:val="references"/>
      </w:pPr>
      <w:r>
        <w:t xml:space="preserve">[8] S. K. Sahu and D. S. Mehtre, “Network intrusion detection system using J48 Decision Tree,” in Proc. IEEE ICCSP, 2021.</w:t>
      </w:r>
    </w:p>
    <w:p w14:paraId="103C442B" w14:textId="77777777" w:rsidR="009303D9" w:rsidRDefault="009303D9">
      <w:pPr>
        <w:pStyle w:val="references"/>
      </w:pPr>
      <w:r>
        <w:t xml:space="preserve">[9] M. Tavallaee et al., “A detailed analysis of the KDD CUP 99 data set,” in Proc. IEEE CISDA, 2009.</w:t>
      </w:r>
    </w:p>
    <w:p w14:paraId="2D5998FB" w14:textId="77777777" w:rsidR="009303D9" w:rsidRDefault="009303D9">
      <w:pPr>
        <w:pStyle w:val="references"/>
      </w:pPr>
      <w:r>
        <w:t xml:space="preserve">[10] M. Miettinen et al., “IoT SENTINEL: Automated device-type identification,” in Proc. IEEE ICDCS, 2017.</w:t>
      </w:r>
    </w:p>
    <w:p w14:paraId="788E3CAD" w14:textId="77777777" w:rsidR="009303D9" w:rsidRDefault="009303D9">
      <w:pPr>
        <w:pStyle w:val="references"/>
      </w:pPr>
      <w:r>
        <w:t xml:space="preserve">[11] A. Ayodeji et al., “A new perspective towards data-driven intrusion detection for ICS,” Nuclear Eng. Des., vol. 379, 2021.</w:t>
      </w:r>
    </w:p>
    <w:p w14:paraId="5905B964" w14:textId="77777777" w:rsidR="009303D9" w:rsidRDefault="009303D9">
      <w:pPr>
        <w:pStyle w:val="references"/>
      </w:pPr>
      <w:r>
        <w:t xml:space="preserve">[12] A. Dorri et al., “Multi-Agent Systems: A Survey,” IEEE Access, vol. 6, pp. 28573–28593, 2018.</w:t>
      </w:r>
    </w:p>
    <w:p w14:paraId="3D024412" w14:textId="77777777" w:rsidR="009303D9" w:rsidRDefault="009303D9">
      <w:pPr>
        <w:pStyle w:val="references"/>
      </w:pPr>
      <w:r>
        <w:t xml:space="preserve">[13] J. Kreps, N. Narkhede, and J. Rao, “Kafka: A Distributed Messaging System,” in Proc. NetDB at SIGMOD, 2011.</w:t>
      </w:r>
    </w:p>
    <w:p w14:paraId="761AA134" w14:textId="77777777" w:rsidR="009303D9" w:rsidRDefault="009303D9">
      <w:pPr>
        <w:pStyle w:val="references"/>
      </w:pPr>
      <w:r>
        <w:t xml:space="preserve">[14] N. Carlini and D. Wagner, “Towards evaluating the robustness of neural networks,” in Proc. IEEE S&amp;P, 2017.</w:t>
      </w:r>
    </w:p>
    <w:p w14:paraId="073508BA" w14:textId="77777777" w:rsidR="009303D9" w:rsidRDefault="009303D9">
      <w:pPr>
        <w:pStyle w:val="references"/>
      </w:pPr>
      <w:r>
        <w:t xml:space="preserve">[15] K. Yang et al., “Adversarial examples against deep learning IDS,” in Proc. IEEE MILCOM, 2018.</w:t>
      </w:r>
    </w:p>
    <w:p w14:paraId="10D236CF" w14:textId="77777777" w:rsidR="009303D9" w:rsidRDefault="009303D9">
      <w:pPr>
        <w:pStyle w:val="references"/>
      </w:pPr>
      <w:r>
        <w:t xml:space="preserve">[16] M. I. Nicolae et al., “Adversarial Robustness Toolbox v1.0.0,” arXiv:1807.01069, 2018.</w:t>
      </w:r>
    </w:p>
    <w:p w14:paraId="5E98F0A7" w14:textId="77777777" w:rsidR="009303D9" w:rsidRDefault="009303D9">
      <w:pPr>
        <w:pStyle w:val="references"/>
      </w:pPr>
      <w:r>
        <w:t xml:space="preserve">[17] H. B. McMahan et al., “Communication-efficient learning from decentralized data,” in Proc. AISTATS, 2017.</w:t>
      </w:r>
    </w:p>
    <w:p w14:paraId="6EA53D7F" w14:textId="77777777" w:rsidR="009303D9" w:rsidRDefault="009303D9">
      <w:pPr>
        <w:pStyle w:val="references"/>
      </w:pPr>
      <w:r>
        <w:t xml:space="preserve">[18] I. Sharafaldin et al., “Toward generating a new intrusion detection dataset,” in Proc. ICISSP, 2018.</w:t>
      </w:r>
    </w:p>
    <w:p w14:paraId="5C035672" w14:textId="77777777" w:rsidR="009303D9" w:rsidRDefault="009303D9">
      <w:pPr>
        <w:pStyle w:val="references"/>
      </w:pPr>
      <w:r>
        <w:t xml:space="preserve">[19] M. Tavallaee et al., “A detailed analysis of the KDD CUP 99 data set,” in Proc. IEEE CISDA, 2009.</w:t>
      </w:r>
    </w:p>
    <w:p w14:paraId="4CD1EC0C" w14:textId="77777777" w:rsidR="009303D9" w:rsidRDefault="009303D9">
      <w:pPr>
        <w:pStyle w:val="references"/>
      </w:pPr>
      <w:r>
        <w:t xml:space="preserve">[20] I. Ullah and Q. H. Mahmoud, “A two-level hybrid model for anomalous activity detection in IoT,” Sensors, vol. 20, no. 9, 2020.</w:t>
      </w:r>
    </w:p>
    <w:sectPr w:rsidR="009303D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