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Arial" w:hAnsi="Arial"/>
          <w:b/>
          <w:sz w:val="60"/>
        </w:rPr>
        <w:t>HEALTHCARE CLAIMS ANALYTICS</w:t>
      </w:r>
    </w:p>
    <w:p>
      <w:pPr>
        <w:jc w:val="center"/>
      </w:pPr>
      <w:r>
        <w:rPr>
          <w:b/>
          <w:sz w:val="36"/>
        </w:rPr>
        <w:t>End-to-End Data Engineering, Data Quality, Business Intelligence</w:t>
        <w:br/>
        <w:t>and Conversational Analytics</w:t>
      </w:r>
    </w:p>
    <w:p>
      <w:pPr>
        <w:jc w:val="center"/>
      </w:pPr>
      <w:r>
        <w:rPr>
          <w:sz w:val="28"/>
        </w:rPr>
        <w:br/>
        <w:t>Technical Project Documentation</w:t>
      </w:r>
    </w:p>
    <w:p/>
    <w:tbl>
      <w:tblPr>
        <w:tblStyle w:val="TableGrid"/>
        <w:tblW w:type="auto" w:w="0"/>
        <w:jc w:val="center"/>
        <w:tblLook w:firstColumn="1" w:firstRow="1" w:lastColumn="0" w:lastRow="0" w:noHBand="0" w:noVBand="1" w:val="04A0"/>
      </w:tblPr>
      <w:tblGrid>
        <w:gridCol w:w="3009"/>
        <w:gridCol w:w="3009"/>
        <w:gridCol w:w="3009"/>
      </w:tblGrid>
      <w:tr>
        <w:tc>
          <w:tcPr>
            <w:tcW w:type="dxa" w:w="1728"/>
            <w:shd w:fill="D9EAF7"/>
            <w:vAlign w:val="center"/>
            <w:tcMar>
              <w:top w:w="80" w:type="dxa"/>
              <w:start w:w="100" w:type="dxa"/>
              <w:bottom w:w="80" w:type="dxa"/>
              <w:end w:w="100" w:type="dxa"/>
            </w:tcMar>
          </w:tcPr>
          <w:p>
            <w:r>
              <w:rPr>
                <w:b/>
                <w:sz w:val="18"/>
              </w:rPr>
              <w:t>Role</w:t>
            </w:r>
          </w:p>
        </w:tc>
        <w:tc>
          <w:tcPr>
            <w:tcW w:type="dxa" w:w="4464"/>
            <w:shd w:fill="D9EAF7"/>
            <w:vAlign w:val="center"/>
            <w:tcMar>
              <w:top w:w="80" w:type="dxa"/>
              <w:start w:w="100" w:type="dxa"/>
              <w:bottom w:w="80" w:type="dxa"/>
              <w:end w:w="100" w:type="dxa"/>
            </w:tcMar>
          </w:tcPr>
          <w:p>
            <w:r>
              <w:rPr>
                <w:b/>
                <w:sz w:val="18"/>
              </w:rPr>
              <w:t>Name</w:t>
            </w:r>
          </w:p>
        </w:tc>
        <w:tc>
          <w:tcPr>
            <w:tcW w:type="dxa" w:w="2880"/>
            <w:shd w:fill="D9EAF7"/>
            <w:vAlign w:val="center"/>
            <w:tcMar>
              <w:top w:w="80" w:type="dxa"/>
              <w:start w:w="100" w:type="dxa"/>
              <w:bottom w:w="80" w:type="dxa"/>
              <w:end w:w="100" w:type="dxa"/>
            </w:tcMar>
          </w:tcPr>
          <w:p>
            <w:r>
              <w:rPr>
                <w:b/>
                <w:sz w:val="18"/>
              </w:rPr>
              <w:t>Designation</w:t>
            </w:r>
          </w:p>
        </w:tc>
      </w:tr>
      <w:tr>
        <w:tc>
          <w:tcPr>
            <w:tcW w:type="dxa" w:w="1728"/>
            <w:vAlign w:val="top"/>
            <w:tcMar>
              <w:top w:w="80" w:type="dxa"/>
              <w:start w:w="100" w:type="dxa"/>
              <w:bottom w:w="80" w:type="dxa"/>
              <w:end w:w="100" w:type="dxa"/>
            </w:tcMar>
          </w:tcPr>
          <w:p>
            <w:pPr>
              <w:spacing w:after="0"/>
            </w:pPr>
            <w:r>
              <w:rPr>
                <w:sz w:val="17"/>
              </w:rPr>
              <w:t>Team Member</w:t>
            </w:r>
          </w:p>
        </w:tc>
        <w:tc>
          <w:tcPr>
            <w:tcW w:type="dxa" w:w="4464"/>
            <w:vAlign w:val="top"/>
            <w:tcMar>
              <w:top w:w="80" w:type="dxa"/>
              <w:start w:w="100" w:type="dxa"/>
              <w:bottom w:w="80" w:type="dxa"/>
              <w:end w:w="100" w:type="dxa"/>
            </w:tcMar>
          </w:tcPr>
          <w:p>
            <w:pPr>
              <w:spacing w:after="0"/>
            </w:pPr>
            <w:r>
              <w:rPr>
                <w:sz w:val="17"/>
              </w:rPr>
              <w:t>Devendra Prasad Madala</w:t>
            </w:r>
          </w:p>
        </w:tc>
        <w:tc>
          <w:tcPr>
            <w:tcW w:type="dxa" w:w="2880"/>
            <w:vAlign w:val="top"/>
            <w:tcMar>
              <w:top w:w="80" w:type="dxa"/>
              <w:start w:w="100" w:type="dxa"/>
              <w:bottom w:w="80" w:type="dxa"/>
              <w:end w:w="100" w:type="dxa"/>
            </w:tcMar>
          </w:tcPr>
          <w:p>
            <w:pPr>
              <w:spacing w:after="0"/>
            </w:pPr>
            <w:r>
              <w:rPr>
                <w:sz w:val="17"/>
              </w:rPr>
              <w:t>Intern</w:t>
            </w:r>
          </w:p>
        </w:tc>
      </w:tr>
      <w:tr>
        <w:tc>
          <w:tcPr>
            <w:tcW w:type="dxa" w:w="1728"/>
            <w:vAlign w:val="top"/>
            <w:tcMar>
              <w:top w:w="80" w:type="dxa"/>
              <w:start w:w="100" w:type="dxa"/>
              <w:bottom w:w="80" w:type="dxa"/>
              <w:end w:w="100" w:type="dxa"/>
            </w:tcMar>
          </w:tcPr>
          <w:p>
            <w:pPr>
              <w:spacing w:after="0"/>
            </w:pPr>
            <w:r>
              <w:rPr>
                <w:sz w:val="17"/>
              </w:rPr>
              <w:t>Team Member</w:t>
            </w:r>
          </w:p>
        </w:tc>
        <w:tc>
          <w:tcPr>
            <w:tcW w:type="dxa" w:w="4464"/>
            <w:vAlign w:val="top"/>
            <w:tcMar>
              <w:top w:w="80" w:type="dxa"/>
              <w:start w:w="100" w:type="dxa"/>
              <w:bottom w:w="80" w:type="dxa"/>
              <w:end w:w="100" w:type="dxa"/>
            </w:tcMar>
          </w:tcPr>
          <w:p>
            <w:pPr>
              <w:spacing w:after="0"/>
            </w:pPr>
            <w:r>
              <w:rPr>
                <w:sz w:val="17"/>
              </w:rPr>
              <w:t>Vaibhav Srivastava</w:t>
            </w:r>
          </w:p>
        </w:tc>
        <w:tc>
          <w:tcPr>
            <w:tcW w:type="dxa" w:w="2880"/>
            <w:vAlign w:val="top"/>
            <w:tcMar>
              <w:top w:w="80" w:type="dxa"/>
              <w:start w:w="100" w:type="dxa"/>
              <w:bottom w:w="80" w:type="dxa"/>
              <w:end w:w="100" w:type="dxa"/>
            </w:tcMar>
          </w:tcPr>
          <w:p>
            <w:pPr>
              <w:spacing w:after="0"/>
            </w:pPr>
            <w:r>
              <w:rPr>
                <w:sz w:val="17"/>
              </w:rPr>
              <w:t>Intern</w:t>
            </w:r>
          </w:p>
        </w:tc>
      </w:tr>
      <w:tr>
        <w:tc>
          <w:tcPr>
            <w:tcW w:type="dxa" w:w="1728"/>
            <w:vAlign w:val="top"/>
            <w:tcMar>
              <w:top w:w="80" w:type="dxa"/>
              <w:start w:w="100" w:type="dxa"/>
              <w:bottom w:w="80" w:type="dxa"/>
              <w:end w:w="100" w:type="dxa"/>
            </w:tcMar>
          </w:tcPr>
          <w:p>
            <w:pPr>
              <w:spacing w:after="0"/>
            </w:pPr>
            <w:r>
              <w:rPr>
                <w:sz w:val="17"/>
              </w:rPr>
              <w:t>Mentor</w:t>
            </w:r>
          </w:p>
        </w:tc>
        <w:tc>
          <w:tcPr>
            <w:tcW w:type="dxa" w:w="4464"/>
            <w:vAlign w:val="top"/>
            <w:tcMar>
              <w:top w:w="80" w:type="dxa"/>
              <w:start w:w="100" w:type="dxa"/>
              <w:bottom w:w="80" w:type="dxa"/>
              <w:end w:w="100" w:type="dxa"/>
            </w:tcMar>
          </w:tcPr>
          <w:p>
            <w:pPr>
              <w:spacing w:after="0"/>
            </w:pPr>
            <w:r>
              <w:rPr>
                <w:sz w:val="17"/>
              </w:rPr>
              <w:t>Harsha Panchagnula</w:t>
            </w:r>
          </w:p>
        </w:tc>
        <w:tc>
          <w:tcPr>
            <w:tcW w:type="dxa" w:w="2880"/>
            <w:vAlign w:val="top"/>
            <w:tcMar>
              <w:top w:w="80" w:type="dxa"/>
              <w:start w:w="100" w:type="dxa"/>
              <w:bottom w:w="80" w:type="dxa"/>
              <w:end w:w="100" w:type="dxa"/>
            </w:tcMar>
          </w:tcPr>
          <w:p>
            <w:pPr>
              <w:spacing w:after="0"/>
            </w:pPr>
            <w:r>
              <w:rPr>
                <w:sz w:val="17"/>
              </w:rPr>
              <w:t>Engineer III</w:t>
            </w:r>
          </w:p>
        </w:tc>
      </w:tr>
      <w:tr>
        <w:tc>
          <w:tcPr>
            <w:tcW w:type="dxa" w:w="1728"/>
            <w:vAlign w:val="top"/>
            <w:tcMar>
              <w:top w:w="80" w:type="dxa"/>
              <w:start w:w="100" w:type="dxa"/>
              <w:bottom w:w="80" w:type="dxa"/>
              <w:end w:w="100" w:type="dxa"/>
            </w:tcMar>
          </w:tcPr>
          <w:p>
            <w:pPr>
              <w:spacing w:after="0"/>
            </w:pPr>
            <w:r>
              <w:rPr>
                <w:sz w:val="17"/>
              </w:rPr>
              <w:t>Mentor</w:t>
            </w:r>
          </w:p>
        </w:tc>
        <w:tc>
          <w:tcPr>
            <w:tcW w:type="dxa" w:w="4464"/>
            <w:vAlign w:val="top"/>
            <w:tcMar>
              <w:top w:w="80" w:type="dxa"/>
              <w:start w:w="100" w:type="dxa"/>
              <w:bottom w:w="80" w:type="dxa"/>
              <w:end w:w="100" w:type="dxa"/>
            </w:tcMar>
          </w:tcPr>
          <w:p>
            <w:pPr>
              <w:spacing w:after="0"/>
            </w:pPr>
            <w:r>
              <w:rPr>
                <w:sz w:val="17"/>
              </w:rPr>
              <w:t>Ganesh Kancharla</w:t>
            </w:r>
          </w:p>
        </w:tc>
        <w:tc>
          <w:tcPr>
            <w:tcW w:type="dxa" w:w="2880"/>
            <w:vAlign w:val="top"/>
            <w:tcMar>
              <w:top w:w="80" w:type="dxa"/>
              <w:start w:w="100" w:type="dxa"/>
              <w:bottom w:w="80" w:type="dxa"/>
              <w:end w:w="100" w:type="dxa"/>
            </w:tcMar>
          </w:tcPr>
          <w:p>
            <w:pPr>
              <w:spacing w:after="0"/>
            </w:pPr>
            <w:r>
              <w:rPr>
                <w:sz w:val="17"/>
              </w:rPr>
              <w:t>Engineer II</w:t>
            </w:r>
          </w:p>
        </w:tc>
      </w:tr>
    </w:tbl>
    <w:p>
      <w:pPr>
        <w:spacing w:after="20"/>
      </w:pPr>
    </w:p>
    <w:p>
      <w:pPr>
        <w:jc w:val="center"/>
      </w:pPr>
      <w:r>
        <w:rPr>
          <w:b/>
        </w:rPr>
        <w:br/>
        <w:t>August 2026</w:t>
      </w:r>
    </w:p>
    <w:p>
      <w:r>
        <w:br w:type="page"/>
      </w:r>
    </w:p>
    <w:p>
      <w:pPr>
        <w:pStyle w:val="Heading1"/>
        <w:spacing w:before="80" w:after="160"/>
      </w:pPr>
      <w:r>
        <w:rPr>
          <w:b/>
        </w:rPr>
        <w:t>Table of Contents</w:t>
      </w:r>
    </w:p>
    <w:tbl>
      <w:tblPr>
        <w:tblStyle w:val="TableGrid"/>
        <w:tblW w:type="auto" w:w="0"/>
        <w:jc w:val="center"/>
        <w:tblLook w:firstColumn="1" w:firstRow="1" w:lastColumn="0" w:lastRow="0" w:noHBand="0" w:noVBand="1" w:val="04A0"/>
      </w:tblPr>
      <w:tblGrid>
        <w:gridCol w:w="4513"/>
        <w:gridCol w:w="4513"/>
      </w:tblGrid>
      <w:tr>
        <w:tc>
          <w:tcPr>
            <w:tcW w:type="dxa" w:w="8352"/>
            <w:shd w:fill="D9EAF7"/>
            <w:vAlign w:val="center"/>
            <w:tcMar>
              <w:top w:w="80" w:type="dxa"/>
              <w:start w:w="100" w:type="dxa"/>
              <w:bottom w:w="80" w:type="dxa"/>
              <w:end w:w="100" w:type="dxa"/>
            </w:tcMar>
          </w:tcPr>
          <w:p>
            <w:r>
              <w:rPr>
                <w:b/>
                <w:sz w:val="18"/>
              </w:rPr>
              <w:t>Section</w:t>
            </w:r>
          </w:p>
        </w:tc>
        <w:tc>
          <w:tcPr>
            <w:tcW w:type="dxa" w:w="1008"/>
            <w:shd w:fill="D9EAF7"/>
            <w:vAlign w:val="center"/>
            <w:tcMar>
              <w:top w:w="80" w:type="dxa"/>
              <w:start w:w="100" w:type="dxa"/>
              <w:bottom w:w="80" w:type="dxa"/>
              <w:end w:w="100" w:type="dxa"/>
            </w:tcMar>
          </w:tcPr>
          <w:p>
            <w:r>
              <w:rPr>
                <w:b/>
                <w:sz w:val="18"/>
              </w:rPr>
              <w:t>Page</w:t>
            </w:r>
          </w:p>
        </w:tc>
      </w:tr>
      <w:tr>
        <w:tc>
          <w:tcPr>
            <w:tcW w:type="dxa" w:w="8352"/>
            <w:vAlign w:val="top"/>
            <w:tcMar>
              <w:top w:w="80" w:type="dxa"/>
              <w:start w:w="100" w:type="dxa"/>
              <w:bottom w:w="80" w:type="dxa"/>
              <w:end w:w="100" w:type="dxa"/>
            </w:tcMar>
          </w:tcPr>
          <w:p>
            <w:pPr>
              <w:spacing w:after="0"/>
            </w:pPr>
            <w:r>
              <w:rPr>
                <w:sz w:val="17"/>
              </w:rPr>
              <w:t>Abstract</w:t>
            </w:r>
          </w:p>
        </w:tc>
        <w:tc>
          <w:tcPr>
            <w:tcW w:type="dxa" w:w="1008"/>
            <w:vAlign w:val="top"/>
            <w:tcMar>
              <w:top w:w="80" w:type="dxa"/>
              <w:start w:w="100" w:type="dxa"/>
              <w:bottom w:w="80" w:type="dxa"/>
              <w:end w:w="100" w:type="dxa"/>
            </w:tcMar>
          </w:tcPr>
          <w:p>
            <w:pPr>
              <w:spacing w:after="0"/>
            </w:pPr>
            <w:r>
              <w:rPr>
                <w:sz w:val="17"/>
              </w:rPr>
              <w:t>3</w:t>
            </w:r>
          </w:p>
        </w:tc>
      </w:tr>
      <w:tr>
        <w:tc>
          <w:tcPr>
            <w:tcW w:type="dxa" w:w="8352"/>
            <w:vAlign w:val="top"/>
            <w:tcMar>
              <w:top w:w="80" w:type="dxa"/>
              <w:start w:w="100" w:type="dxa"/>
              <w:bottom w:w="80" w:type="dxa"/>
              <w:end w:w="100" w:type="dxa"/>
            </w:tcMar>
          </w:tcPr>
          <w:p>
            <w:pPr>
              <w:spacing w:after="0"/>
            </w:pPr>
            <w:r>
              <w:rPr>
                <w:sz w:val="17"/>
              </w:rPr>
              <w:t>1. Introduction</w:t>
            </w:r>
          </w:p>
        </w:tc>
        <w:tc>
          <w:tcPr>
            <w:tcW w:type="dxa" w:w="1008"/>
            <w:vAlign w:val="top"/>
            <w:tcMar>
              <w:top w:w="80" w:type="dxa"/>
              <w:start w:w="100" w:type="dxa"/>
              <w:bottom w:w="80" w:type="dxa"/>
              <w:end w:w="100" w:type="dxa"/>
            </w:tcMar>
          </w:tcPr>
          <w:p>
            <w:pPr>
              <w:spacing w:after="0"/>
            </w:pPr>
            <w:r>
              <w:rPr>
                <w:sz w:val="17"/>
              </w:rPr>
              <w:t>4</w:t>
            </w:r>
          </w:p>
        </w:tc>
      </w:tr>
      <w:tr>
        <w:tc>
          <w:tcPr>
            <w:tcW w:type="dxa" w:w="8352"/>
            <w:vAlign w:val="top"/>
            <w:tcMar>
              <w:top w:w="80" w:type="dxa"/>
              <w:start w:w="100" w:type="dxa"/>
              <w:bottom w:w="80" w:type="dxa"/>
              <w:end w:w="100" w:type="dxa"/>
            </w:tcMar>
          </w:tcPr>
          <w:p>
            <w:pPr>
              <w:spacing w:after="0"/>
            </w:pPr>
            <w:r>
              <w:rPr>
                <w:sz w:val="17"/>
              </w:rPr>
              <w:t>2. Business Problem and Project Objectives</w:t>
            </w:r>
          </w:p>
        </w:tc>
        <w:tc>
          <w:tcPr>
            <w:tcW w:type="dxa" w:w="1008"/>
            <w:vAlign w:val="top"/>
            <w:tcMar>
              <w:top w:w="80" w:type="dxa"/>
              <w:start w:w="100" w:type="dxa"/>
              <w:bottom w:w="80" w:type="dxa"/>
              <w:end w:w="100" w:type="dxa"/>
            </w:tcMar>
          </w:tcPr>
          <w:p>
            <w:pPr>
              <w:spacing w:after="0"/>
            </w:pPr>
            <w:r>
              <w:rPr>
                <w:sz w:val="17"/>
              </w:rPr>
              <w:t>5</w:t>
            </w:r>
          </w:p>
        </w:tc>
      </w:tr>
      <w:tr>
        <w:tc>
          <w:tcPr>
            <w:tcW w:type="dxa" w:w="8352"/>
            <w:vAlign w:val="top"/>
            <w:tcMar>
              <w:top w:w="80" w:type="dxa"/>
              <w:start w:w="100" w:type="dxa"/>
              <w:bottom w:w="80" w:type="dxa"/>
              <w:end w:w="100" w:type="dxa"/>
            </w:tcMar>
          </w:tcPr>
          <w:p>
            <w:pPr>
              <w:spacing w:after="0"/>
            </w:pPr>
            <w:r>
              <w:rPr>
                <w:sz w:val="17"/>
              </w:rPr>
              <w:t>3. Solution Architecture</w:t>
            </w:r>
          </w:p>
        </w:tc>
        <w:tc>
          <w:tcPr>
            <w:tcW w:type="dxa" w:w="1008"/>
            <w:vAlign w:val="top"/>
            <w:tcMar>
              <w:top w:w="80" w:type="dxa"/>
              <w:start w:w="100" w:type="dxa"/>
              <w:bottom w:w="80" w:type="dxa"/>
              <w:end w:w="100" w:type="dxa"/>
            </w:tcMar>
          </w:tcPr>
          <w:p>
            <w:pPr>
              <w:spacing w:after="0"/>
            </w:pPr>
            <w:r>
              <w:rPr>
                <w:sz w:val="17"/>
              </w:rPr>
              <w:t>6</w:t>
            </w:r>
          </w:p>
        </w:tc>
      </w:tr>
      <w:tr>
        <w:tc>
          <w:tcPr>
            <w:tcW w:type="dxa" w:w="8352"/>
            <w:vAlign w:val="top"/>
            <w:tcMar>
              <w:top w:w="80" w:type="dxa"/>
              <w:start w:w="100" w:type="dxa"/>
              <w:bottom w:w="80" w:type="dxa"/>
              <w:end w:w="100" w:type="dxa"/>
            </w:tcMar>
          </w:tcPr>
          <w:p>
            <w:pPr>
              <w:spacing w:after="0"/>
            </w:pPr>
            <w:r>
              <w:rPr>
                <w:sz w:val="17"/>
              </w:rPr>
              <w:t>4. Source Data and AWS S3 Landing</w:t>
            </w:r>
          </w:p>
        </w:tc>
        <w:tc>
          <w:tcPr>
            <w:tcW w:type="dxa" w:w="1008"/>
            <w:vAlign w:val="top"/>
            <w:tcMar>
              <w:top w:w="80" w:type="dxa"/>
              <w:start w:w="100" w:type="dxa"/>
              <w:bottom w:w="80" w:type="dxa"/>
              <w:end w:w="100" w:type="dxa"/>
            </w:tcMar>
          </w:tcPr>
          <w:p>
            <w:pPr>
              <w:spacing w:after="0"/>
            </w:pPr>
            <w:r>
              <w:rPr>
                <w:sz w:val="17"/>
              </w:rPr>
              <w:t>7</w:t>
            </w:r>
          </w:p>
        </w:tc>
      </w:tr>
      <w:tr>
        <w:tc>
          <w:tcPr>
            <w:tcW w:type="dxa" w:w="8352"/>
            <w:vAlign w:val="top"/>
            <w:tcMar>
              <w:top w:w="80" w:type="dxa"/>
              <w:start w:w="100" w:type="dxa"/>
              <w:bottom w:w="80" w:type="dxa"/>
              <w:end w:w="100" w:type="dxa"/>
            </w:tcMar>
          </w:tcPr>
          <w:p>
            <w:pPr>
              <w:spacing w:after="0"/>
            </w:pPr>
            <w:r>
              <w:rPr>
                <w:sz w:val="17"/>
              </w:rPr>
              <w:t>5. Databricks Integration and Bronze Layer</w:t>
            </w:r>
          </w:p>
        </w:tc>
        <w:tc>
          <w:tcPr>
            <w:tcW w:type="dxa" w:w="1008"/>
            <w:vAlign w:val="top"/>
            <w:tcMar>
              <w:top w:w="80" w:type="dxa"/>
              <w:start w:w="100" w:type="dxa"/>
              <w:bottom w:w="80" w:type="dxa"/>
              <w:end w:w="100" w:type="dxa"/>
            </w:tcMar>
          </w:tcPr>
          <w:p>
            <w:pPr>
              <w:spacing w:after="0"/>
            </w:pPr>
            <w:r>
              <w:rPr>
                <w:sz w:val="17"/>
              </w:rPr>
              <w:t>8</w:t>
            </w:r>
          </w:p>
        </w:tc>
      </w:tr>
      <w:tr>
        <w:tc>
          <w:tcPr>
            <w:tcW w:type="dxa" w:w="8352"/>
            <w:vAlign w:val="top"/>
            <w:tcMar>
              <w:top w:w="80" w:type="dxa"/>
              <w:start w:w="100" w:type="dxa"/>
              <w:bottom w:w="80" w:type="dxa"/>
              <w:end w:w="100" w:type="dxa"/>
            </w:tcMar>
          </w:tcPr>
          <w:p>
            <w:pPr>
              <w:spacing w:after="0"/>
            </w:pPr>
            <w:r>
              <w:rPr>
                <w:sz w:val="17"/>
              </w:rPr>
              <w:t>6. Silver Layer — Cleaning and Standardization</w:t>
            </w:r>
          </w:p>
        </w:tc>
        <w:tc>
          <w:tcPr>
            <w:tcW w:type="dxa" w:w="1008"/>
            <w:vAlign w:val="top"/>
            <w:tcMar>
              <w:top w:w="80" w:type="dxa"/>
              <w:start w:w="100" w:type="dxa"/>
              <w:bottom w:w="80" w:type="dxa"/>
              <w:end w:w="100" w:type="dxa"/>
            </w:tcMar>
          </w:tcPr>
          <w:p>
            <w:pPr>
              <w:spacing w:after="0"/>
            </w:pPr>
            <w:r>
              <w:rPr>
                <w:sz w:val="17"/>
              </w:rPr>
              <w:t>9</w:t>
            </w:r>
          </w:p>
        </w:tc>
      </w:tr>
      <w:tr>
        <w:tc>
          <w:tcPr>
            <w:tcW w:type="dxa" w:w="8352"/>
            <w:vAlign w:val="top"/>
            <w:tcMar>
              <w:top w:w="80" w:type="dxa"/>
              <w:start w:w="100" w:type="dxa"/>
              <w:bottom w:w="80" w:type="dxa"/>
              <w:end w:w="100" w:type="dxa"/>
            </w:tcMar>
          </w:tcPr>
          <w:p>
            <w:pPr>
              <w:spacing w:after="0"/>
            </w:pPr>
            <w:r>
              <w:rPr>
                <w:sz w:val="17"/>
              </w:rPr>
              <w:t>7. Gold Layer — Dimensional and Fact Modeling</w:t>
            </w:r>
          </w:p>
        </w:tc>
        <w:tc>
          <w:tcPr>
            <w:tcW w:type="dxa" w:w="1008"/>
            <w:vAlign w:val="top"/>
            <w:tcMar>
              <w:top w:w="80" w:type="dxa"/>
              <w:start w:w="100" w:type="dxa"/>
              <w:bottom w:w="80" w:type="dxa"/>
              <w:end w:w="100" w:type="dxa"/>
            </w:tcMar>
          </w:tcPr>
          <w:p>
            <w:pPr>
              <w:spacing w:after="0"/>
            </w:pPr>
            <w:r>
              <w:rPr>
                <w:sz w:val="17"/>
              </w:rPr>
              <w:t>10</w:t>
            </w:r>
          </w:p>
        </w:tc>
      </w:tr>
      <w:tr>
        <w:tc>
          <w:tcPr>
            <w:tcW w:type="dxa" w:w="8352"/>
            <w:vAlign w:val="top"/>
            <w:tcMar>
              <w:top w:w="80" w:type="dxa"/>
              <w:start w:w="100" w:type="dxa"/>
              <w:bottom w:w="80" w:type="dxa"/>
              <w:end w:w="100" w:type="dxa"/>
            </w:tcMar>
          </w:tcPr>
          <w:p>
            <w:pPr>
              <w:spacing w:after="0"/>
            </w:pPr>
            <w:r>
              <w:rPr>
                <w:sz w:val="17"/>
              </w:rPr>
              <w:t>8. Snowflake Analytical Serving Layer</w:t>
            </w:r>
          </w:p>
        </w:tc>
        <w:tc>
          <w:tcPr>
            <w:tcW w:type="dxa" w:w="1008"/>
            <w:vAlign w:val="top"/>
            <w:tcMar>
              <w:top w:w="80" w:type="dxa"/>
              <w:start w:w="100" w:type="dxa"/>
              <w:bottom w:w="80" w:type="dxa"/>
              <w:end w:w="100" w:type="dxa"/>
            </w:tcMar>
          </w:tcPr>
          <w:p>
            <w:pPr>
              <w:spacing w:after="0"/>
            </w:pPr>
            <w:r>
              <w:rPr>
                <w:sz w:val="17"/>
              </w:rPr>
              <w:t>11</w:t>
            </w:r>
          </w:p>
        </w:tc>
      </w:tr>
      <w:tr>
        <w:tc>
          <w:tcPr>
            <w:tcW w:type="dxa" w:w="8352"/>
            <w:vAlign w:val="top"/>
            <w:tcMar>
              <w:top w:w="80" w:type="dxa"/>
              <w:start w:w="100" w:type="dxa"/>
              <w:bottom w:w="80" w:type="dxa"/>
              <w:end w:w="100" w:type="dxa"/>
            </w:tcMar>
          </w:tcPr>
          <w:p>
            <w:pPr>
              <w:spacing w:after="0"/>
            </w:pPr>
            <w:r>
              <w:rPr>
                <w:sz w:val="17"/>
              </w:rPr>
              <w:t>9. Enterprise Data Quality Control Tower</w:t>
            </w:r>
          </w:p>
        </w:tc>
        <w:tc>
          <w:tcPr>
            <w:tcW w:type="dxa" w:w="1008"/>
            <w:vAlign w:val="top"/>
            <w:tcMar>
              <w:top w:w="80" w:type="dxa"/>
              <w:start w:w="100" w:type="dxa"/>
              <w:bottom w:w="80" w:type="dxa"/>
              <w:end w:w="100" w:type="dxa"/>
            </w:tcMar>
          </w:tcPr>
          <w:p>
            <w:pPr>
              <w:spacing w:after="0"/>
            </w:pPr>
            <w:r>
              <w:rPr>
                <w:sz w:val="17"/>
              </w:rPr>
              <w:t>12</w:t>
            </w:r>
          </w:p>
        </w:tc>
      </w:tr>
      <w:tr>
        <w:tc>
          <w:tcPr>
            <w:tcW w:type="dxa" w:w="8352"/>
            <w:vAlign w:val="top"/>
            <w:tcMar>
              <w:top w:w="80" w:type="dxa"/>
              <w:start w:w="100" w:type="dxa"/>
              <w:bottom w:w="80" w:type="dxa"/>
              <w:end w:w="100" w:type="dxa"/>
            </w:tcMar>
          </w:tcPr>
          <w:p>
            <w:pPr>
              <w:spacing w:after="0"/>
            </w:pPr>
            <w:r>
              <w:rPr>
                <w:sz w:val="17"/>
              </w:rPr>
              <w:t>10. Power BI Business Intelligence</w:t>
            </w:r>
          </w:p>
        </w:tc>
        <w:tc>
          <w:tcPr>
            <w:tcW w:type="dxa" w:w="1008"/>
            <w:vAlign w:val="top"/>
            <w:tcMar>
              <w:top w:w="80" w:type="dxa"/>
              <w:start w:w="100" w:type="dxa"/>
              <w:bottom w:w="80" w:type="dxa"/>
              <w:end w:w="100" w:type="dxa"/>
            </w:tcMar>
          </w:tcPr>
          <w:p>
            <w:pPr>
              <w:spacing w:after="0"/>
            </w:pPr>
            <w:r>
              <w:rPr>
                <w:sz w:val="17"/>
              </w:rPr>
              <w:t>14</w:t>
            </w:r>
          </w:p>
        </w:tc>
      </w:tr>
      <w:tr>
        <w:tc>
          <w:tcPr>
            <w:tcW w:type="dxa" w:w="8352"/>
            <w:vAlign w:val="top"/>
            <w:tcMar>
              <w:top w:w="80" w:type="dxa"/>
              <w:start w:w="100" w:type="dxa"/>
              <w:bottom w:w="80" w:type="dxa"/>
              <w:end w:w="100" w:type="dxa"/>
            </w:tcMar>
          </w:tcPr>
          <w:p>
            <w:pPr>
              <w:spacing w:after="0"/>
            </w:pPr>
            <w:r>
              <w:rPr>
                <w:sz w:val="17"/>
              </w:rPr>
              <w:t>11. Natural Language to SQL and AI Mode</w:t>
            </w:r>
          </w:p>
        </w:tc>
        <w:tc>
          <w:tcPr>
            <w:tcW w:type="dxa" w:w="1008"/>
            <w:vAlign w:val="top"/>
            <w:tcMar>
              <w:top w:w="80" w:type="dxa"/>
              <w:start w:w="100" w:type="dxa"/>
              <w:bottom w:w="80" w:type="dxa"/>
              <w:end w:w="100" w:type="dxa"/>
            </w:tcMar>
          </w:tcPr>
          <w:p>
            <w:pPr>
              <w:spacing w:after="0"/>
            </w:pPr>
            <w:r>
              <w:rPr>
                <w:sz w:val="17"/>
              </w:rPr>
              <w:t>15</w:t>
            </w:r>
          </w:p>
        </w:tc>
      </w:tr>
      <w:tr>
        <w:tc>
          <w:tcPr>
            <w:tcW w:type="dxa" w:w="8352"/>
            <w:vAlign w:val="top"/>
            <w:tcMar>
              <w:top w:w="80" w:type="dxa"/>
              <w:start w:w="100" w:type="dxa"/>
              <w:bottom w:w="80" w:type="dxa"/>
              <w:end w:w="100" w:type="dxa"/>
            </w:tcMar>
          </w:tcPr>
          <w:p>
            <w:pPr>
              <w:spacing w:after="0"/>
            </w:pPr>
            <w:r>
              <w:rPr>
                <w:sz w:val="17"/>
              </w:rPr>
              <w:t>12. Streamlit Conversational Application</w:t>
            </w:r>
          </w:p>
        </w:tc>
        <w:tc>
          <w:tcPr>
            <w:tcW w:type="dxa" w:w="1008"/>
            <w:vAlign w:val="top"/>
            <w:tcMar>
              <w:top w:w="80" w:type="dxa"/>
              <w:start w:w="100" w:type="dxa"/>
              <w:bottom w:w="80" w:type="dxa"/>
              <w:end w:w="100" w:type="dxa"/>
            </w:tcMar>
          </w:tcPr>
          <w:p>
            <w:pPr>
              <w:spacing w:after="0"/>
            </w:pPr>
            <w:r>
              <w:rPr>
                <w:sz w:val="17"/>
              </w:rPr>
              <w:t>17</w:t>
            </w:r>
          </w:p>
        </w:tc>
      </w:tr>
      <w:tr>
        <w:tc>
          <w:tcPr>
            <w:tcW w:type="dxa" w:w="8352"/>
            <w:vAlign w:val="top"/>
            <w:tcMar>
              <w:top w:w="80" w:type="dxa"/>
              <w:start w:w="100" w:type="dxa"/>
              <w:bottom w:w="80" w:type="dxa"/>
              <w:end w:w="100" w:type="dxa"/>
            </w:tcMar>
          </w:tcPr>
          <w:p>
            <w:pPr>
              <w:spacing w:after="0"/>
            </w:pPr>
            <w:r>
              <w:rPr>
                <w:sz w:val="17"/>
              </w:rPr>
              <w:t>13. Testing and Validation</w:t>
            </w:r>
          </w:p>
        </w:tc>
        <w:tc>
          <w:tcPr>
            <w:tcW w:type="dxa" w:w="1008"/>
            <w:vAlign w:val="top"/>
            <w:tcMar>
              <w:top w:w="80" w:type="dxa"/>
              <w:start w:w="100" w:type="dxa"/>
              <w:bottom w:w="80" w:type="dxa"/>
              <w:end w:w="100" w:type="dxa"/>
            </w:tcMar>
          </w:tcPr>
          <w:p>
            <w:pPr>
              <w:spacing w:after="0"/>
            </w:pPr>
            <w:r>
              <w:rPr>
                <w:sz w:val="17"/>
              </w:rPr>
              <w:t>18</w:t>
            </w:r>
          </w:p>
        </w:tc>
      </w:tr>
      <w:tr>
        <w:tc>
          <w:tcPr>
            <w:tcW w:type="dxa" w:w="8352"/>
            <w:vAlign w:val="top"/>
            <w:tcMar>
              <w:top w:w="80" w:type="dxa"/>
              <w:start w:w="100" w:type="dxa"/>
              <w:bottom w:w="80" w:type="dxa"/>
              <w:end w:w="100" w:type="dxa"/>
            </w:tcMar>
          </w:tcPr>
          <w:p>
            <w:pPr>
              <w:spacing w:after="0"/>
            </w:pPr>
            <w:r>
              <w:rPr>
                <w:sz w:val="17"/>
              </w:rPr>
              <w:t>14. Security, Governance and Operational Standards</w:t>
            </w:r>
          </w:p>
        </w:tc>
        <w:tc>
          <w:tcPr>
            <w:tcW w:type="dxa" w:w="1008"/>
            <w:vAlign w:val="top"/>
            <w:tcMar>
              <w:top w:w="80" w:type="dxa"/>
              <w:start w:w="100" w:type="dxa"/>
              <w:bottom w:w="80" w:type="dxa"/>
              <w:end w:w="100" w:type="dxa"/>
            </w:tcMar>
          </w:tcPr>
          <w:p>
            <w:pPr>
              <w:spacing w:after="0"/>
            </w:pPr>
            <w:r>
              <w:rPr>
                <w:sz w:val="17"/>
              </w:rPr>
              <w:t>19</w:t>
            </w:r>
          </w:p>
        </w:tc>
      </w:tr>
      <w:tr>
        <w:tc>
          <w:tcPr>
            <w:tcW w:type="dxa" w:w="8352"/>
            <w:vAlign w:val="top"/>
            <w:tcMar>
              <w:top w:w="80" w:type="dxa"/>
              <w:start w:w="100" w:type="dxa"/>
              <w:bottom w:w="80" w:type="dxa"/>
              <w:end w:w="100" w:type="dxa"/>
            </w:tcMar>
          </w:tcPr>
          <w:p>
            <w:pPr>
              <w:spacing w:after="0"/>
            </w:pPr>
            <w:r>
              <w:rPr>
                <w:sz w:val="17"/>
              </w:rPr>
              <w:t>15. Performance, Scalability and Maintainability</w:t>
            </w:r>
          </w:p>
        </w:tc>
        <w:tc>
          <w:tcPr>
            <w:tcW w:type="dxa" w:w="1008"/>
            <w:vAlign w:val="top"/>
            <w:tcMar>
              <w:top w:w="80" w:type="dxa"/>
              <w:start w:w="100" w:type="dxa"/>
              <w:bottom w:w="80" w:type="dxa"/>
              <w:end w:w="100" w:type="dxa"/>
            </w:tcMar>
          </w:tcPr>
          <w:p>
            <w:pPr>
              <w:spacing w:after="0"/>
            </w:pPr>
            <w:r>
              <w:rPr>
                <w:sz w:val="17"/>
              </w:rPr>
              <w:t>20</w:t>
            </w:r>
          </w:p>
        </w:tc>
      </w:tr>
      <w:tr>
        <w:tc>
          <w:tcPr>
            <w:tcW w:type="dxa" w:w="8352"/>
            <w:vAlign w:val="top"/>
            <w:tcMar>
              <w:top w:w="80" w:type="dxa"/>
              <w:start w:w="100" w:type="dxa"/>
              <w:bottom w:w="80" w:type="dxa"/>
              <w:end w:w="100" w:type="dxa"/>
            </w:tcMar>
          </w:tcPr>
          <w:p>
            <w:pPr>
              <w:spacing w:after="0"/>
            </w:pPr>
            <w:r>
              <w:rPr>
                <w:sz w:val="17"/>
              </w:rPr>
              <w:t>16. End-to-End Data Lineage</w:t>
            </w:r>
          </w:p>
        </w:tc>
        <w:tc>
          <w:tcPr>
            <w:tcW w:type="dxa" w:w="1008"/>
            <w:vAlign w:val="top"/>
            <w:tcMar>
              <w:top w:w="80" w:type="dxa"/>
              <w:start w:w="100" w:type="dxa"/>
              <w:bottom w:w="80" w:type="dxa"/>
              <w:end w:w="100" w:type="dxa"/>
            </w:tcMar>
          </w:tcPr>
          <w:p>
            <w:pPr>
              <w:spacing w:after="0"/>
            </w:pPr>
            <w:r>
              <w:rPr>
                <w:sz w:val="17"/>
              </w:rPr>
              <w:t>21</w:t>
            </w:r>
          </w:p>
        </w:tc>
      </w:tr>
      <w:tr>
        <w:tc>
          <w:tcPr>
            <w:tcW w:type="dxa" w:w="8352"/>
            <w:vAlign w:val="top"/>
            <w:tcMar>
              <w:top w:w="80" w:type="dxa"/>
              <w:start w:w="100" w:type="dxa"/>
              <w:bottom w:w="80" w:type="dxa"/>
              <w:end w:w="100" w:type="dxa"/>
            </w:tcMar>
          </w:tcPr>
          <w:p>
            <w:pPr>
              <w:spacing w:after="0"/>
            </w:pPr>
            <w:r>
              <w:rPr>
                <w:sz w:val="17"/>
              </w:rPr>
              <w:t>17. Project Deliverables and Business Value</w:t>
            </w:r>
          </w:p>
        </w:tc>
        <w:tc>
          <w:tcPr>
            <w:tcW w:type="dxa" w:w="1008"/>
            <w:vAlign w:val="top"/>
            <w:tcMar>
              <w:top w:w="80" w:type="dxa"/>
              <w:start w:w="100" w:type="dxa"/>
              <w:bottom w:w="80" w:type="dxa"/>
              <w:end w:w="100" w:type="dxa"/>
            </w:tcMar>
          </w:tcPr>
          <w:p>
            <w:pPr>
              <w:spacing w:after="0"/>
            </w:pPr>
            <w:r>
              <w:rPr>
                <w:sz w:val="17"/>
              </w:rPr>
              <w:t>22</w:t>
            </w:r>
          </w:p>
        </w:tc>
      </w:tr>
      <w:tr>
        <w:tc>
          <w:tcPr>
            <w:tcW w:type="dxa" w:w="8352"/>
            <w:vAlign w:val="top"/>
            <w:tcMar>
              <w:top w:w="80" w:type="dxa"/>
              <w:start w:w="100" w:type="dxa"/>
              <w:bottom w:w="80" w:type="dxa"/>
              <w:end w:w="100" w:type="dxa"/>
            </w:tcMar>
          </w:tcPr>
          <w:p>
            <w:pPr>
              <w:spacing w:after="0"/>
            </w:pPr>
            <w:r>
              <w:rPr>
                <w:sz w:val="17"/>
              </w:rPr>
              <w:t>18. Conclusion and Future Enhancements</w:t>
            </w:r>
          </w:p>
        </w:tc>
        <w:tc>
          <w:tcPr>
            <w:tcW w:type="dxa" w:w="1008"/>
            <w:vAlign w:val="top"/>
            <w:tcMar>
              <w:top w:w="80" w:type="dxa"/>
              <w:start w:w="100" w:type="dxa"/>
              <w:bottom w:w="80" w:type="dxa"/>
              <w:end w:w="100" w:type="dxa"/>
            </w:tcMar>
          </w:tcPr>
          <w:p>
            <w:pPr>
              <w:spacing w:after="0"/>
            </w:pPr>
            <w:r>
              <w:rPr>
                <w:sz w:val="17"/>
              </w:rPr>
              <w:t>23</w:t>
            </w:r>
          </w:p>
        </w:tc>
      </w:tr>
      <w:tr>
        <w:tc>
          <w:tcPr>
            <w:tcW w:type="dxa" w:w="8352"/>
            <w:vAlign w:val="top"/>
            <w:tcMar>
              <w:top w:w="80" w:type="dxa"/>
              <w:start w:w="100" w:type="dxa"/>
              <w:bottom w:w="80" w:type="dxa"/>
              <w:end w:w="100" w:type="dxa"/>
            </w:tcMar>
          </w:tcPr>
          <w:p>
            <w:pPr>
              <w:spacing w:after="0"/>
            </w:pPr>
            <w:r>
              <w:rPr>
                <w:sz w:val="17"/>
              </w:rPr>
              <w:t>Appendix A — Technology Inventory</w:t>
            </w:r>
          </w:p>
        </w:tc>
        <w:tc>
          <w:tcPr>
            <w:tcW w:type="dxa" w:w="1008"/>
            <w:vAlign w:val="top"/>
            <w:tcMar>
              <w:top w:w="80" w:type="dxa"/>
              <w:start w:w="100" w:type="dxa"/>
              <w:bottom w:w="80" w:type="dxa"/>
              <w:end w:w="100" w:type="dxa"/>
            </w:tcMar>
          </w:tcPr>
          <w:p>
            <w:pPr>
              <w:spacing w:after="0"/>
            </w:pPr>
            <w:r>
              <w:rPr>
                <w:sz w:val="17"/>
              </w:rPr>
              <w:t>24</w:t>
            </w:r>
          </w:p>
        </w:tc>
      </w:tr>
      <w:tr>
        <w:tc>
          <w:tcPr>
            <w:tcW w:type="dxa" w:w="8352"/>
            <w:vAlign w:val="top"/>
            <w:tcMar>
              <w:top w:w="80" w:type="dxa"/>
              <w:start w:w="100" w:type="dxa"/>
              <w:bottom w:w="80" w:type="dxa"/>
              <w:end w:w="100" w:type="dxa"/>
            </w:tcMar>
          </w:tcPr>
          <w:p>
            <w:pPr>
              <w:spacing w:after="0"/>
            </w:pPr>
            <w:r>
              <w:rPr>
                <w:sz w:val="17"/>
              </w:rPr>
              <w:t>Appendix B — Gold Data Model Summary</w:t>
            </w:r>
          </w:p>
        </w:tc>
        <w:tc>
          <w:tcPr>
            <w:tcW w:type="dxa" w:w="1008"/>
            <w:vAlign w:val="top"/>
            <w:tcMar>
              <w:top w:w="80" w:type="dxa"/>
              <w:start w:w="100" w:type="dxa"/>
              <w:bottom w:w="80" w:type="dxa"/>
              <w:end w:w="100" w:type="dxa"/>
            </w:tcMar>
          </w:tcPr>
          <w:p>
            <w:pPr>
              <w:spacing w:after="0"/>
            </w:pPr>
            <w:r>
              <w:rPr>
                <w:sz w:val="17"/>
              </w:rPr>
              <w:t>25</w:t>
            </w:r>
          </w:p>
        </w:tc>
      </w:tr>
      <w:tr>
        <w:tc>
          <w:tcPr>
            <w:tcW w:type="dxa" w:w="8352"/>
            <w:vAlign w:val="top"/>
            <w:tcMar>
              <w:top w:w="80" w:type="dxa"/>
              <w:start w:w="100" w:type="dxa"/>
              <w:bottom w:w="80" w:type="dxa"/>
              <w:end w:w="100" w:type="dxa"/>
            </w:tcMar>
          </w:tcPr>
          <w:p>
            <w:pPr>
              <w:spacing w:after="0"/>
            </w:pPr>
            <w:r>
              <w:rPr>
                <w:sz w:val="17"/>
              </w:rPr>
              <w:t>Appendix C — Example Business Questions</w:t>
            </w:r>
          </w:p>
        </w:tc>
        <w:tc>
          <w:tcPr>
            <w:tcW w:type="dxa" w:w="1008"/>
            <w:vAlign w:val="top"/>
            <w:tcMar>
              <w:top w:w="80" w:type="dxa"/>
              <w:start w:w="100" w:type="dxa"/>
              <w:bottom w:w="80" w:type="dxa"/>
              <w:end w:w="100" w:type="dxa"/>
            </w:tcMar>
          </w:tcPr>
          <w:p>
            <w:pPr>
              <w:spacing w:after="0"/>
            </w:pPr>
            <w:r>
              <w:rPr>
                <w:sz w:val="17"/>
              </w:rPr>
              <w:t>26</w:t>
            </w:r>
          </w:p>
        </w:tc>
      </w:tr>
    </w:tbl>
    <w:p>
      <w:pPr>
        <w:spacing w:after="20"/>
      </w:pPr>
    </w:p>
    <w:p>
      <w:r>
        <w:br w:type="page"/>
      </w:r>
    </w:p>
    <w:p>
      <w:pPr>
        <w:pStyle w:val="Heading1"/>
        <w:spacing w:before="80" w:after="160"/>
      </w:pPr>
      <w:r>
        <w:rPr>
          <w:b/>
        </w:rPr>
        <w:t>Abstract</w:t>
      </w:r>
    </w:p>
    <w:p>
      <w:pPr>
        <w:spacing w:line="276" w:lineRule="auto" w:after="120"/>
      </w:pPr>
      <w:r>
        <w:t>This project presents an end-to-end Healthcare Claims Analytics platform that converts raw healthcare claims datasets into governed, business-ready analytical information. The solution begins with source datasets landing in Amazon S3, followed by distributed processing in Databricks using a Medallion architecture consisting of Bronze, Silver and Gold layers. Bronze preserves the incoming data in a controlled processing environment, Silver performs cleaning, standardization and business validation, and Gold derives analytical fact and dimension structures.</w:t>
      </w:r>
    </w:p>
    <w:p>
      <w:pPr>
        <w:spacing w:line="276" w:lineRule="auto" w:after="120"/>
      </w:pPr>
      <w:r>
        <w:t>The Gold layer is loaded into Snowflake as the analytical serving platform. A dedicated Data Quality Control Tower provides measurable governance across the Medallion lifecycle by evaluating completeness, uniqueness, yield and accuracy and recording audit telemetry. Power BI consumes the governed analytical foundation for recurring KPI reporting and interactive analysis. In parallel, Snowflake Cortex Analyst and a Streamlit application provide natural-language analytics, allowing users to ask business questions without writing SQL.</w:t>
      </w:r>
    </w:p>
    <w:p>
      <w:pPr>
        <w:spacing w:line="276" w:lineRule="auto" w:after="120"/>
      </w:pPr>
      <w:r>
        <w:t>The final solution combines data engineering, data quality, data warehousing, business intelligence and conversational analytics into a single architecture. The design emphasizes traceability, clear layer responsibilities, reusable analytical datasets, governed business semantics and controlled access to production-facing data.</w:t>
      </w:r>
    </w:p>
    <w:p>
      <w:r>
        <w:br w:type="page"/>
      </w:r>
    </w:p>
    <w:p>
      <w:pPr>
        <w:pStyle w:val="Heading1"/>
        <w:spacing w:before="80" w:after="160"/>
      </w:pPr>
      <w:r>
        <w:rPr>
          <w:b/>
        </w:rPr>
        <w:t>1. Introduction</w:t>
      </w:r>
    </w:p>
    <w:p>
      <w:pPr>
        <w:spacing w:line="276" w:lineRule="auto" w:after="120"/>
      </w:pPr>
      <w:r>
        <w:t>Healthcare claims data contains information about beneficiaries, providers, claims, payments, diagnoses, procedures, dates and related healthcare transactions. Although the source data is valuable, it is not automatically suitable for business reporting because analytical users require consistent definitions, reliable data types, logical relationships and trusted calculations.</w:t>
      </w:r>
    </w:p>
    <w:p>
      <w:pPr>
        <w:spacing w:line="276" w:lineRule="auto" w:after="120"/>
      </w:pPr>
      <w:r>
        <w:t>The purpose of this project was to build a complete data platform rather than a standalone dashboard. The platform establishes a controlled path from raw files to analytical datasets and then exposes the same governed Gold foundation through both visual and conversational interfaces.</w:t>
      </w:r>
    </w:p>
    <w:p>
      <w:pPr>
        <w:pStyle w:val="Heading2"/>
        <w:spacing w:before="80" w:after="160"/>
      </w:pPr>
      <w:r>
        <w:rPr>
          <w:b/>
        </w:rPr>
        <w:t>1.1 Project Scope</w:t>
      </w:r>
    </w:p>
    <w:p>
      <w:pPr>
        <w:pStyle w:val="ListBullet"/>
        <w:spacing w:after="60"/>
        <w:ind w:left="360"/>
      </w:pPr>
      <w:r>
        <w:t>Ingest healthcare datasets through AWS S3.</w:t>
      </w:r>
    </w:p>
    <w:p>
      <w:pPr>
        <w:pStyle w:val="ListBullet"/>
        <w:spacing w:after="60"/>
        <w:ind w:left="360"/>
      </w:pPr>
      <w:r>
        <w:t>Connect AWS S3 with Databricks for scalable processing.</w:t>
      </w:r>
    </w:p>
    <w:p>
      <w:pPr>
        <w:pStyle w:val="ListBullet"/>
        <w:spacing w:after="60"/>
        <w:ind w:left="360"/>
      </w:pPr>
      <w:r>
        <w:t>Implement Bronze, Silver and Gold layers.</w:t>
      </w:r>
    </w:p>
    <w:p>
      <w:pPr>
        <w:pStyle w:val="ListBullet"/>
        <w:spacing w:after="60"/>
        <w:ind w:left="360"/>
      </w:pPr>
      <w:r>
        <w:t>Clean and standardize the healthcare datasets in Silver.</w:t>
      </w:r>
    </w:p>
    <w:p>
      <w:pPr>
        <w:pStyle w:val="ListBullet"/>
        <w:spacing w:after="60"/>
        <w:ind w:left="360"/>
      </w:pPr>
      <w:r>
        <w:t>Create analytical fact and dimension tables in Gold.</w:t>
      </w:r>
    </w:p>
    <w:p>
      <w:pPr>
        <w:pStyle w:val="ListBullet"/>
        <w:spacing w:after="60"/>
        <w:ind w:left="360"/>
      </w:pPr>
      <w:r>
        <w:t>Load governed Gold datasets into Snowflake.</w:t>
      </w:r>
    </w:p>
    <w:p>
      <w:pPr>
        <w:pStyle w:val="ListBullet"/>
        <w:spacing w:after="60"/>
        <w:ind w:left="360"/>
      </w:pPr>
      <w:r>
        <w:t>Implement enterprise data-quality monitoring and audit logging.</w:t>
      </w:r>
    </w:p>
    <w:p>
      <w:pPr>
        <w:pStyle w:val="ListBullet"/>
        <w:spacing w:after="60"/>
        <w:ind w:left="360"/>
      </w:pPr>
      <w:r>
        <w:t>Build Power BI dashboards for recurring business analysis.</w:t>
      </w:r>
    </w:p>
    <w:p>
      <w:pPr>
        <w:pStyle w:val="ListBullet"/>
        <w:spacing w:after="60"/>
        <w:ind w:left="360"/>
      </w:pPr>
      <w:r>
        <w:t>Implement natural-language-to-SQL analytics using Snowflake Cortex Analyst.</w:t>
      </w:r>
    </w:p>
    <w:p>
      <w:pPr>
        <w:pStyle w:val="ListBullet"/>
        <w:spacing w:after="60"/>
        <w:ind w:left="360"/>
      </w:pPr>
      <w:r>
        <w:t>Provide a conversational Streamlit interface for ad-hoc analysis.</w:t>
      </w:r>
    </w:p>
    <w:p>
      <w:pPr>
        <w:pStyle w:val="Heading2"/>
        <w:spacing w:before="80" w:after="160"/>
      </w:pPr>
      <w:r>
        <w:rPr>
          <w:b/>
        </w:rPr>
        <w:t>1.2 Guiding Principle</w:t>
      </w:r>
    </w:p>
    <w:p>
      <w:pPr>
        <w:spacing w:line="276" w:lineRule="auto" w:after="120"/>
      </w:pPr>
      <w:r>
        <w:t>The core design principle is simple: preserve source data, clean before consumption, model for business use, and provide multiple analytical experiences on top of the same trusted foundation.</w:t>
      </w:r>
    </w:p>
    <w:p>
      <w:r>
        <w:br w:type="page"/>
      </w:r>
    </w:p>
    <w:p>
      <w:pPr>
        <w:pStyle w:val="Heading1"/>
        <w:spacing w:before="80" w:after="160"/>
      </w:pPr>
      <w:r>
        <w:rPr>
          <w:b/>
        </w:rPr>
        <w:t>2. Business Problem and Project Objectives</w:t>
      </w:r>
    </w:p>
    <w:p>
      <w:pPr>
        <w:spacing w:line="276" w:lineRule="auto" w:after="120"/>
      </w:pPr>
      <w:r>
        <w:t>Healthcare organizations need to understand claim volumes, payment behavior, beneficiary patterns, provider activity and other operational measures. These questions become difficult when information is spread across multiple raw datasets and when the source data is not consistently formatted.</w:t>
      </w:r>
    </w:p>
    <w:p>
      <w:pPr>
        <w:pStyle w:val="Heading2"/>
        <w:spacing w:before="80" w:after="160"/>
      </w:pPr>
      <w:r>
        <w:rPr>
          <w:b/>
        </w:rPr>
        <w:t>2.1 Key Challenges</w:t>
      </w:r>
    </w:p>
    <w:p>
      <w:pPr>
        <w:pStyle w:val="ListBullet"/>
        <w:spacing w:after="60"/>
        <w:ind w:left="360"/>
      </w:pPr>
      <w:r>
        <w:t>Raw files require structured ingestion before reliable downstream processing.</w:t>
      </w:r>
    </w:p>
    <w:p>
      <w:pPr>
        <w:pStyle w:val="ListBullet"/>
        <w:spacing w:after="60"/>
        <w:ind w:left="360"/>
      </w:pPr>
      <w:r>
        <w:t>Multiple healthcare entities must be combined without losing traceability.</w:t>
      </w:r>
    </w:p>
    <w:p>
      <w:pPr>
        <w:pStyle w:val="ListBullet"/>
        <w:spacing w:after="60"/>
        <w:ind w:left="360"/>
      </w:pPr>
      <w:r>
        <w:t>Mandatory identifiers and financial fields require stronger validation.</w:t>
      </w:r>
    </w:p>
    <w:p>
      <w:pPr>
        <w:pStyle w:val="ListBullet"/>
        <w:spacing w:after="60"/>
        <w:ind w:left="360"/>
      </w:pPr>
      <w:r>
        <w:t>Dates and categorical values must follow consistent standards.</w:t>
      </w:r>
    </w:p>
    <w:p>
      <w:pPr>
        <w:pStyle w:val="ListBullet"/>
        <w:spacing w:after="60"/>
        <w:ind w:left="360"/>
      </w:pPr>
      <w:r>
        <w:t>Duplicate records can distort counts and financial measures.</w:t>
      </w:r>
    </w:p>
    <w:p>
      <w:pPr>
        <w:pStyle w:val="ListBullet"/>
        <w:spacing w:after="60"/>
        <w:ind w:left="360"/>
      </w:pPr>
      <w:r>
        <w:t>Business users need both recurring dashboards and ad-hoc analytical access.</w:t>
      </w:r>
    </w:p>
    <w:p>
      <w:pPr>
        <w:pStyle w:val="ListBullet"/>
        <w:spacing w:after="60"/>
        <w:ind w:left="360"/>
      </w:pPr>
      <w:r>
        <w:t>Data-quality results must be measurable and auditable rather than based only on visual inspection.</w:t>
      </w:r>
    </w:p>
    <w:p>
      <w:pPr>
        <w:pStyle w:val="Heading2"/>
        <w:spacing w:before="80" w:after="160"/>
      </w:pPr>
      <w:r>
        <w:rPr>
          <w:b/>
        </w:rPr>
        <w:t>2.2 Objectives</w:t>
      </w:r>
    </w:p>
    <w:p>
      <w:pPr>
        <w:pStyle w:val="ListNumber"/>
        <w:spacing w:after="60"/>
      </w:pPr>
      <w:r>
        <w:t>Create a scalable and traceable healthcare claims data pipeline.</w:t>
      </w:r>
    </w:p>
    <w:p>
      <w:pPr>
        <w:pStyle w:val="ListNumber"/>
        <w:spacing w:after="60"/>
      </w:pPr>
      <w:r>
        <w:t>Separate ingestion, cleaning and analytics responsibilities using Medallion architecture.</w:t>
      </w:r>
    </w:p>
    <w:p>
      <w:pPr>
        <w:pStyle w:val="ListNumber"/>
        <w:spacing w:after="60"/>
      </w:pPr>
      <w:r>
        <w:t>Produce trusted Gold datasets for reporting and conversational analytics.</w:t>
      </w:r>
    </w:p>
    <w:p>
      <w:pPr>
        <w:pStyle w:val="ListNumber"/>
        <w:spacing w:after="60"/>
      </w:pPr>
      <w:r>
        <w:t>Establish measurable data-quality governance across Bronze, Silver and Gold.</w:t>
      </w:r>
    </w:p>
    <w:p>
      <w:pPr>
        <w:pStyle w:val="ListNumber"/>
        <w:spacing w:after="60"/>
      </w:pPr>
      <w:r>
        <w:t>Provide business-friendly access through Power BI and natural language.</w:t>
      </w:r>
    </w:p>
    <w:p>
      <w:r>
        <w:br w:type="page"/>
      </w:r>
    </w:p>
    <w:p>
      <w:pPr>
        <w:pStyle w:val="Heading1"/>
        <w:spacing w:before="80" w:after="160"/>
      </w:pPr>
      <w:r>
        <w:rPr>
          <w:b/>
        </w:rPr>
        <w:t>3. Solution Architecture</w:t>
      </w:r>
    </w:p>
    <w:p>
      <w:r>
        <w:drawing>
          <wp:inline xmlns:a="http://schemas.openxmlformats.org/drawingml/2006/main" xmlns:pic="http://schemas.openxmlformats.org/drawingml/2006/picture">
            <wp:extent cx="5852160" cy="3293936"/>
            <wp:docPr id="1" name="Picture 1"/>
            <wp:cNvGraphicFramePr>
              <a:graphicFrameLocks noChangeAspect="1"/>
            </wp:cNvGraphicFramePr>
            <a:graphic>
              <a:graphicData uri="http://schemas.openxmlformats.org/drawingml/2006/picture">
                <pic:pic>
                  <pic:nvPicPr>
                    <pic:cNvPr id="0" name="Healthcare_Claims_Analytics_Architecture.png"/>
                    <pic:cNvPicPr/>
                  </pic:nvPicPr>
                  <pic:blipFill>
                    <a:blip r:embed="rId10"/>
                    <a:stretch>
                      <a:fillRect/>
                    </a:stretch>
                  </pic:blipFill>
                  <pic:spPr>
                    <a:xfrm>
                      <a:off x="0" y="0"/>
                      <a:ext cx="5852160" cy="3293936"/>
                    </a:xfrm>
                    <a:prstGeom prst="rect"/>
                  </pic:spPr>
                </pic:pic>
              </a:graphicData>
            </a:graphic>
          </wp:inline>
        </w:drawing>
      </w:r>
    </w:p>
    <w:p>
      <w:pPr>
        <w:spacing w:before="60" w:after="160"/>
        <w:jc w:val="center"/>
      </w:pPr>
      <w:r>
        <w:rPr>
          <w:i/>
          <w:sz w:val="18"/>
        </w:rPr>
        <w:t>Figure 1. End-to-end production-oriented solution architecture.</w:t>
      </w:r>
    </w:p>
    <w:p>
      <w:pPr>
        <w:spacing w:line="276" w:lineRule="auto" w:after="120"/>
      </w:pPr>
      <w:r>
        <w:t>The architecture separates the platform into five logical areas: source and landing, distributed processing, analytical modeling, analytical serving, and user consumption. AWS S3 provides the raw landing zone. Databricks owns the transformation lifecycle. Snowflake provides the analytical serving and audit repository. Power BI and the conversational application consume governed analytical information.</w:t>
      </w:r>
    </w:p>
    <w:p>
      <w:pPr>
        <w:pStyle w:val="Heading2"/>
        <w:spacing w:before="80" w:after="160"/>
      </w:pPr>
      <w:r>
        <w:rPr>
          <w:b/>
        </w:rPr>
        <w:t>3.1 Medallion Processing Flow</w:t>
      </w:r>
    </w:p>
    <w:p>
      <w:pPr>
        <w:pStyle w:val="ListNumber"/>
        <w:spacing w:after="60"/>
      </w:pPr>
      <w:r>
        <w:t>Bronze: preserve and control the raw representation of the incoming datasets.</w:t>
      </w:r>
    </w:p>
    <w:p>
      <w:pPr>
        <w:pStyle w:val="ListNumber"/>
        <w:spacing w:after="60"/>
      </w:pPr>
      <w:r>
        <w:t>Silver: clean, standardize, validate and prepare reliable datasets.</w:t>
      </w:r>
    </w:p>
    <w:p>
      <w:pPr>
        <w:pStyle w:val="ListNumber"/>
        <w:spacing w:after="60"/>
      </w:pPr>
      <w:r>
        <w:t>Gold: apply business logic and derive fact and dimension tables.</w:t>
      </w:r>
    </w:p>
    <w:p>
      <w:pPr>
        <w:spacing w:line="276" w:lineRule="auto" w:after="120"/>
      </w:pPr>
      <w:r>
        <w:t>The Bronze → Silver → Gold path represents the core ETL lifecycle. Quality controls operate alongside this lifecycle so that the organization can observe data health before information reaches business consumers.</w:t>
      </w:r>
    </w:p>
    <w:p>
      <w:r>
        <w:br w:type="page"/>
      </w:r>
    </w:p>
    <w:p>
      <w:pPr>
        <w:pStyle w:val="Heading1"/>
        <w:spacing w:before="80" w:after="160"/>
      </w:pPr>
      <w:r>
        <w:rPr>
          <w:b/>
        </w:rPr>
        <w:t>4. Source Data and AWS S3 Landing</w:t>
      </w:r>
    </w:p>
    <w:p>
      <w:pPr>
        <w:spacing w:line="276" w:lineRule="auto" w:after="120"/>
      </w:pPr>
      <w:r>
        <w:t>The solution starts with healthcare claims datasets delivered as source files. The files are first placed into Amazon S3, which acts as the centralized raw landing zone.</w:t>
      </w:r>
    </w:p>
    <w:p>
      <w:pPr>
        <w:pStyle w:val="Heading2"/>
        <w:spacing w:before="80" w:after="160"/>
      </w:pPr>
      <w:r>
        <w:rPr>
          <w:b/>
        </w:rPr>
        <w:t>4.1 Core Source Datasets</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D9EAF7"/>
            <w:vAlign w:val="center"/>
            <w:tcMar>
              <w:top w:w="80" w:type="dxa"/>
              <w:start w:w="100" w:type="dxa"/>
              <w:bottom w:w="80" w:type="dxa"/>
              <w:end w:w="100" w:type="dxa"/>
            </w:tcMar>
          </w:tcPr>
          <w:p>
            <w:r>
              <w:rPr>
                <w:b/>
                <w:sz w:val="18"/>
              </w:rPr>
              <w:t>Dataset</w:t>
            </w:r>
          </w:p>
        </w:tc>
        <w:tc>
          <w:tcPr>
            <w:tcW w:type="dxa" w:w="3009"/>
            <w:shd w:fill="D9EAF7"/>
            <w:vAlign w:val="center"/>
            <w:tcMar>
              <w:top w:w="80" w:type="dxa"/>
              <w:start w:w="100" w:type="dxa"/>
              <w:bottom w:w="80" w:type="dxa"/>
              <w:end w:w="100" w:type="dxa"/>
            </w:tcMar>
          </w:tcPr>
          <w:p>
            <w:r>
              <w:rPr>
                <w:b/>
                <w:sz w:val="18"/>
              </w:rPr>
              <w:t>Business Area</w:t>
            </w:r>
          </w:p>
        </w:tc>
        <w:tc>
          <w:tcPr>
            <w:tcW w:type="dxa" w:w="3009"/>
            <w:shd w:fill="D9EAF7"/>
            <w:vAlign w:val="center"/>
            <w:tcMar>
              <w:top w:w="80" w:type="dxa"/>
              <w:start w:w="100" w:type="dxa"/>
              <w:bottom w:w="80" w:type="dxa"/>
              <w:end w:w="100" w:type="dxa"/>
            </w:tcMar>
          </w:tcPr>
          <w:p>
            <w:r>
              <w:rPr>
                <w:b/>
                <w:sz w:val="18"/>
              </w:rPr>
              <w:t>Purpose</w:t>
            </w:r>
          </w:p>
        </w:tc>
      </w:tr>
      <w:tr>
        <w:tc>
          <w:tcPr>
            <w:tcW w:type="dxa" w:w="3009"/>
            <w:vAlign w:val="top"/>
            <w:tcMar>
              <w:top w:w="80" w:type="dxa"/>
              <w:start w:w="100" w:type="dxa"/>
              <w:bottom w:w="80" w:type="dxa"/>
              <w:end w:w="100" w:type="dxa"/>
            </w:tcMar>
          </w:tcPr>
          <w:p>
            <w:pPr>
              <w:spacing w:after="0"/>
            </w:pPr>
            <w:r>
              <w:rPr>
                <w:sz w:val="17"/>
              </w:rPr>
              <w:t>Beneficiary</w:t>
            </w:r>
          </w:p>
        </w:tc>
        <w:tc>
          <w:tcPr>
            <w:tcW w:type="dxa" w:w="3009"/>
            <w:vAlign w:val="top"/>
            <w:tcMar>
              <w:top w:w="80" w:type="dxa"/>
              <w:start w:w="100" w:type="dxa"/>
              <w:bottom w:w="80" w:type="dxa"/>
              <w:end w:w="100" w:type="dxa"/>
            </w:tcMar>
          </w:tcPr>
          <w:p>
            <w:pPr>
              <w:spacing w:after="0"/>
            </w:pPr>
            <w:r>
              <w:rPr>
                <w:sz w:val="17"/>
              </w:rPr>
              <w:t>Beneficiary</w:t>
            </w:r>
          </w:p>
        </w:tc>
        <w:tc>
          <w:tcPr>
            <w:tcW w:type="dxa" w:w="3009"/>
            <w:vAlign w:val="top"/>
            <w:tcMar>
              <w:top w:w="80" w:type="dxa"/>
              <w:start w:w="100" w:type="dxa"/>
              <w:bottom w:w="80" w:type="dxa"/>
              <w:end w:w="100" w:type="dxa"/>
            </w:tcMar>
          </w:tcPr>
          <w:p>
            <w:pPr>
              <w:spacing w:after="0"/>
            </w:pPr>
            <w:r>
              <w:rPr>
                <w:sz w:val="17"/>
              </w:rPr>
              <w:t>Demographic and beneficiary-level attributes</w:t>
            </w:r>
          </w:p>
        </w:tc>
      </w:tr>
      <w:tr>
        <w:tc>
          <w:tcPr>
            <w:tcW w:type="dxa" w:w="3009"/>
            <w:vAlign w:val="top"/>
            <w:tcMar>
              <w:top w:w="80" w:type="dxa"/>
              <w:start w:w="100" w:type="dxa"/>
              <w:bottom w:w="80" w:type="dxa"/>
              <w:end w:w="100" w:type="dxa"/>
            </w:tcMar>
          </w:tcPr>
          <w:p>
            <w:pPr>
              <w:spacing w:after="0"/>
            </w:pPr>
            <w:r>
              <w:rPr>
                <w:sz w:val="17"/>
              </w:rPr>
              <w:t>Inpatient</w:t>
            </w:r>
          </w:p>
        </w:tc>
        <w:tc>
          <w:tcPr>
            <w:tcW w:type="dxa" w:w="3009"/>
            <w:vAlign w:val="top"/>
            <w:tcMar>
              <w:top w:w="80" w:type="dxa"/>
              <w:start w:w="100" w:type="dxa"/>
              <w:bottom w:w="80" w:type="dxa"/>
              <w:end w:w="100" w:type="dxa"/>
            </w:tcMar>
          </w:tcPr>
          <w:p>
            <w:pPr>
              <w:spacing w:after="0"/>
            </w:pPr>
            <w:r>
              <w:rPr>
                <w:sz w:val="17"/>
              </w:rPr>
              <w:t>Inpatient claims</w:t>
            </w:r>
          </w:p>
        </w:tc>
        <w:tc>
          <w:tcPr>
            <w:tcW w:type="dxa" w:w="3009"/>
            <w:vAlign w:val="top"/>
            <w:tcMar>
              <w:top w:w="80" w:type="dxa"/>
              <w:start w:w="100" w:type="dxa"/>
              <w:bottom w:w="80" w:type="dxa"/>
              <w:end w:w="100" w:type="dxa"/>
            </w:tcMar>
          </w:tcPr>
          <w:p>
            <w:pPr>
              <w:spacing w:after="0"/>
            </w:pPr>
            <w:r>
              <w:rPr>
                <w:sz w:val="17"/>
              </w:rPr>
              <w:t>Hospital admission and discharge claim activity</w:t>
            </w:r>
          </w:p>
        </w:tc>
      </w:tr>
      <w:tr>
        <w:tc>
          <w:tcPr>
            <w:tcW w:type="dxa" w:w="3009"/>
            <w:vAlign w:val="top"/>
            <w:tcMar>
              <w:top w:w="80" w:type="dxa"/>
              <w:start w:w="100" w:type="dxa"/>
              <w:bottom w:w="80" w:type="dxa"/>
              <w:end w:w="100" w:type="dxa"/>
            </w:tcMar>
          </w:tcPr>
          <w:p>
            <w:pPr>
              <w:spacing w:after="0"/>
            </w:pPr>
            <w:r>
              <w:rPr>
                <w:sz w:val="17"/>
              </w:rPr>
              <w:t>Outpatient</w:t>
            </w:r>
          </w:p>
        </w:tc>
        <w:tc>
          <w:tcPr>
            <w:tcW w:type="dxa" w:w="3009"/>
            <w:vAlign w:val="top"/>
            <w:tcMar>
              <w:top w:w="80" w:type="dxa"/>
              <w:start w:w="100" w:type="dxa"/>
              <w:bottom w:w="80" w:type="dxa"/>
              <w:end w:w="100" w:type="dxa"/>
            </w:tcMar>
          </w:tcPr>
          <w:p>
            <w:pPr>
              <w:spacing w:after="0"/>
            </w:pPr>
            <w:r>
              <w:rPr>
                <w:sz w:val="17"/>
              </w:rPr>
              <w:t>Outpatient claims</w:t>
            </w:r>
          </w:p>
        </w:tc>
        <w:tc>
          <w:tcPr>
            <w:tcW w:type="dxa" w:w="3009"/>
            <w:vAlign w:val="top"/>
            <w:tcMar>
              <w:top w:w="80" w:type="dxa"/>
              <w:start w:w="100" w:type="dxa"/>
              <w:bottom w:w="80" w:type="dxa"/>
              <w:end w:w="100" w:type="dxa"/>
            </w:tcMar>
          </w:tcPr>
          <w:p>
            <w:pPr>
              <w:spacing w:after="0"/>
            </w:pPr>
            <w:r>
              <w:rPr>
                <w:sz w:val="17"/>
              </w:rPr>
              <w:t>Outpatient claim and service activity</w:t>
            </w:r>
          </w:p>
        </w:tc>
      </w:tr>
      <w:tr>
        <w:tc>
          <w:tcPr>
            <w:tcW w:type="dxa" w:w="3009"/>
            <w:vAlign w:val="top"/>
            <w:tcMar>
              <w:top w:w="80" w:type="dxa"/>
              <w:start w:w="100" w:type="dxa"/>
              <w:bottom w:w="80" w:type="dxa"/>
              <w:end w:w="100" w:type="dxa"/>
            </w:tcMar>
          </w:tcPr>
          <w:p>
            <w:pPr>
              <w:spacing w:after="0"/>
            </w:pPr>
            <w:r>
              <w:rPr>
                <w:sz w:val="17"/>
              </w:rPr>
              <w:t>Carrier Claims</w:t>
            </w:r>
          </w:p>
        </w:tc>
        <w:tc>
          <w:tcPr>
            <w:tcW w:type="dxa" w:w="3009"/>
            <w:vAlign w:val="top"/>
            <w:tcMar>
              <w:top w:w="80" w:type="dxa"/>
              <w:start w:w="100" w:type="dxa"/>
              <w:bottom w:w="80" w:type="dxa"/>
              <w:end w:w="100" w:type="dxa"/>
            </w:tcMar>
          </w:tcPr>
          <w:p>
            <w:pPr>
              <w:spacing w:after="0"/>
            </w:pPr>
            <w:r>
              <w:rPr>
                <w:sz w:val="17"/>
              </w:rPr>
              <w:t>Carrier / insurance</w:t>
            </w:r>
          </w:p>
        </w:tc>
        <w:tc>
          <w:tcPr>
            <w:tcW w:type="dxa" w:w="3009"/>
            <w:vAlign w:val="top"/>
            <w:tcMar>
              <w:top w:w="80" w:type="dxa"/>
              <w:start w:w="100" w:type="dxa"/>
              <w:bottom w:w="80" w:type="dxa"/>
              <w:end w:w="100" w:type="dxa"/>
            </w:tcMar>
          </w:tcPr>
          <w:p>
            <w:pPr>
              <w:spacing w:after="0"/>
            </w:pPr>
            <w:r>
              <w:rPr>
                <w:sz w:val="17"/>
              </w:rPr>
              <w:t>Carrier-level claim and payment information</w:t>
            </w:r>
          </w:p>
        </w:tc>
      </w:tr>
      <w:tr>
        <w:tc>
          <w:tcPr>
            <w:tcW w:type="dxa" w:w="3009"/>
            <w:vAlign w:val="top"/>
            <w:tcMar>
              <w:top w:w="80" w:type="dxa"/>
              <w:start w:w="100" w:type="dxa"/>
              <w:bottom w:w="80" w:type="dxa"/>
              <w:end w:w="100" w:type="dxa"/>
            </w:tcMar>
          </w:tcPr>
          <w:p>
            <w:pPr>
              <w:spacing w:after="0"/>
            </w:pPr>
            <w:r>
              <w:rPr>
                <w:sz w:val="17"/>
              </w:rPr>
              <w:t>Prescription Drug Events</w:t>
            </w:r>
          </w:p>
        </w:tc>
        <w:tc>
          <w:tcPr>
            <w:tcW w:type="dxa" w:w="3009"/>
            <w:vAlign w:val="top"/>
            <w:tcMar>
              <w:top w:w="80" w:type="dxa"/>
              <w:start w:w="100" w:type="dxa"/>
              <w:bottom w:w="80" w:type="dxa"/>
              <w:end w:w="100" w:type="dxa"/>
            </w:tcMar>
          </w:tcPr>
          <w:p>
            <w:pPr>
              <w:spacing w:after="0"/>
            </w:pPr>
            <w:r>
              <w:rPr>
                <w:sz w:val="17"/>
              </w:rPr>
              <w:t>Pharmacy</w:t>
            </w:r>
          </w:p>
        </w:tc>
        <w:tc>
          <w:tcPr>
            <w:tcW w:type="dxa" w:w="3009"/>
            <w:vAlign w:val="top"/>
            <w:tcMar>
              <w:top w:w="80" w:type="dxa"/>
              <w:start w:w="100" w:type="dxa"/>
              <w:bottom w:w="80" w:type="dxa"/>
              <w:end w:w="100" w:type="dxa"/>
            </w:tcMar>
          </w:tcPr>
          <w:p>
            <w:pPr>
              <w:spacing w:after="0"/>
            </w:pPr>
            <w:r>
              <w:rPr>
                <w:sz w:val="17"/>
              </w:rPr>
              <w:t>Prescription and drug-event information</w:t>
            </w:r>
          </w:p>
        </w:tc>
      </w:tr>
    </w:tbl>
    <w:p>
      <w:pPr>
        <w:spacing w:after="20"/>
      </w:pPr>
    </w:p>
    <w:p>
      <w:pPr>
        <w:pStyle w:val="Heading2"/>
        <w:spacing w:before="80" w:after="160"/>
      </w:pPr>
      <w:r>
        <w:rPr>
          <w:b/>
        </w:rPr>
        <w:t>4.2 Why S3 Is the First Landing Zone</w:t>
      </w:r>
    </w:p>
    <w:p>
      <w:pPr>
        <w:pStyle w:val="ListBullet"/>
        <w:spacing w:after="60"/>
        <w:ind w:left="360"/>
      </w:pPr>
      <w:r>
        <w:t>Provides centralized object storage for source files.</w:t>
      </w:r>
    </w:p>
    <w:p>
      <w:pPr>
        <w:pStyle w:val="ListBullet"/>
        <w:spacing w:after="60"/>
        <w:ind w:left="360"/>
      </w:pPr>
      <w:r>
        <w:t>Preserves the source representation before transformation.</w:t>
      </w:r>
    </w:p>
    <w:p>
      <w:pPr>
        <w:pStyle w:val="ListBullet"/>
        <w:spacing w:after="60"/>
        <w:ind w:left="360"/>
      </w:pPr>
      <w:r>
        <w:t>Supports repeatable ingestion and downstream processing.</w:t>
      </w:r>
    </w:p>
    <w:p>
      <w:pPr>
        <w:pStyle w:val="ListBullet"/>
        <w:spacing w:after="60"/>
        <w:ind w:left="360"/>
      </w:pPr>
      <w:r>
        <w:t>Creates a clear starting point for data lineage.</w:t>
      </w:r>
    </w:p>
    <w:p>
      <w:pPr>
        <w:pStyle w:val="ListBullet"/>
        <w:spacing w:after="60"/>
        <w:ind w:left="360"/>
      </w:pPr>
      <w:r>
        <w:t>Separates source storage from analytical transformation.</w:t>
      </w:r>
    </w:p>
    <w:p>
      <w:pPr>
        <w:spacing w:line="276" w:lineRule="auto" w:after="120"/>
      </w:pPr>
      <w:r>
        <w:t>No business transformation is required at the source landing stage. The objective is to establish a controlled hand-off from source files to the processing platform.</w:t>
      </w:r>
    </w:p>
    <w:p>
      <w:r>
        <w:br w:type="page"/>
      </w:r>
    </w:p>
    <w:p>
      <w:pPr>
        <w:pStyle w:val="Heading1"/>
        <w:spacing w:before="80" w:after="160"/>
      </w:pPr>
      <w:r>
        <w:rPr>
          <w:b/>
        </w:rPr>
        <w:t>5. Databricks Integration and Bronze Layer</w:t>
      </w:r>
    </w:p>
    <w:p>
      <w:pPr>
        <w:spacing w:line="276" w:lineRule="auto" w:after="120"/>
      </w:pPr>
      <w:r>
        <w:t>Databricks is the primary processing environment for the project. The S3 datasets are accessed from Databricks, where ingestion, profiling, validation and Medallion transformations are performed.</w:t>
      </w:r>
    </w:p>
    <w:p>
      <w:pPr>
        <w:pStyle w:val="Heading2"/>
        <w:spacing w:before="80" w:after="160"/>
      </w:pPr>
      <w:r>
        <w:rPr>
          <w:b/>
        </w:rPr>
        <w:t>5.1 Databricks Responsibilities</w:t>
      </w:r>
    </w:p>
    <w:p>
      <w:pPr>
        <w:pStyle w:val="ListBullet"/>
        <w:spacing w:after="60"/>
        <w:ind w:left="360"/>
      </w:pPr>
      <w:r>
        <w:t>Connect to and read source data from S3.</w:t>
      </w:r>
    </w:p>
    <w:p>
      <w:pPr>
        <w:pStyle w:val="ListBullet"/>
        <w:spacing w:after="60"/>
        <w:ind w:left="360"/>
      </w:pPr>
      <w:r>
        <w:t>Create controlled Bronze representations.</w:t>
      </w:r>
    </w:p>
    <w:p>
      <w:pPr>
        <w:pStyle w:val="ListBullet"/>
        <w:spacing w:after="60"/>
        <w:ind w:left="360"/>
      </w:pPr>
      <w:r>
        <w:t>Perform data profiling and initial quality assessment.</w:t>
      </w:r>
    </w:p>
    <w:p>
      <w:pPr>
        <w:pStyle w:val="ListBullet"/>
        <w:spacing w:after="60"/>
        <w:ind w:left="360"/>
      </w:pPr>
      <w:r>
        <w:t>Execute Silver cleaning and standardization.</w:t>
      </w:r>
    </w:p>
    <w:p>
      <w:pPr>
        <w:pStyle w:val="ListBullet"/>
        <w:spacing w:after="60"/>
        <w:ind w:left="360"/>
      </w:pPr>
      <w:r>
        <w:t>Create Gold business transformations and analytical models.</w:t>
      </w:r>
    </w:p>
    <w:p>
      <w:pPr>
        <w:pStyle w:val="ListBullet"/>
        <w:spacing w:after="60"/>
        <w:ind w:left="360"/>
      </w:pPr>
      <w:r>
        <w:t>Run deterministic data-quality checks during processing.</w:t>
      </w:r>
    </w:p>
    <w:p>
      <w:pPr>
        <w:pStyle w:val="Heading2"/>
        <w:spacing w:before="80" w:after="160"/>
      </w:pPr>
      <w:r>
        <w:rPr>
          <w:b/>
        </w:rPr>
        <w:t>5.2 Bronze Responsibilities</w:t>
      </w:r>
    </w:p>
    <w:tbl>
      <w:tblPr>
        <w:tblStyle w:val="TableGrid"/>
        <w:tblW w:type="auto" w:w="0"/>
        <w:jc w:val="center"/>
        <w:tblLook w:firstColumn="1" w:firstRow="1" w:lastColumn="0" w:lastRow="0" w:noHBand="0" w:noVBand="1" w:val="04A0"/>
      </w:tblPr>
      <w:tblGrid>
        <w:gridCol w:w="4513"/>
        <w:gridCol w:w="4513"/>
      </w:tblGrid>
      <w:tr>
        <w:tc>
          <w:tcPr>
            <w:tcW w:type="dxa" w:w="4513"/>
            <w:shd w:fill="D9EAF7"/>
            <w:vAlign w:val="center"/>
            <w:tcMar>
              <w:top w:w="80" w:type="dxa"/>
              <w:start w:w="100" w:type="dxa"/>
              <w:bottom w:w="80" w:type="dxa"/>
              <w:end w:w="100" w:type="dxa"/>
            </w:tcMar>
          </w:tcPr>
          <w:p>
            <w:r>
              <w:rPr>
                <w:b/>
                <w:sz w:val="18"/>
              </w:rPr>
              <w:t>Area</w:t>
            </w:r>
          </w:p>
        </w:tc>
        <w:tc>
          <w:tcPr>
            <w:tcW w:type="dxa" w:w="4513"/>
            <w:shd w:fill="D9EAF7"/>
            <w:vAlign w:val="center"/>
            <w:tcMar>
              <w:top w:w="80" w:type="dxa"/>
              <w:start w:w="100" w:type="dxa"/>
              <w:bottom w:w="80" w:type="dxa"/>
              <w:end w:w="100" w:type="dxa"/>
            </w:tcMar>
          </w:tcPr>
          <w:p>
            <w:r>
              <w:rPr>
                <w:b/>
                <w:sz w:val="18"/>
              </w:rPr>
              <w:t>Bronze Responsibility</w:t>
            </w:r>
          </w:p>
        </w:tc>
      </w:tr>
      <w:tr>
        <w:tc>
          <w:tcPr>
            <w:tcW w:type="dxa" w:w="4513"/>
            <w:vAlign w:val="top"/>
            <w:tcMar>
              <w:top w:w="80" w:type="dxa"/>
              <w:start w:w="100" w:type="dxa"/>
              <w:bottom w:w="80" w:type="dxa"/>
              <w:end w:w="100" w:type="dxa"/>
            </w:tcMar>
          </w:tcPr>
          <w:p>
            <w:pPr>
              <w:spacing w:after="0"/>
            </w:pPr>
            <w:r>
              <w:rPr>
                <w:sz w:val="17"/>
              </w:rPr>
              <w:t>Source preservation</w:t>
            </w:r>
          </w:p>
        </w:tc>
        <w:tc>
          <w:tcPr>
            <w:tcW w:type="dxa" w:w="4513"/>
            <w:vAlign w:val="top"/>
            <w:tcMar>
              <w:top w:w="80" w:type="dxa"/>
              <w:start w:w="100" w:type="dxa"/>
              <w:bottom w:w="80" w:type="dxa"/>
              <w:end w:w="100" w:type="dxa"/>
            </w:tcMar>
          </w:tcPr>
          <w:p>
            <w:pPr>
              <w:spacing w:after="0"/>
            </w:pPr>
            <w:r>
              <w:rPr>
                <w:sz w:val="17"/>
              </w:rPr>
              <w:t>Keep the data close to its incoming representation.</w:t>
            </w:r>
          </w:p>
        </w:tc>
      </w:tr>
      <w:tr>
        <w:tc>
          <w:tcPr>
            <w:tcW w:type="dxa" w:w="4513"/>
            <w:vAlign w:val="top"/>
            <w:tcMar>
              <w:top w:w="80" w:type="dxa"/>
              <w:start w:w="100" w:type="dxa"/>
              <w:bottom w:w="80" w:type="dxa"/>
              <w:end w:w="100" w:type="dxa"/>
            </w:tcMar>
          </w:tcPr>
          <w:p>
            <w:pPr>
              <w:spacing w:after="0"/>
            </w:pPr>
            <w:r>
              <w:rPr>
                <w:sz w:val="17"/>
              </w:rPr>
              <w:t>Schema awareness</w:t>
            </w:r>
          </w:p>
        </w:tc>
        <w:tc>
          <w:tcPr>
            <w:tcW w:type="dxa" w:w="4513"/>
            <w:vAlign w:val="top"/>
            <w:tcMar>
              <w:top w:w="80" w:type="dxa"/>
              <w:start w:w="100" w:type="dxa"/>
              <w:bottom w:w="80" w:type="dxa"/>
              <w:end w:w="100" w:type="dxa"/>
            </w:tcMar>
          </w:tcPr>
          <w:p>
            <w:pPr>
              <w:spacing w:after="0"/>
            </w:pPr>
            <w:r>
              <w:rPr>
                <w:sz w:val="17"/>
              </w:rPr>
              <w:t>Confirm expected fields and data structures.</w:t>
            </w:r>
          </w:p>
        </w:tc>
      </w:tr>
      <w:tr>
        <w:tc>
          <w:tcPr>
            <w:tcW w:type="dxa" w:w="4513"/>
            <w:vAlign w:val="top"/>
            <w:tcMar>
              <w:top w:w="80" w:type="dxa"/>
              <w:start w:w="100" w:type="dxa"/>
              <w:bottom w:w="80" w:type="dxa"/>
              <w:end w:w="100" w:type="dxa"/>
            </w:tcMar>
          </w:tcPr>
          <w:p>
            <w:pPr>
              <w:spacing w:after="0"/>
            </w:pPr>
            <w:r>
              <w:rPr>
                <w:sz w:val="17"/>
              </w:rPr>
              <w:t>Traceability</w:t>
            </w:r>
          </w:p>
        </w:tc>
        <w:tc>
          <w:tcPr>
            <w:tcW w:type="dxa" w:w="4513"/>
            <w:vAlign w:val="top"/>
            <w:tcMar>
              <w:top w:w="80" w:type="dxa"/>
              <w:start w:w="100" w:type="dxa"/>
              <w:bottom w:w="80" w:type="dxa"/>
              <w:end w:w="100" w:type="dxa"/>
            </w:tcMar>
          </w:tcPr>
          <w:p>
            <w:pPr>
              <w:spacing w:after="0"/>
            </w:pPr>
            <w:r>
              <w:rPr>
                <w:sz w:val="17"/>
              </w:rPr>
              <w:t>Retain source-file and ingestion context where applicable.</w:t>
            </w:r>
          </w:p>
        </w:tc>
      </w:tr>
      <w:tr>
        <w:tc>
          <w:tcPr>
            <w:tcW w:type="dxa" w:w="4513"/>
            <w:vAlign w:val="top"/>
            <w:tcMar>
              <w:top w:w="80" w:type="dxa"/>
              <w:start w:w="100" w:type="dxa"/>
              <w:bottom w:w="80" w:type="dxa"/>
              <w:end w:w="100" w:type="dxa"/>
            </w:tcMar>
          </w:tcPr>
          <w:p>
            <w:pPr>
              <w:spacing w:after="0"/>
            </w:pPr>
            <w:r>
              <w:rPr>
                <w:sz w:val="17"/>
              </w:rPr>
              <w:t>Basic validation</w:t>
            </w:r>
          </w:p>
        </w:tc>
        <w:tc>
          <w:tcPr>
            <w:tcW w:type="dxa" w:w="4513"/>
            <w:vAlign w:val="top"/>
            <w:tcMar>
              <w:top w:w="80" w:type="dxa"/>
              <w:start w:w="100" w:type="dxa"/>
              <w:bottom w:w="80" w:type="dxa"/>
              <w:end w:w="100" w:type="dxa"/>
            </w:tcMar>
          </w:tcPr>
          <w:p>
            <w:pPr>
              <w:spacing w:after="0"/>
            </w:pPr>
            <w:r>
              <w:rPr>
                <w:sz w:val="17"/>
              </w:rPr>
              <w:t>Check record loading, identifiers and fundamental data quality.</w:t>
            </w:r>
          </w:p>
        </w:tc>
      </w:tr>
      <w:tr>
        <w:tc>
          <w:tcPr>
            <w:tcW w:type="dxa" w:w="4513"/>
            <w:vAlign w:val="top"/>
            <w:tcMar>
              <w:top w:w="80" w:type="dxa"/>
              <w:start w:w="100" w:type="dxa"/>
              <w:bottom w:w="80" w:type="dxa"/>
              <w:end w:w="100" w:type="dxa"/>
            </w:tcMar>
          </w:tcPr>
          <w:p>
            <w:pPr>
              <w:spacing w:after="0"/>
            </w:pPr>
            <w:r>
              <w:rPr>
                <w:sz w:val="17"/>
              </w:rPr>
              <w:t>Readiness</w:t>
            </w:r>
          </w:p>
        </w:tc>
        <w:tc>
          <w:tcPr>
            <w:tcW w:type="dxa" w:w="4513"/>
            <w:vAlign w:val="top"/>
            <w:tcMar>
              <w:top w:w="80" w:type="dxa"/>
              <w:start w:w="100" w:type="dxa"/>
              <w:bottom w:w="80" w:type="dxa"/>
              <w:end w:w="100" w:type="dxa"/>
            </w:tcMar>
          </w:tcPr>
          <w:p>
            <w:pPr>
              <w:spacing w:after="0"/>
            </w:pPr>
            <w:r>
              <w:rPr>
                <w:sz w:val="17"/>
              </w:rPr>
              <w:t>Provide a stable input for Silver transformation.</w:t>
            </w:r>
          </w:p>
        </w:tc>
      </w:tr>
    </w:tbl>
    <w:p>
      <w:pPr>
        <w:spacing w:after="20"/>
      </w:pPr>
    </w:p>
    <w:p>
      <w:pPr>
        <w:spacing w:line="276" w:lineRule="auto" w:after="120"/>
      </w:pPr>
      <w:r>
        <w:t>Bronze is deliberately not the main business-cleaning layer. Heavy standardization and business rules are applied downstream in Silver so that the responsibility of each layer remains clear.</w:t>
      </w:r>
    </w:p>
    <w:p>
      <w:r>
        <w:br w:type="page"/>
      </w:r>
    </w:p>
    <w:p>
      <w:pPr>
        <w:pStyle w:val="Heading1"/>
        <w:spacing w:before="80" w:after="160"/>
      </w:pPr>
      <w:r>
        <w:rPr>
          <w:b/>
        </w:rPr>
        <w:t>6. Silver Layer — Cleaning and Standardization</w:t>
      </w:r>
    </w:p>
    <w:p>
      <w:pPr>
        <w:spacing w:line="276" w:lineRule="auto" w:after="120"/>
      </w:pPr>
      <w:r>
        <w:t>Silver is the primary data-cleaning layer. The objective is to convert controlled Bronze data into reliable and consistent datasets that can be used safely for Gold modeling.</w:t>
      </w:r>
    </w:p>
    <w:p>
      <w:pPr>
        <w:pStyle w:val="Heading2"/>
        <w:spacing w:before="80" w:after="160"/>
      </w:pPr>
      <w:r>
        <w:rPr>
          <w:b/>
        </w:rPr>
        <w:t>6.1 Core Transformations</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D9EAF7"/>
            <w:vAlign w:val="center"/>
            <w:tcMar>
              <w:top w:w="80" w:type="dxa"/>
              <w:start w:w="100" w:type="dxa"/>
              <w:bottom w:w="80" w:type="dxa"/>
              <w:end w:w="100" w:type="dxa"/>
            </w:tcMar>
          </w:tcPr>
          <w:p>
            <w:r>
              <w:rPr>
                <w:b/>
                <w:sz w:val="18"/>
              </w:rPr>
              <w:t>Transformation</w:t>
            </w:r>
          </w:p>
        </w:tc>
        <w:tc>
          <w:tcPr>
            <w:tcW w:type="dxa" w:w="3009"/>
            <w:shd w:fill="D9EAF7"/>
            <w:vAlign w:val="center"/>
            <w:tcMar>
              <w:top w:w="80" w:type="dxa"/>
              <w:start w:w="100" w:type="dxa"/>
              <w:bottom w:w="80" w:type="dxa"/>
              <w:end w:w="100" w:type="dxa"/>
            </w:tcMar>
          </w:tcPr>
          <w:p>
            <w:r>
              <w:rPr>
                <w:b/>
                <w:sz w:val="18"/>
              </w:rPr>
              <w:t>How It Is Applied</w:t>
            </w:r>
          </w:p>
        </w:tc>
        <w:tc>
          <w:tcPr>
            <w:tcW w:type="dxa" w:w="3009"/>
            <w:shd w:fill="D9EAF7"/>
            <w:vAlign w:val="center"/>
            <w:tcMar>
              <w:top w:w="80" w:type="dxa"/>
              <w:start w:w="100" w:type="dxa"/>
              <w:bottom w:w="80" w:type="dxa"/>
              <w:end w:w="100" w:type="dxa"/>
            </w:tcMar>
          </w:tcPr>
          <w:p>
            <w:r>
              <w:rPr>
                <w:b/>
                <w:sz w:val="18"/>
              </w:rPr>
              <w:t>Business Benefit</w:t>
            </w:r>
          </w:p>
        </w:tc>
      </w:tr>
      <w:tr>
        <w:tc>
          <w:tcPr>
            <w:tcW w:type="dxa" w:w="3009"/>
            <w:vAlign w:val="top"/>
            <w:tcMar>
              <w:top w:w="80" w:type="dxa"/>
              <w:start w:w="100" w:type="dxa"/>
              <w:bottom w:w="80" w:type="dxa"/>
              <w:end w:w="100" w:type="dxa"/>
            </w:tcMar>
          </w:tcPr>
          <w:p>
            <w:pPr>
              <w:spacing w:after="0"/>
            </w:pPr>
            <w:r>
              <w:rPr>
                <w:sz w:val="17"/>
              </w:rPr>
              <w:t>Missing-value handling</w:t>
            </w:r>
          </w:p>
        </w:tc>
        <w:tc>
          <w:tcPr>
            <w:tcW w:type="dxa" w:w="3009"/>
            <w:vAlign w:val="top"/>
            <w:tcMar>
              <w:top w:w="80" w:type="dxa"/>
              <w:start w:w="100" w:type="dxa"/>
              <w:bottom w:w="80" w:type="dxa"/>
              <w:end w:w="100" w:type="dxa"/>
            </w:tcMar>
          </w:tcPr>
          <w:p>
            <w:pPr>
              <w:spacing w:after="0"/>
            </w:pPr>
            <w:r>
              <w:rPr>
                <w:sz w:val="17"/>
              </w:rPr>
              <w:t>Identify mandatory and optional fields and apply appropriate treatment.</w:t>
            </w:r>
          </w:p>
        </w:tc>
        <w:tc>
          <w:tcPr>
            <w:tcW w:type="dxa" w:w="3009"/>
            <w:vAlign w:val="top"/>
            <w:tcMar>
              <w:top w:w="80" w:type="dxa"/>
              <w:start w:w="100" w:type="dxa"/>
              <w:bottom w:w="80" w:type="dxa"/>
              <w:end w:w="100" w:type="dxa"/>
            </w:tcMar>
          </w:tcPr>
          <w:p>
            <w:pPr>
              <w:spacing w:after="0"/>
            </w:pPr>
            <w:r>
              <w:rPr>
                <w:sz w:val="17"/>
              </w:rPr>
              <w:t>Prevents unusable records from reaching analytics.</w:t>
            </w:r>
          </w:p>
        </w:tc>
      </w:tr>
      <w:tr>
        <w:tc>
          <w:tcPr>
            <w:tcW w:type="dxa" w:w="3009"/>
            <w:vAlign w:val="top"/>
            <w:tcMar>
              <w:top w:w="80" w:type="dxa"/>
              <w:start w:w="100" w:type="dxa"/>
              <w:bottom w:w="80" w:type="dxa"/>
              <w:end w:w="100" w:type="dxa"/>
            </w:tcMar>
          </w:tcPr>
          <w:p>
            <w:pPr>
              <w:spacing w:after="0"/>
            </w:pPr>
            <w:r>
              <w:rPr>
                <w:sz w:val="17"/>
              </w:rPr>
              <w:t>Deduplication</w:t>
            </w:r>
          </w:p>
        </w:tc>
        <w:tc>
          <w:tcPr>
            <w:tcW w:type="dxa" w:w="3009"/>
            <w:vAlign w:val="top"/>
            <w:tcMar>
              <w:top w:w="80" w:type="dxa"/>
              <w:start w:w="100" w:type="dxa"/>
              <w:bottom w:w="80" w:type="dxa"/>
              <w:end w:w="100" w:type="dxa"/>
            </w:tcMar>
          </w:tcPr>
          <w:p>
            <w:pPr>
              <w:spacing w:after="0"/>
            </w:pPr>
            <w:r>
              <w:rPr>
                <w:sz w:val="17"/>
              </w:rPr>
              <w:t>Remove duplicate records using appropriate business identifiers.</w:t>
            </w:r>
          </w:p>
        </w:tc>
        <w:tc>
          <w:tcPr>
            <w:tcW w:type="dxa" w:w="3009"/>
            <w:vAlign w:val="top"/>
            <w:tcMar>
              <w:top w:w="80" w:type="dxa"/>
              <w:start w:w="100" w:type="dxa"/>
              <w:bottom w:w="80" w:type="dxa"/>
              <w:end w:w="100" w:type="dxa"/>
            </w:tcMar>
          </w:tcPr>
          <w:p>
            <w:pPr>
              <w:spacing w:after="0"/>
            </w:pPr>
            <w:r>
              <w:rPr>
                <w:sz w:val="17"/>
              </w:rPr>
              <w:t>Prevents inflated claim counts and financial measures.</w:t>
            </w:r>
          </w:p>
        </w:tc>
      </w:tr>
      <w:tr>
        <w:tc>
          <w:tcPr>
            <w:tcW w:type="dxa" w:w="3009"/>
            <w:vAlign w:val="top"/>
            <w:tcMar>
              <w:top w:w="80" w:type="dxa"/>
              <w:start w:w="100" w:type="dxa"/>
              <w:bottom w:w="80" w:type="dxa"/>
              <w:end w:w="100" w:type="dxa"/>
            </w:tcMar>
          </w:tcPr>
          <w:p>
            <w:pPr>
              <w:spacing w:after="0"/>
            </w:pPr>
            <w:r>
              <w:rPr>
                <w:sz w:val="17"/>
              </w:rPr>
              <w:t>Data-type standardization</w:t>
            </w:r>
          </w:p>
        </w:tc>
        <w:tc>
          <w:tcPr>
            <w:tcW w:type="dxa" w:w="3009"/>
            <w:vAlign w:val="top"/>
            <w:tcMar>
              <w:top w:w="80" w:type="dxa"/>
              <w:start w:w="100" w:type="dxa"/>
              <w:bottom w:w="80" w:type="dxa"/>
              <w:end w:w="100" w:type="dxa"/>
            </w:tcMar>
          </w:tcPr>
          <w:p>
            <w:pPr>
              <w:spacing w:after="0"/>
            </w:pPr>
            <w:r>
              <w:rPr>
                <w:sz w:val="17"/>
              </w:rPr>
              <w:t>Convert dates, amounts and identifiers to consistent types.</w:t>
            </w:r>
          </w:p>
        </w:tc>
        <w:tc>
          <w:tcPr>
            <w:tcW w:type="dxa" w:w="3009"/>
            <w:vAlign w:val="top"/>
            <w:tcMar>
              <w:top w:w="80" w:type="dxa"/>
              <w:start w:w="100" w:type="dxa"/>
              <w:bottom w:w="80" w:type="dxa"/>
              <w:end w:w="100" w:type="dxa"/>
            </w:tcMar>
          </w:tcPr>
          <w:p>
            <w:pPr>
              <w:spacing w:after="0"/>
            </w:pPr>
            <w:r>
              <w:rPr>
                <w:sz w:val="17"/>
              </w:rPr>
              <w:t>Makes SQL and BI calculations reliable.</w:t>
            </w:r>
          </w:p>
        </w:tc>
      </w:tr>
      <w:tr>
        <w:tc>
          <w:tcPr>
            <w:tcW w:type="dxa" w:w="3009"/>
            <w:vAlign w:val="top"/>
            <w:tcMar>
              <w:top w:w="80" w:type="dxa"/>
              <w:start w:w="100" w:type="dxa"/>
              <w:bottom w:w="80" w:type="dxa"/>
              <w:end w:w="100" w:type="dxa"/>
            </w:tcMar>
          </w:tcPr>
          <w:p>
            <w:pPr>
              <w:spacing w:after="0"/>
            </w:pPr>
            <w:r>
              <w:rPr>
                <w:sz w:val="17"/>
              </w:rPr>
              <w:t>Categorical standardization</w:t>
            </w:r>
          </w:p>
        </w:tc>
        <w:tc>
          <w:tcPr>
            <w:tcW w:type="dxa" w:w="3009"/>
            <w:vAlign w:val="top"/>
            <w:tcMar>
              <w:top w:w="80" w:type="dxa"/>
              <w:start w:w="100" w:type="dxa"/>
              <w:bottom w:w="80" w:type="dxa"/>
              <w:end w:w="100" w:type="dxa"/>
            </w:tcMar>
          </w:tcPr>
          <w:p>
            <w:pPr>
              <w:spacing w:after="0"/>
            </w:pPr>
            <w:r>
              <w:rPr>
                <w:sz w:val="17"/>
              </w:rPr>
              <w:t>Normalize values such as gender, status and codes.</w:t>
            </w:r>
          </w:p>
        </w:tc>
        <w:tc>
          <w:tcPr>
            <w:tcW w:type="dxa" w:w="3009"/>
            <w:vAlign w:val="top"/>
            <w:tcMar>
              <w:top w:w="80" w:type="dxa"/>
              <w:start w:w="100" w:type="dxa"/>
              <w:bottom w:w="80" w:type="dxa"/>
              <w:end w:w="100" w:type="dxa"/>
            </w:tcMar>
          </w:tcPr>
          <w:p>
            <w:pPr>
              <w:spacing w:after="0"/>
            </w:pPr>
            <w:r>
              <w:rPr>
                <w:sz w:val="17"/>
              </w:rPr>
              <w:t>Improves grouping and filtering.</w:t>
            </w:r>
          </w:p>
        </w:tc>
      </w:tr>
      <w:tr>
        <w:tc>
          <w:tcPr>
            <w:tcW w:type="dxa" w:w="3009"/>
            <w:vAlign w:val="top"/>
            <w:tcMar>
              <w:top w:w="80" w:type="dxa"/>
              <w:start w:w="100" w:type="dxa"/>
              <w:bottom w:w="80" w:type="dxa"/>
              <w:end w:w="100" w:type="dxa"/>
            </w:tcMar>
          </w:tcPr>
          <w:p>
            <w:pPr>
              <w:spacing w:after="0"/>
            </w:pPr>
            <w:r>
              <w:rPr>
                <w:sz w:val="17"/>
              </w:rPr>
              <w:t>Date validation</w:t>
            </w:r>
          </w:p>
        </w:tc>
        <w:tc>
          <w:tcPr>
            <w:tcW w:type="dxa" w:w="3009"/>
            <w:vAlign w:val="top"/>
            <w:tcMar>
              <w:top w:w="80" w:type="dxa"/>
              <w:start w:w="100" w:type="dxa"/>
              <w:bottom w:w="80" w:type="dxa"/>
              <w:end w:w="100" w:type="dxa"/>
            </w:tcMar>
          </w:tcPr>
          <w:p>
            <w:pPr>
              <w:spacing w:after="0"/>
            </w:pPr>
            <w:r>
              <w:rPr>
                <w:sz w:val="17"/>
              </w:rPr>
              <w:t>Check valid date formats and logical relationships.</w:t>
            </w:r>
          </w:p>
        </w:tc>
        <w:tc>
          <w:tcPr>
            <w:tcW w:type="dxa" w:w="3009"/>
            <w:vAlign w:val="top"/>
            <w:tcMar>
              <w:top w:w="80" w:type="dxa"/>
              <w:start w:w="100" w:type="dxa"/>
              <w:bottom w:w="80" w:type="dxa"/>
              <w:end w:w="100" w:type="dxa"/>
            </w:tcMar>
          </w:tcPr>
          <w:p>
            <w:pPr>
              <w:spacing w:after="0"/>
            </w:pPr>
            <w:r>
              <w:rPr>
                <w:sz w:val="17"/>
              </w:rPr>
              <w:t>Prevents impossible business timelines.</w:t>
            </w:r>
          </w:p>
        </w:tc>
      </w:tr>
      <w:tr>
        <w:tc>
          <w:tcPr>
            <w:tcW w:type="dxa" w:w="3009"/>
            <w:vAlign w:val="top"/>
            <w:tcMar>
              <w:top w:w="80" w:type="dxa"/>
              <w:start w:w="100" w:type="dxa"/>
              <w:bottom w:w="80" w:type="dxa"/>
              <w:end w:w="100" w:type="dxa"/>
            </w:tcMar>
          </w:tcPr>
          <w:p>
            <w:pPr>
              <w:spacing w:after="0"/>
            </w:pPr>
            <w:r>
              <w:rPr>
                <w:sz w:val="17"/>
              </w:rPr>
              <w:t>Financial validation</w:t>
            </w:r>
          </w:p>
        </w:tc>
        <w:tc>
          <w:tcPr>
            <w:tcW w:type="dxa" w:w="3009"/>
            <w:vAlign w:val="top"/>
            <w:tcMar>
              <w:top w:w="80" w:type="dxa"/>
              <w:start w:w="100" w:type="dxa"/>
              <w:bottom w:w="80" w:type="dxa"/>
              <w:end w:w="100" w:type="dxa"/>
            </w:tcMar>
          </w:tcPr>
          <w:p>
            <w:pPr>
              <w:spacing w:after="0"/>
            </w:pPr>
            <w:r>
              <w:rPr>
                <w:sz w:val="17"/>
              </w:rPr>
              <w:t>Validate payment and amount fields against business rules.</w:t>
            </w:r>
          </w:p>
        </w:tc>
        <w:tc>
          <w:tcPr>
            <w:tcW w:type="dxa" w:w="3009"/>
            <w:vAlign w:val="top"/>
            <w:tcMar>
              <w:top w:w="80" w:type="dxa"/>
              <w:start w:w="100" w:type="dxa"/>
              <w:bottom w:w="80" w:type="dxa"/>
              <w:end w:w="100" w:type="dxa"/>
            </w:tcMar>
          </w:tcPr>
          <w:p>
            <w:pPr>
              <w:spacing w:after="0"/>
            </w:pPr>
            <w:r>
              <w:rPr>
                <w:sz w:val="17"/>
              </w:rPr>
              <w:t>Protects financial KPIs.</w:t>
            </w:r>
          </w:p>
        </w:tc>
      </w:tr>
      <w:tr>
        <w:tc>
          <w:tcPr>
            <w:tcW w:type="dxa" w:w="3009"/>
            <w:vAlign w:val="top"/>
            <w:tcMar>
              <w:top w:w="80" w:type="dxa"/>
              <w:start w:w="100" w:type="dxa"/>
              <w:bottom w:w="80" w:type="dxa"/>
              <w:end w:w="100" w:type="dxa"/>
            </w:tcMar>
          </w:tcPr>
          <w:p>
            <w:pPr>
              <w:spacing w:after="0"/>
            </w:pPr>
            <w:r>
              <w:rPr>
                <w:sz w:val="17"/>
              </w:rPr>
              <w:t>Referential checks</w:t>
            </w:r>
          </w:p>
        </w:tc>
        <w:tc>
          <w:tcPr>
            <w:tcW w:type="dxa" w:w="3009"/>
            <w:vAlign w:val="top"/>
            <w:tcMar>
              <w:top w:w="80" w:type="dxa"/>
              <w:start w:w="100" w:type="dxa"/>
              <w:bottom w:w="80" w:type="dxa"/>
              <w:end w:w="100" w:type="dxa"/>
            </w:tcMar>
          </w:tcPr>
          <w:p>
            <w:pPr>
              <w:spacing w:after="0"/>
            </w:pPr>
            <w:r>
              <w:rPr>
                <w:sz w:val="17"/>
              </w:rPr>
              <w:t>Validate relationships between key entities where applicable.</w:t>
            </w:r>
          </w:p>
        </w:tc>
        <w:tc>
          <w:tcPr>
            <w:tcW w:type="dxa" w:w="3009"/>
            <w:vAlign w:val="top"/>
            <w:tcMar>
              <w:top w:w="80" w:type="dxa"/>
              <w:start w:w="100" w:type="dxa"/>
              <w:bottom w:w="80" w:type="dxa"/>
              <w:end w:w="100" w:type="dxa"/>
            </w:tcMar>
          </w:tcPr>
          <w:p>
            <w:pPr>
              <w:spacing w:after="0"/>
            </w:pPr>
            <w:r>
              <w:rPr>
                <w:sz w:val="17"/>
              </w:rPr>
              <w:t>Reduces orphaned analytical records.</w:t>
            </w:r>
          </w:p>
        </w:tc>
      </w:tr>
      <w:tr>
        <w:tc>
          <w:tcPr>
            <w:tcW w:type="dxa" w:w="3009"/>
            <w:vAlign w:val="top"/>
            <w:tcMar>
              <w:top w:w="80" w:type="dxa"/>
              <w:start w:w="100" w:type="dxa"/>
              <w:bottom w:w="80" w:type="dxa"/>
              <w:end w:w="100" w:type="dxa"/>
            </w:tcMar>
          </w:tcPr>
          <w:p>
            <w:pPr>
              <w:spacing w:after="0"/>
            </w:pPr>
            <w:r>
              <w:rPr>
                <w:sz w:val="17"/>
              </w:rPr>
              <w:t>Quarantine handling</w:t>
            </w:r>
          </w:p>
        </w:tc>
        <w:tc>
          <w:tcPr>
            <w:tcW w:type="dxa" w:w="3009"/>
            <w:vAlign w:val="top"/>
            <w:tcMar>
              <w:top w:w="80" w:type="dxa"/>
              <w:start w:w="100" w:type="dxa"/>
              <w:bottom w:w="80" w:type="dxa"/>
              <w:end w:w="100" w:type="dxa"/>
            </w:tcMar>
          </w:tcPr>
          <w:p>
            <w:pPr>
              <w:spacing w:after="0"/>
            </w:pPr>
            <w:r>
              <w:rPr>
                <w:sz w:val="17"/>
              </w:rPr>
              <w:t>Separate records that fail mandatory validation from clean analytical data.</w:t>
            </w:r>
          </w:p>
        </w:tc>
        <w:tc>
          <w:tcPr>
            <w:tcW w:type="dxa" w:w="3009"/>
            <w:vAlign w:val="top"/>
            <w:tcMar>
              <w:top w:w="80" w:type="dxa"/>
              <w:start w:w="100" w:type="dxa"/>
              <w:bottom w:w="80" w:type="dxa"/>
              <w:end w:w="100" w:type="dxa"/>
            </w:tcMar>
          </w:tcPr>
          <w:p>
            <w:pPr>
              <w:spacing w:after="0"/>
            </w:pPr>
            <w:r>
              <w:rPr>
                <w:sz w:val="17"/>
              </w:rPr>
              <w:t>Prevents known-invalid records from contaminating Silver.</w:t>
            </w:r>
          </w:p>
        </w:tc>
      </w:tr>
    </w:tbl>
    <w:p>
      <w:pPr>
        <w:spacing w:after="20"/>
      </w:pPr>
    </w:p>
    <w:p>
      <w:pPr>
        <w:pStyle w:val="Heading2"/>
        <w:spacing w:before="80" w:after="160"/>
      </w:pPr>
      <w:r>
        <w:rPr>
          <w:b/>
        </w:rPr>
        <w:t>6.2 Date Logic</w:t>
      </w:r>
    </w:p>
    <w:p>
      <w:pPr>
        <w:spacing w:line="276" w:lineRule="auto" w:after="120"/>
      </w:pPr>
      <w:r>
        <w:t>Date relationships are evaluated using real-world business logic. For inpatient claims, admission dates should not occur after discharge dates. Similarly, claim from-dates should not occur after through-dates. This ensures that derived measures such as length of stay remain meaningful.</w:t>
      </w:r>
    </w:p>
    <w:p>
      <w:pPr>
        <w:pStyle w:val="Heading2"/>
        <w:spacing w:before="80" w:after="160"/>
      </w:pPr>
      <w:r>
        <w:rPr>
          <w:b/>
        </w:rPr>
        <w:t>6.3 Silver Output</w:t>
      </w:r>
    </w:p>
    <w:p>
      <w:pPr>
        <w:spacing w:line="276" w:lineRule="auto" w:after="120"/>
      </w:pPr>
      <w:r>
        <w:t>The output of Silver is a validated, standardized dataset for each major healthcare source domain. These datasets become the trusted input for Gold modeling.</w:t>
      </w:r>
    </w:p>
    <w:p>
      <w:r>
        <w:br w:type="page"/>
      </w:r>
    </w:p>
    <w:p>
      <w:pPr>
        <w:pStyle w:val="Heading1"/>
        <w:spacing w:before="80" w:after="160"/>
      </w:pPr>
      <w:r>
        <w:rPr>
          <w:b/>
        </w:rPr>
        <w:t>7. Gold Layer — Dimensional and Fact Modeling</w:t>
      </w:r>
    </w:p>
    <w:p>
      <w:pPr>
        <w:spacing w:line="276" w:lineRule="auto" w:after="120"/>
      </w:pPr>
      <w:r>
        <w:t>Gold is the business-facing analytical layer. Rather than exposing raw source structures to reporting users, Gold organizes the cleaned information into reusable analytical facts and dimensions.</w:t>
      </w:r>
    </w:p>
    <w:p>
      <w:pPr>
        <w:pStyle w:val="Heading2"/>
        <w:spacing w:before="80" w:after="160"/>
      </w:pPr>
      <w:r>
        <w:rPr>
          <w:b/>
        </w:rPr>
        <w:t>7.1 Dimension Model</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D9EAF7"/>
            <w:vAlign w:val="center"/>
            <w:tcMar>
              <w:top w:w="80" w:type="dxa"/>
              <w:start w:w="100" w:type="dxa"/>
              <w:bottom w:w="80" w:type="dxa"/>
              <w:end w:w="100" w:type="dxa"/>
            </w:tcMar>
          </w:tcPr>
          <w:p>
            <w:r>
              <w:rPr>
                <w:b/>
                <w:sz w:val="18"/>
              </w:rPr>
              <w:t>Dimension</w:t>
            </w:r>
          </w:p>
        </w:tc>
        <w:tc>
          <w:tcPr>
            <w:tcW w:type="dxa" w:w="3009"/>
            <w:shd w:fill="D9EAF7"/>
            <w:vAlign w:val="center"/>
            <w:tcMar>
              <w:top w:w="80" w:type="dxa"/>
              <w:start w:w="100" w:type="dxa"/>
              <w:bottom w:w="80" w:type="dxa"/>
              <w:end w:w="100" w:type="dxa"/>
            </w:tcMar>
          </w:tcPr>
          <w:p>
            <w:r>
              <w:rPr>
                <w:b/>
                <w:sz w:val="18"/>
              </w:rPr>
              <w:t>Purpose</w:t>
            </w:r>
          </w:p>
        </w:tc>
        <w:tc>
          <w:tcPr>
            <w:tcW w:type="dxa" w:w="3009"/>
            <w:shd w:fill="D9EAF7"/>
            <w:vAlign w:val="center"/>
            <w:tcMar>
              <w:top w:w="80" w:type="dxa"/>
              <w:start w:w="100" w:type="dxa"/>
              <w:bottom w:w="80" w:type="dxa"/>
              <w:end w:w="100" w:type="dxa"/>
            </w:tcMar>
          </w:tcPr>
          <w:p>
            <w:r>
              <w:rPr>
                <w:b/>
                <w:sz w:val="18"/>
              </w:rPr>
              <w:t>Typical Attributes</w:t>
            </w:r>
          </w:p>
        </w:tc>
      </w:tr>
      <w:tr>
        <w:tc>
          <w:tcPr>
            <w:tcW w:type="dxa" w:w="3009"/>
            <w:vAlign w:val="top"/>
            <w:tcMar>
              <w:top w:w="80" w:type="dxa"/>
              <w:start w:w="100" w:type="dxa"/>
              <w:bottom w:w="80" w:type="dxa"/>
              <w:end w:w="100" w:type="dxa"/>
            </w:tcMar>
          </w:tcPr>
          <w:p>
            <w:pPr>
              <w:spacing w:after="0"/>
            </w:pPr>
            <w:r>
              <w:rPr>
                <w:sz w:val="17"/>
              </w:rPr>
              <w:t>DIM_BENEFICIARY</w:t>
            </w:r>
          </w:p>
        </w:tc>
        <w:tc>
          <w:tcPr>
            <w:tcW w:type="dxa" w:w="3009"/>
            <w:vAlign w:val="top"/>
            <w:tcMar>
              <w:top w:w="80" w:type="dxa"/>
              <w:start w:w="100" w:type="dxa"/>
              <w:bottom w:w="80" w:type="dxa"/>
              <w:end w:w="100" w:type="dxa"/>
            </w:tcMar>
          </w:tcPr>
          <w:p>
            <w:pPr>
              <w:spacing w:after="0"/>
            </w:pPr>
            <w:r>
              <w:rPr>
                <w:sz w:val="17"/>
              </w:rPr>
              <w:t>Beneficiary analysis</w:t>
            </w:r>
          </w:p>
        </w:tc>
        <w:tc>
          <w:tcPr>
            <w:tcW w:type="dxa" w:w="3009"/>
            <w:vAlign w:val="top"/>
            <w:tcMar>
              <w:top w:w="80" w:type="dxa"/>
              <w:start w:w="100" w:type="dxa"/>
              <w:bottom w:w="80" w:type="dxa"/>
              <w:end w:w="100" w:type="dxa"/>
            </w:tcMar>
          </w:tcPr>
          <w:p>
            <w:pPr>
              <w:spacing w:after="0"/>
            </w:pPr>
            <w:r>
              <w:rPr>
                <w:sz w:val="17"/>
              </w:rPr>
              <w:t>Beneficiary key, ID, birth date, gender, state</w:t>
            </w:r>
          </w:p>
        </w:tc>
      </w:tr>
      <w:tr>
        <w:tc>
          <w:tcPr>
            <w:tcW w:type="dxa" w:w="3009"/>
            <w:vAlign w:val="top"/>
            <w:tcMar>
              <w:top w:w="80" w:type="dxa"/>
              <w:start w:w="100" w:type="dxa"/>
              <w:bottom w:w="80" w:type="dxa"/>
              <w:end w:w="100" w:type="dxa"/>
            </w:tcMar>
          </w:tcPr>
          <w:p>
            <w:pPr>
              <w:spacing w:after="0"/>
            </w:pPr>
            <w:r>
              <w:rPr>
                <w:sz w:val="17"/>
              </w:rPr>
              <w:t>DIM_PROVIDER</w:t>
            </w:r>
          </w:p>
        </w:tc>
        <w:tc>
          <w:tcPr>
            <w:tcW w:type="dxa" w:w="3009"/>
            <w:vAlign w:val="top"/>
            <w:tcMar>
              <w:top w:w="80" w:type="dxa"/>
              <w:start w:w="100" w:type="dxa"/>
              <w:bottom w:w="80" w:type="dxa"/>
              <w:end w:w="100" w:type="dxa"/>
            </w:tcMar>
          </w:tcPr>
          <w:p>
            <w:pPr>
              <w:spacing w:after="0"/>
            </w:pPr>
            <w:r>
              <w:rPr>
                <w:sz w:val="17"/>
              </w:rPr>
              <w:t>Provider analysis</w:t>
            </w:r>
          </w:p>
        </w:tc>
        <w:tc>
          <w:tcPr>
            <w:tcW w:type="dxa" w:w="3009"/>
            <w:vAlign w:val="top"/>
            <w:tcMar>
              <w:top w:w="80" w:type="dxa"/>
              <w:start w:w="100" w:type="dxa"/>
              <w:bottom w:w="80" w:type="dxa"/>
              <w:end w:w="100" w:type="dxa"/>
            </w:tcMar>
          </w:tcPr>
          <w:p>
            <w:pPr>
              <w:spacing w:after="0"/>
            </w:pPr>
            <w:r>
              <w:rPr>
                <w:sz w:val="17"/>
              </w:rPr>
              <w:t>Provider key, provider ID, NPI, specialty</w:t>
            </w:r>
          </w:p>
        </w:tc>
      </w:tr>
      <w:tr>
        <w:tc>
          <w:tcPr>
            <w:tcW w:type="dxa" w:w="3009"/>
            <w:vAlign w:val="top"/>
            <w:tcMar>
              <w:top w:w="80" w:type="dxa"/>
              <w:start w:w="100" w:type="dxa"/>
              <w:bottom w:w="80" w:type="dxa"/>
              <w:end w:w="100" w:type="dxa"/>
            </w:tcMar>
          </w:tcPr>
          <w:p>
            <w:pPr>
              <w:spacing w:after="0"/>
            </w:pPr>
            <w:r>
              <w:rPr>
                <w:sz w:val="17"/>
              </w:rPr>
              <w:t>DIM_DATE</w:t>
            </w:r>
          </w:p>
        </w:tc>
        <w:tc>
          <w:tcPr>
            <w:tcW w:type="dxa" w:w="3009"/>
            <w:vAlign w:val="top"/>
            <w:tcMar>
              <w:top w:w="80" w:type="dxa"/>
              <w:start w:w="100" w:type="dxa"/>
              <w:bottom w:w="80" w:type="dxa"/>
              <w:end w:w="100" w:type="dxa"/>
            </w:tcMar>
          </w:tcPr>
          <w:p>
            <w:pPr>
              <w:spacing w:after="0"/>
            </w:pPr>
            <w:r>
              <w:rPr>
                <w:sz w:val="17"/>
              </w:rPr>
              <w:t>Time analysis</w:t>
            </w:r>
          </w:p>
        </w:tc>
        <w:tc>
          <w:tcPr>
            <w:tcW w:type="dxa" w:w="3009"/>
            <w:vAlign w:val="top"/>
            <w:tcMar>
              <w:top w:w="80" w:type="dxa"/>
              <w:start w:w="100" w:type="dxa"/>
              <w:bottom w:w="80" w:type="dxa"/>
              <w:end w:w="100" w:type="dxa"/>
            </w:tcMar>
          </w:tcPr>
          <w:p>
            <w:pPr>
              <w:spacing w:after="0"/>
            </w:pPr>
            <w:r>
              <w:rPr>
                <w:sz w:val="17"/>
              </w:rPr>
              <w:t>Date key, full date, month, quarter, year</w:t>
            </w:r>
          </w:p>
        </w:tc>
      </w:tr>
      <w:tr>
        <w:tc>
          <w:tcPr>
            <w:tcW w:type="dxa" w:w="3009"/>
            <w:vAlign w:val="top"/>
            <w:tcMar>
              <w:top w:w="80" w:type="dxa"/>
              <w:start w:w="100" w:type="dxa"/>
              <w:bottom w:w="80" w:type="dxa"/>
              <w:end w:w="100" w:type="dxa"/>
            </w:tcMar>
          </w:tcPr>
          <w:p>
            <w:pPr>
              <w:spacing w:after="0"/>
            </w:pPr>
            <w:r>
              <w:rPr>
                <w:sz w:val="17"/>
              </w:rPr>
              <w:t>DIM_DIAGNOSIS</w:t>
            </w:r>
          </w:p>
        </w:tc>
        <w:tc>
          <w:tcPr>
            <w:tcW w:type="dxa" w:w="3009"/>
            <w:vAlign w:val="top"/>
            <w:tcMar>
              <w:top w:w="80" w:type="dxa"/>
              <w:start w:w="100" w:type="dxa"/>
              <w:bottom w:w="80" w:type="dxa"/>
              <w:end w:w="100" w:type="dxa"/>
            </w:tcMar>
          </w:tcPr>
          <w:p>
            <w:pPr>
              <w:spacing w:after="0"/>
            </w:pPr>
            <w:r>
              <w:rPr>
                <w:sz w:val="17"/>
              </w:rPr>
              <w:t>Diagnosis analysis</w:t>
            </w:r>
          </w:p>
        </w:tc>
        <w:tc>
          <w:tcPr>
            <w:tcW w:type="dxa" w:w="3009"/>
            <w:vAlign w:val="top"/>
            <w:tcMar>
              <w:top w:w="80" w:type="dxa"/>
              <w:start w:w="100" w:type="dxa"/>
              <w:bottom w:w="80" w:type="dxa"/>
              <w:end w:w="100" w:type="dxa"/>
            </w:tcMar>
          </w:tcPr>
          <w:p>
            <w:pPr>
              <w:spacing w:after="0"/>
            </w:pPr>
            <w:r>
              <w:rPr>
                <w:sz w:val="17"/>
              </w:rPr>
              <w:t>Diagnosis key, ICD code, description</w:t>
            </w:r>
          </w:p>
        </w:tc>
      </w:tr>
      <w:tr>
        <w:tc>
          <w:tcPr>
            <w:tcW w:type="dxa" w:w="3009"/>
            <w:vAlign w:val="top"/>
            <w:tcMar>
              <w:top w:w="80" w:type="dxa"/>
              <w:start w:w="100" w:type="dxa"/>
              <w:bottom w:w="80" w:type="dxa"/>
              <w:end w:w="100" w:type="dxa"/>
            </w:tcMar>
          </w:tcPr>
          <w:p>
            <w:pPr>
              <w:spacing w:after="0"/>
            </w:pPr>
            <w:r>
              <w:rPr>
                <w:sz w:val="17"/>
              </w:rPr>
              <w:t>DIM_CLAIM_STATUS</w:t>
            </w:r>
          </w:p>
        </w:tc>
        <w:tc>
          <w:tcPr>
            <w:tcW w:type="dxa" w:w="3009"/>
            <w:vAlign w:val="top"/>
            <w:tcMar>
              <w:top w:w="80" w:type="dxa"/>
              <w:start w:w="100" w:type="dxa"/>
              <w:bottom w:w="80" w:type="dxa"/>
              <w:end w:w="100" w:type="dxa"/>
            </w:tcMar>
          </w:tcPr>
          <w:p>
            <w:pPr>
              <w:spacing w:after="0"/>
            </w:pPr>
            <w:r>
              <w:rPr>
                <w:sz w:val="17"/>
              </w:rPr>
              <w:t>Claim lifecycle analysis</w:t>
            </w:r>
          </w:p>
        </w:tc>
        <w:tc>
          <w:tcPr>
            <w:tcW w:type="dxa" w:w="3009"/>
            <w:vAlign w:val="top"/>
            <w:tcMar>
              <w:top w:w="80" w:type="dxa"/>
              <w:start w:w="100" w:type="dxa"/>
              <w:bottom w:w="80" w:type="dxa"/>
              <w:end w:w="100" w:type="dxa"/>
            </w:tcMar>
          </w:tcPr>
          <w:p>
            <w:pPr>
              <w:spacing w:after="0"/>
            </w:pPr>
            <w:r>
              <w:rPr>
                <w:sz w:val="17"/>
              </w:rPr>
              <w:t>Status key, status code, description</w:t>
            </w:r>
          </w:p>
        </w:tc>
      </w:tr>
    </w:tbl>
    <w:p>
      <w:pPr>
        <w:spacing w:after="20"/>
      </w:pPr>
    </w:p>
    <w:p>
      <w:pPr>
        <w:pStyle w:val="Heading2"/>
        <w:spacing w:before="80" w:after="160"/>
      </w:pPr>
      <w:r>
        <w:rPr>
          <w:b/>
        </w:rPr>
        <w:t>7.2 Fact Model</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D9EAF7"/>
            <w:vAlign w:val="center"/>
            <w:tcMar>
              <w:top w:w="80" w:type="dxa"/>
              <w:start w:w="100" w:type="dxa"/>
              <w:bottom w:w="80" w:type="dxa"/>
              <w:end w:w="100" w:type="dxa"/>
            </w:tcMar>
          </w:tcPr>
          <w:p>
            <w:r>
              <w:rPr>
                <w:b/>
                <w:sz w:val="18"/>
              </w:rPr>
              <w:t>Fact</w:t>
            </w:r>
          </w:p>
        </w:tc>
        <w:tc>
          <w:tcPr>
            <w:tcW w:type="dxa" w:w="3009"/>
            <w:shd w:fill="D9EAF7"/>
            <w:vAlign w:val="center"/>
            <w:tcMar>
              <w:top w:w="80" w:type="dxa"/>
              <w:start w:w="100" w:type="dxa"/>
              <w:bottom w:w="80" w:type="dxa"/>
              <w:end w:w="100" w:type="dxa"/>
            </w:tcMar>
          </w:tcPr>
          <w:p>
            <w:r>
              <w:rPr>
                <w:b/>
                <w:sz w:val="18"/>
              </w:rPr>
              <w:t>Business Grain</w:t>
            </w:r>
          </w:p>
        </w:tc>
        <w:tc>
          <w:tcPr>
            <w:tcW w:type="dxa" w:w="3009"/>
            <w:shd w:fill="D9EAF7"/>
            <w:vAlign w:val="center"/>
            <w:tcMar>
              <w:top w:w="80" w:type="dxa"/>
              <w:start w:w="100" w:type="dxa"/>
              <w:bottom w:w="80" w:type="dxa"/>
              <w:end w:w="100" w:type="dxa"/>
            </w:tcMar>
          </w:tcPr>
          <w:p>
            <w:r>
              <w:rPr>
                <w:b/>
                <w:sz w:val="18"/>
              </w:rPr>
              <w:t>Core Measures</w:t>
            </w:r>
          </w:p>
        </w:tc>
      </w:tr>
      <w:tr>
        <w:tc>
          <w:tcPr>
            <w:tcW w:type="dxa" w:w="3009"/>
            <w:vAlign w:val="top"/>
            <w:tcMar>
              <w:top w:w="80" w:type="dxa"/>
              <w:start w:w="100" w:type="dxa"/>
              <w:bottom w:w="80" w:type="dxa"/>
              <w:end w:w="100" w:type="dxa"/>
            </w:tcMar>
          </w:tcPr>
          <w:p>
            <w:pPr>
              <w:spacing w:after="0"/>
            </w:pPr>
            <w:r>
              <w:rPr>
                <w:sz w:val="17"/>
              </w:rPr>
              <w:t>FACT_CLAIMS</w:t>
            </w:r>
          </w:p>
        </w:tc>
        <w:tc>
          <w:tcPr>
            <w:tcW w:type="dxa" w:w="3009"/>
            <w:vAlign w:val="top"/>
            <w:tcMar>
              <w:top w:w="80" w:type="dxa"/>
              <w:start w:w="100" w:type="dxa"/>
              <w:bottom w:w="80" w:type="dxa"/>
              <w:end w:w="100" w:type="dxa"/>
            </w:tcMar>
          </w:tcPr>
          <w:p>
            <w:pPr>
              <w:spacing w:after="0"/>
            </w:pPr>
            <w:r>
              <w:rPr>
                <w:sz w:val="17"/>
              </w:rPr>
              <w:t>Claim-level analytical record</w:t>
            </w:r>
          </w:p>
        </w:tc>
        <w:tc>
          <w:tcPr>
            <w:tcW w:type="dxa" w:w="3009"/>
            <w:vAlign w:val="top"/>
            <w:tcMar>
              <w:top w:w="80" w:type="dxa"/>
              <w:start w:w="100" w:type="dxa"/>
              <w:bottom w:w="80" w:type="dxa"/>
              <w:end w:w="100" w:type="dxa"/>
            </w:tcMar>
          </w:tcPr>
          <w:p>
            <w:pPr>
              <w:spacing w:after="0"/>
            </w:pPr>
            <w:r>
              <w:rPr>
                <w:sz w:val="17"/>
              </w:rPr>
              <w:t>Claim amount, paid amount</w:t>
            </w:r>
          </w:p>
        </w:tc>
      </w:tr>
      <w:tr>
        <w:tc>
          <w:tcPr>
            <w:tcW w:type="dxa" w:w="3009"/>
            <w:vAlign w:val="top"/>
            <w:tcMar>
              <w:top w:w="80" w:type="dxa"/>
              <w:start w:w="100" w:type="dxa"/>
              <w:bottom w:w="80" w:type="dxa"/>
              <w:end w:w="100" w:type="dxa"/>
            </w:tcMar>
          </w:tcPr>
          <w:p>
            <w:pPr>
              <w:spacing w:after="0"/>
            </w:pPr>
            <w:r>
              <w:rPr>
                <w:sz w:val="17"/>
              </w:rPr>
              <w:t>FACT_INPATIENT</w:t>
            </w:r>
          </w:p>
        </w:tc>
        <w:tc>
          <w:tcPr>
            <w:tcW w:type="dxa" w:w="3009"/>
            <w:vAlign w:val="top"/>
            <w:tcMar>
              <w:top w:w="80" w:type="dxa"/>
              <w:start w:w="100" w:type="dxa"/>
              <w:bottom w:w="80" w:type="dxa"/>
              <w:end w:w="100" w:type="dxa"/>
            </w:tcMar>
          </w:tcPr>
          <w:p>
            <w:pPr>
              <w:spacing w:after="0"/>
            </w:pPr>
            <w:r>
              <w:rPr>
                <w:sz w:val="17"/>
              </w:rPr>
              <w:t>Inpatient claim</w:t>
            </w:r>
          </w:p>
        </w:tc>
        <w:tc>
          <w:tcPr>
            <w:tcW w:type="dxa" w:w="3009"/>
            <w:vAlign w:val="top"/>
            <w:tcMar>
              <w:top w:w="80" w:type="dxa"/>
              <w:start w:w="100" w:type="dxa"/>
              <w:bottom w:w="80" w:type="dxa"/>
              <w:end w:w="100" w:type="dxa"/>
            </w:tcMar>
          </w:tcPr>
          <w:p>
            <w:pPr>
              <w:spacing w:after="0"/>
            </w:pPr>
            <w:r>
              <w:rPr>
                <w:sz w:val="17"/>
              </w:rPr>
              <w:t>Claim payment amount, admission-related measures</w:t>
            </w:r>
          </w:p>
        </w:tc>
      </w:tr>
      <w:tr>
        <w:tc>
          <w:tcPr>
            <w:tcW w:type="dxa" w:w="3009"/>
            <w:vAlign w:val="top"/>
            <w:tcMar>
              <w:top w:w="80" w:type="dxa"/>
              <w:start w:w="100" w:type="dxa"/>
              <w:bottom w:w="80" w:type="dxa"/>
              <w:end w:w="100" w:type="dxa"/>
            </w:tcMar>
          </w:tcPr>
          <w:p>
            <w:pPr>
              <w:spacing w:after="0"/>
            </w:pPr>
            <w:r>
              <w:rPr>
                <w:sz w:val="17"/>
              </w:rPr>
              <w:t>FACT_PHARMACY</w:t>
            </w:r>
          </w:p>
        </w:tc>
        <w:tc>
          <w:tcPr>
            <w:tcW w:type="dxa" w:w="3009"/>
            <w:vAlign w:val="top"/>
            <w:tcMar>
              <w:top w:w="80" w:type="dxa"/>
              <w:start w:w="100" w:type="dxa"/>
              <w:bottom w:w="80" w:type="dxa"/>
              <w:end w:w="100" w:type="dxa"/>
            </w:tcMar>
          </w:tcPr>
          <w:p>
            <w:pPr>
              <w:spacing w:after="0"/>
            </w:pPr>
            <w:r>
              <w:rPr>
                <w:sz w:val="17"/>
              </w:rPr>
              <w:t>Prescription drug event</w:t>
            </w:r>
          </w:p>
        </w:tc>
        <w:tc>
          <w:tcPr>
            <w:tcW w:type="dxa" w:w="3009"/>
            <w:vAlign w:val="top"/>
            <w:tcMar>
              <w:top w:w="80" w:type="dxa"/>
              <w:start w:w="100" w:type="dxa"/>
              <w:bottom w:w="80" w:type="dxa"/>
              <w:end w:w="100" w:type="dxa"/>
            </w:tcMar>
          </w:tcPr>
          <w:p>
            <w:pPr>
              <w:spacing w:after="0"/>
            </w:pPr>
            <w:r>
              <w:rPr>
                <w:sz w:val="17"/>
              </w:rPr>
              <w:t>Total drug cost</w:t>
            </w:r>
          </w:p>
        </w:tc>
      </w:tr>
    </w:tbl>
    <w:p>
      <w:pPr>
        <w:spacing w:after="20"/>
      </w:pPr>
    </w:p>
    <w:p>
      <w:pPr>
        <w:pStyle w:val="Heading2"/>
        <w:spacing w:before="80" w:after="160"/>
      </w:pPr>
      <w:r>
        <w:rPr>
          <w:b/>
        </w:rPr>
        <w:t>7.3 Why a Star Schema</w:t>
      </w:r>
    </w:p>
    <w:p>
      <w:pPr>
        <w:pStyle w:val="ListBullet"/>
        <w:spacing w:after="60"/>
        <w:ind w:left="360"/>
      </w:pPr>
      <w:r>
        <w:t>Dimensions provide reusable descriptive context.</w:t>
      </w:r>
    </w:p>
    <w:p>
      <w:pPr>
        <w:pStyle w:val="ListBullet"/>
        <w:spacing w:after="60"/>
        <w:ind w:left="360"/>
      </w:pPr>
      <w:r>
        <w:t>Facts store measurable business events.</w:t>
      </w:r>
    </w:p>
    <w:p>
      <w:pPr>
        <w:pStyle w:val="ListBullet"/>
        <w:spacing w:after="60"/>
        <w:ind w:left="360"/>
      </w:pPr>
      <w:r>
        <w:t>Relationships support consistent filtering and aggregation.</w:t>
      </w:r>
    </w:p>
    <w:p>
      <w:pPr>
        <w:pStyle w:val="ListBullet"/>
        <w:spacing w:after="60"/>
        <w:ind w:left="360"/>
      </w:pPr>
      <w:r>
        <w:t>The model is suitable for Power BI and semantic analytics.</w:t>
      </w:r>
    </w:p>
    <w:p>
      <w:pPr>
        <w:pStyle w:val="ListBullet"/>
        <w:spacing w:after="60"/>
        <w:ind w:left="360"/>
      </w:pPr>
      <w:r>
        <w:t>Business users can analyze claims by beneficiary, provider, date, diagnosis and status.</w:t>
      </w:r>
    </w:p>
    <w:p>
      <w:r>
        <w:br w:type="page"/>
      </w:r>
    </w:p>
    <w:p>
      <w:pPr>
        <w:pStyle w:val="Heading1"/>
        <w:spacing w:before="80" w:after="160"/>
      </w:pPr>
      <w:r>
        <w:rPr>
          <w:b/>
        </w:rPr>
        <w:t>8. Snowflake Analytical Serving Layer</w:t>
      </w:r>
    </w:p>
    <w:p>
      <w:pPr>
        <w:spacing w:line="276" w:lineRule="auto" w:after="120"/>
      </w:pPr>
      <w:r>
        <w:t>After Gold transformations are completed in Databricks, the analytical fact and dimension datasets are loaded into Snowflake. Snowflake becomes the governed analytical serving layer used by downstream consumers.</w:t>
      </w:r>
    </w:p>
    <w:p>
      <w:pPr>
        <w:pStyle w:val="Heading2"/>
        <w:spacing w:before="80" w:after="160"/>
      </w:pPr>
      <w:r>
        <w:rPr>
          <w:b/>
        </w:rPr>
        <w:t>8.1 Responsibilities</w:t>
      </w:r>
    </w:p>
    <w:p>
      <w:pPr>
        <w:pStyle w:val="ListBullet"/>
        <w:spacing w:after="60"/>
        <w:ind w:left="360"/>
      </w:pPr>
      <w:r>
        <w:t>Store the curated Gold fact and dimension datasets.</w:t>
      </w:r>
    </w:p>
    <w:p>
      <w:pPr>
        <w:pStyle w:val="ListBullet"/>
        <w:spacing w:after="60"/>
        <w:ind w:left="360"/>
      </w:pPr>
      <w:r>
        <w:t>Provide SQL-based analytical access.</w:t>
      </w:r>
    </w:p>
    <w:p>
      <w:pPr>
        <w:pStyle w:val="ListBullet"/>
        <w:spacing w:after="60"/>
        <w:ind w:left="360"/>
      </w:pPr>
      <w:r>
        <w:t>Serve Power BI reporting workloads.</w:t>
      </w:r>
    </w:p>
    <w:p>
      <w:pPr>
        <w:pStyle w:val="ListBullet"/>
        <w:spacing w:after="60"/>
        <w:ind w:left="360"/>
      </w:pPr>
      <w:r>
        <w:t>Execute SQL generated by Cortex Analyst.</w:t>
      </w:r>
    </w:p>
    <w:p>
      <w:pPr>
        <w:pStyle w:val="ListBullet"/>
        <w:spacing w:after="60"/>
        <w:ind w:left="360"/>
      </w:pPr>
      <w:r>
        <w:t>Store enterprise data-quality audit telemetry.</w:t>
      </w:r>
    </w:p>
    <w:p>
      <w:pPr>
        <w:pStyle w:val="ListBullet"/>
        <w:spacing w:after="60"/>
        <w:ind w:left="360"/>
      </w:pPr>
      <w:r>
        <w:t>Provide governed access through roles and permissions.</w:t>
      </w:r>
    </w:p>
    <w:p>
      <w:pPr>
        <w:pStyle w:val="Heading2"/>
        <w:spacing w:before="80" w:after="160"/>
      </w:pPr>
      <w:r>
        <w:rPr>
          <w:b/>
        </w:rPr>
        <w:t>8.2 Analytical Principle</w:t>
      </w:r>
    </w:p>
    <w:p>
      <w:pPr>
        <w:spacing w:line="276" w:lineRule="auto" w:after="120"/>
      </w:pPr>
      <w:r>
        <w:t>Power BI and natural-language analytics are intentionally connected to the same governed analytical foundation. This reduces the risk of having different definitions for the same business metric in different applications.</w:t>
      </w:r>
    </w:p>
    <w:p>
      <w:pPr>
        <w:pStyle w:val="Heading2"/>
        <w:spacing w:before="80" w:after="160"/>
      </w:pPr>
      <w:r>
        <w:rPr>
          <w:b/>
        </w:rPr>
        <w:t>8.3 Data Flow</w:t>
      </w:r>
    </w:p>
    <w:p>
      <w:pPr>
        <w:spacing w:line="276" w:lineRule="auto" w:after="120"/>
      </w:pPr>
      <w:r>
        <w:t>Databricks Gold → Snowflake Gold → Power BI / Cortex Analyst / SQL consumers</w:t>
      </w:r>
    </w:p>
    <w:p>
      <w:r>
        <w:br w:type="page"/>
      </w:r>
    </w:p>
    <w:p>
      <w:pPr>
        <w:pStyle w:val="Heading1"/>
        <w:spacing w:before="80" w:after="160"/>
      </w:pPr>
      <w:r>
        <w:rPr>
          <w:b/>
        </w:rPr>
        <w:t>9. Enterprise Data Quality Control Tower</w:t>
      </w:r>
    </w:p>
    <w:p>
      <w:pPr>
        <w:spacing w:line="276" w:lineRule="auto" w:after="120"/>
      </w:pPr>
      <w:r>
        <w:t>The Data Quality Control Tower provides an automated governance framework around the Medallion pipeline. It measures data health consistently and creates an auditable record of quality results.</w:t>
      </w:r>
    </w:p>
    <w:p>
      <w:pPr>
        <w:pStyle w:val="Heading2"/>
        <w:spacing w:before="80" w:after="160"/>
      </w:pPr>
      <w:r>
        <w:rPr>
          <w:b/>
        </w:rPr>
        <w:t>9.1 Operating Model</w:t>
      </w:r>
    </w:p>
    <w:p>
      <w:pPr>
        <w:pStyle w:val="ListNumber"/>
        <w:spacing w:after="60"/>
      </w:pPr>
      <w:r>
        <w:t>Databricks executes quality rules while processing datasets.</w:t>
      </w:r>
    </w:p>
    <w:p>
      <w:pPr>
        <w:pStyle w:val="ListNumber"/>
        <w:spacing w:after="60"/>
      </w:pPr>
      <w:r>
        <w:t>Critical attributes such as identifiers and financial fields receive stronger validation.</w:t>
      </w:r>
    </w:p>
    <w:p>
      <w:pPr>
        <w:pStyle w:val="ListNumber"/>
        <w:spacing w:after="60"/>
      </w:pPr>
      <w:r>
        <w:t>Descriptive attributes receive profiling and conformance checks.</w:t>
      </w:r>
    </w:p>
    <w:p>
      <w:pPr>
        <w:pStyle w:val="ListNumber"/>
        <w:spacing w:after="60"/>
      </w:pPr>
      <w:r>
        <w:t>Audit metrics are persisted in Snowflake.</w:t>
      </w:r>
    </w:p>
    <w:p>
      <w:pPr>
        <w:pStyle w:val="ListNumber"/>
        <w:spacing w:after="60"/>
      </w:pPr>
      <w:r>
        <w:t>Quality results can be consumed through a dashboard or operational review.</w:t>
      </w:r>
    </w:p>
    <w:p>
      <w:pPr>
        <w:pStyle w:val="Heading2"/>
        <w:spacing w:before="80" w:after="160"/>
      </w:pPr>
      <w:r>
        <w:rPr>
          <w:b/>
        </w:rPr>
        <w:t>9.2 Four-Dimensional Scoring</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D9EAF7"/>
            <w:vAlign w:val="center"/>
            <w:tcMar>
              <w:top w:w="80" w:type="dxa"/>
              <w:start w:w="100" w:type="dxa"/>
              <w:bottom w:w="80" w:type="dxa"/>
              <w:end w:w="100" w:type="dxa"/>
            </w:tcMar>
          </w:tcPr>
          <w:p>
            <w:r>
              <w:rPr>
                <w:b/>
                <w:sz w:val="18"/>
              </w:rPr>
              <w:t>Dimension</w:t>
            </w:r>
          </w:p>
        </w:tc>
        <w:tc>
          <w:tcPr>
            <w:tcW w:type="dxa" w:w="3009"/>
            <w:shd w:fill="D9EAF7"/>
            <w:vAlign w:val="center"/>
            <w:tcMar>
              <w:top w:w="80" w:type="dxa"/>
              <w:start w:w="100" w:type="dxa"/>
              <w:bottom w:w="80" w:type="dxa"/>
              <w:end w:w="100" w:type="dxa"/>
            </w:tcMar>
          </w:tcPr>
          <w:p>
            <w:r>
              <w:rPr>
                <w:b/>
                <w:sz w:val="18"/>
              </w:rPr>
              <w:t>Meaning</w:t>
            </w:r>
          </w:p>
        </w:tc>
        <w:tc>
          <w:tcPr>
            <w:tcW w:type="dxa" w:w="3009"/>
            <w:shd w:fill="D9EAF7"/>
            <w:vAlign w:val="center"/>
            <w:tcMar>
              <w:top w:w="80" w:type="dxa"/>
              <w:start w:w="100" w:type="dxa"/>
              <w:bottom w:w="80" w:type="dxa"/>
              <w:end w:w="100" w:type="dxa"/>
            </w:tcMar>
          </w:tcPr>
          <w:p>
            <w:r>
              <w:rPr>
                <w:b/>
                <w:sz w:val="18"/>
              </w:rPr>
              <w:t>Formula</w:t>
            </w:r>
          </w:p>
        </w:tc>
      </w:tr>
      <w:tr>
        <w:tc>
          <w:tcPr>
            <w:tcW w:type="dxa" w:w="3009"/>
            <w:vAlign w:val="top"/>
            <w:tcMar>
              <w:top w:w="80" w:type="dxa"/>
              <w:start w:w="100" w:type="dxa"/>
              <w:bottom w:w="80" w:type="dxa"/>
              <w:end w:w="100" w:type="dxa"/>
            </w:tcMar>
          </w:tcPr>
          <w:p>
            <w:pPr>
              <w:spacing w:after="0"/>
            </w:pPr>
            <w:r>
              <w:rPr>
                <w:sz w:val="17"/>
              </w:rPr>
              <w:t>Completeness</w:t>
            </w:r>
          </w:p>
        </w:tc>
        <w:tc>
          <w:tcPr>
            <w:tcW w:type="dxa" w:w="3009"/>
            <w:vAlign w:val="top"/>
            <w:tcMar>
              <w:top w:w="80" w:type="dxa"/>
              <w:start w:w="100" w:type="dxa"/>
              <w:bottom w:w="80" w:type="dxa"/>
              <w:end w:w="100" w:type="dxa"/>
            </w:tcMar>
          </w:tcPr>
          <w:p>
            <w:pPr>
              <w:spacing w:after="0"/>
            </w:pPr>
            <w:r>
              <w:rPr>
                <w:sz w:val="17"/>
              </w:rPr>
              <w:t>Measures presence of data.</w:t>
            </w:r>
          </w:p>
        </w:tc>
        <w:tc>
          <w:tcPr>
            <w:tcW w:type="dxa" w:w="3009"/>
            <w:vAlign w:val="top"/>
            <w:tcMar>
              <w:top w:w="80" w:type="dxa"/>
              <w:start w:w="100" w:type="dxa"/>
              <w:bottom w:w="80" w:type="dxa"/>
              <w:end w:w="100" w:type="dxa"/>
            </w:tcMar>
          </w:tcPr>
          <w:p>
            <w:pPr>
              <w:spacing w:after="0"/>
            </w:pPr>
            <w:r>
              <w:rPr>
                <w:sz w:val="17"/>
              </w:rPr>
              <w:t>(Total Rows − Null Count) / Total Rows × 100</w:t>
            </w:r>
          </w:p>
        </w:tc>
      </w:tr>
      <w:tr>
        <w:tc>
          <w:tcPr>
            <w:tcW w:type="dxa" w:w="3009"/>
            <w:vAlign w:val="top"/>
            <w:tcMar>
              <w:top w:w="80" w:type="dxa"/>
              <w:start w:w="100" w:type="dxa"/>
              <w:bottom w:w="80" w:type="dxa"/>
              <w:end w:w="100" w:type="dxa"/>
            </w:tcMar>
          </w:tcPr>
          <w:p>
            <w:pPr>
              <w:spacing w:after="0"/>
            </w:pPr>
            <w:r>
              <w:rPr>
                <w:sz w:val="17"/>
              </w:rPr>
              <w:t>Uniqueness</w:t>
            </w:r>
          </w:p>
        </w:tc>
        <w:tc>
          <w:tcPr>
            <w:tcW w:type="dxa" w:w="3009"/>
            <w:vAlign w:val="top"/>
            <w:tcMar>
              <w:top w:w="80" w:type="dxa"/>
              <w:start w:w="100" w:type="dxa"/>
              <w:bottom w:w="80" w:type="dxa"/>
              <w:end w:w="100" w:type="dxa"/>
            </w:tcMar>
          </w:tcPr>
          <w:p>
            <w:pPr>
              <w:spacing w:after="0"/>
            </w:pPr>
            <w:r>
              <w:rPr>
                <w:sz w:val="17"/>
              </w:rPr>
              <w:t>Measures distinct-value density.</w:t>
            </w:r>
          </w:p>
        </w:tc>
        <w:tc>
          <w:tcPr>
            <w:tcW w:type="dxa" w:w="3009"/>
            <w:vAlign w:val="top"/>
            <w:tcMar>
              <w:top w:w="80" w:type="dxa"/>
              <w:start w:w="100" w:type="dxa"/>
              <w:bottom w:w="80" w:type="dxa"/>
              <w:end w:w="100" w:type="dxa"/>
            </w:tcMar>
          </w:tcPr>
          <w:p>
            <w:pPr>
              <w:spacing w:after="0"/>
            </w:pPr>
            <w:r>
              <w:rPr>
                <w:sz w:val="17"/>
              </w:rPr>
              <w:t>Unique Count / Total Rows × 100</w:t>
            </w:r>
          </w:p>
        </w:tc>
      </w:tr>
      <w:tr>
        <w:tc>
          <w:tcPr>
            <w:tcW w:type="dxa" w:w="3009"/>
            <w:vAlign w:val="top"/>
            <w:tcMar>
              <w:top w:w="80" w:type="dxa"/>
              <w:start w:w="100" w:type="dxa"/>
              <w:bottom w:w="80" w:type="dxa"/>
              <w:end w:w="100" w:type="dxa"/>
            </w:tcMar>
          </w:tcPr>
          <w:p>
            <w:pPr>
              <w:spacing w:after="0"/>
            </w:pPr>
            <w:r>
              <w:rPr>
                <w:sz w:val="17"/>
              </w:rPr>
              <w:t>Yield</w:t>
            </w:r>
          </w:p>
        </w:tc>
        <w:tc>
          <w:tcPr>
            <w:tcW w:type="dxa" w:w="3009"/>
            <w:vAlign w:val="top"/>
            <w:tcMar>
              <w:top w:w="80" w:type="dxa"/>
              <w:start w:w="100" w:type="dxa"/>
              <w:bottom w:w="80" w:type="dxa"/>
              <w:end w:w="100" w:type="dxa"/>
            </w:tcMar>
          </w:tcPr>
          <w:p>
            <w:pPr>
              <w:spacing w:after="0"/>
            </w:pPr>
            <w:r>
              <w:rPr>
                <w:sz w:val="17"/>
              </w:rPr>
              <w:t>Measures records passing schema/format checks.</w:t>
            </w:r>
          </w:p>
        </w:tc>
        <w:tc>
          <w:tcPr>
            <w:tcW w:type="dxa" w:w="3009"/>
            <w:vAlign w:val="top"/>
            <w:tcMar>
              <w:top w:w="80" w:type="dxa"/>
              <w:start w:w="100" w:type="dxa"/>
              <w:bottom w:w="80" w:type="dxa"/>
              <w:end w:w="100" w:type="dxa"/>
            </w:tcMar>
          </w:tcPr>
          <w:p>
            <w:pPr>
              <w:spacing w:after="0"/>
            </w:pPr>
            <w:r>
              <w:rPr>
                <w:sz w:val="17"/>
              </w:rPr>
              <w:t>Valid Count / Total Rows × 100</w:t>
            </w:r>
          </w:p>
        </w:tc>
      </w:tr>
      <w:tr>
        <w:tc>
          <w:tcPr>
            <w:tcW w:type="dxa" w:w="3009"/>
            <w:vAlign w:val="top"/>
            <w:tcMar>
              <w:top w:w="80" w:type="dxa"/>
              <w:start w:w="100" w:type="dxa"/>
              <w:bottom w:w="80" w:type="dxa"/>
              <w:end w:w="100" w:type="dxa"/>
            </w:tcMar>
          </w:tcPr>
          <w:p>
            <w:pPr>
              <w:spacing w:after="0"/>
            </w:pPr>
            <w:r>
              <w:rPr>
                <w:sz w:val="17"/>
              </w:rPr>
              <w:t>Accuracy</w:t>
            </w:r>
          </w:p>
        </w:tc>
        <w:tc>
          <w:tcPr>
            <w:tcW w:type="dxa" w:w="3009"/>
            <w:vAlign w:val="top"/>
            <w:tcMar>
              <w:top w:w="80" w:type="dxa"/>
              <w:start w:w="100" w:type="dxa"/>
              <w:bottom w:w="80" w:type="dxa"/>
              <w:end w:w="100" w:type="dxa"/>
            </w:tcMar>
          </w:tcPr>
          <w:p>
            <w:pPr>
              <w:spacing w:after="0"/>
            </w:pPr>
            <w:r>
              <w:rPr>
                <w:sz w:val="17"/>
              </w:rPr>
              <w:t>Measures conformance to business rules.</w:t>
            </w:r>
          </w:p>
        </w:tc>
        <w:tc>
          <w:tcPr>
            <w:tcW w:type="dxa" w:w="3009"/>
            <w:vAlign w:val="top"/>
            <w:tcMar>
              <w:top w:w="80" w:type="dxa"/>
              <w:start w:w="100" w:type="dxa"/>
              <w:bottom w:w="80" w:type="dxa"/>
              <w:end w:w="100" w:type="dxa"/>
            </w:tcMar>
          </w:tcPr>
          <w:p>
            <w:pPr>
              <w:spacing w:after="0"/>
            </w:pPr>
            <w:r>
              <w:rPr>
                <w:sz w:val="17"/>
              </w:rPr>
              <w:t>(Total Rows − Anomaly Count) / Total Rows × 100</w:t>
            </w:r>
          </w:p>
        </w:tc>
      </w:tr>
    </w:tbl>
    <w:p>
      <w:pPr>
        <w:spacing w:after="20"/>
      </w:pPr>
    </w:p>
    <w:p>
      <w:pPr>
        <w:spacing w:line="276" w:lineRule="auto" w:after="120"/>
      </w:pPr>
      <w:r>
        <w:t>Composite Score = (Completeness + Uniqueness + Yield + Accuracy) / 4</w:t>
      </w:r>
    </w:p>
    <w:p>
      <w:pPr>
        <w:pStyle w:val="Heading2"/>
        <w:spacing w:before="80" w:after="160"/>
      </w:pPr>
      <w:r>
        <w:rPr>
          <w:b/>
        </w:rPr>
        <w:t>9.3 Governance Bands</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D9EAF7"/>
            <w:vAlign w:val="center"/>
            <w:tcMar>
              <w:top w:w="80" w:type="dxa"/>
              <w:start w:w="100" w:type="dxa"/>
              <w:bottom w:w="80" w:type="dxa"/>
              <w:end w:w="100" w:type="dxa"/>
            </w:tcMar>
          </w:tcPr>
          <w:p>
            <w:r>
              <w:rPr>
                <w:b/>
                <w:sz w:val="18"/>
              </w:rPr>
              <w:t>Band</w:t>
            </w:r>
          </w:p>
        </w:tc>
        <w:tc>
          <w:tcPr>
            <w:tcW w:type="dxa" w:w="3009"/>
            <w:shd w:fill="D9EAF7"/>
            <w:vAlign w:val="center"/>
            <w:tcMar>
              <w:top w:w="80" w:type="dxa"/>
              <w:start w:w="100" w:type="dxa"/>
              <w:bottom w:w="80" w:type="dxa"/>
              <w:end w:w="100" w:type="dxa"/>
            </w:tcMar>
          </w:tcPr>
          <w:p>
            <w:r>
              <w:rPr>
                <w:b/>
                <w:sz w:val="18"/>
              </w:rPr>
              <w:t>Score</w:t>
            </w:r>
          </w:p>
        </w:tc>
        <w:tc>
          <w:tcPr>
            <w:tcW w:type="dxa" w:w="3009"/>
            <w:shd w:fill="D9EAF7"/>
            <w:vAlign w:val="center"/>
            <w:tcMar>
              <w:top w:w="80" w:type="dxa"/>
              <w:start w:w="100" w:type="dxa"/>
              <w:bottom w:w="80" w:type="dxa"/>
              <w:end w:w="100" w:type="dxa"/>
            </w:tcMar>
          </w:tcPr>
          <w:p>
            <w:r>
              <w:rPr>
                <w:b/>
                <w:sz w:val="18"/>
              </w:rPr>
              <w:t>Interpretation</w:t>
            </w:r>
          </w:p>
        </w:tc>
      </w:tr>
      <w:tr>
        <w:tc>
          <w:tcPr>
            <w:tcW w:type="dxa" w:w="3009"/>
            <w:vAlign w:val="top"/>
            <w:tcMar>
              <w:top w:w="80" w:type="dxa"/>
              <w:start w:w="100" w:type="dxa"/>
              <w:bottom w:w="80" w:type="dxa"/>
              <w:end w:w="100" w:type="dxa"/>
            </w:tcMar>
          </w:tcPr>
          <w:p>
            <w:pPr>
              <w:spacing w:after="0"/>
            </w:pPr>
            <w:r>
              <w:rPr>
                <w:sz w:val="17"/>
              </w:rPr>
              <w:t>Critical Action Required</w:t>
            </w:r>
          </w:p>
        </w:tc>
        <w:tc>
          <w:tcPr>
            <w:tcW w:type="dxa" w:w="3009"/>
            <w:vAlign w:val="top"/>
            <w:tcMar>
              <w:top w:w="80" w:type="dxa"/>
              <w:start w:w="100" w:type="dxa"/>
              <w:bottom w:w="80" w:type="dxa"/>
              <w:end w:w="100" w:type="dxa"/>
            </w:tcMar>
          </w:tcPr>
          <w:p>
            <w:pPr>
              <w:spacing w:after="0"/>
            </w:pPr>
            <w:r>
              <w:rPr>
                <w:sz w:val="17"/>
              </w:rPr>
              <w:t>0.00%–77.76%</w:t>
            </w:r>
          </w:p>
        </w:tc>
        <w:tc>
          <w:tcPr>
            <w:tcW w:type="dxa" w:w="3009"/>
            <w:vAlign w:val="top"/>
            <w:tcMar>
              <w:top w:w="80" w:type="dxa"/>
              <w:start w:w="100" w:type="dxa"/>
              <w:bottom w:w="80" w:type="dxa"/>
              <w:end w:w="100" w:type="dxa"/>
            </w:tcMar>
          </w:tcPr>
          <w:p>
            <w:pPr>
              <w:spacing w:after="0"/>
            </w:pPr>
            <w:r>
              <w:rPr>
                <w:sz w:val="17"/>
              </w:rPr>
              <w:t>Severe degradation requiring engineering review.</w:t>
            </w:r>
          </w:p>
        </w:tc>
      </w:tr>
      <w:tr>
        <w:tc>
          <w:tcPr>
            <w:tcW w:type="dxa" w:w="3009"/>
            <w:vAlign w:val="top"/>
            <w:tcMar>
              <w:top w:w="80" w:type="dxa"/>
              <w:start w:w="100" w:type="dxa"/>
              <w:bottom w:w="80" w:type="dxa"/>
              <w:end w:w="100" w:type="dxa"/>
            </w:tcMar>
          </w:tcPr>
          <w:p>
            <w:pPr>
              <w:spacing w:after="0"/>
            </w:pPr>
            <w:r>
              <w:rPr>
                <w:sz w:val="17"/>
              </w:rPr>
              <w:t>Acceptable Baseline</w:t>
            </w:r>
          </w:p>
        </w:tc>
        <w:tc>
          <w:tcPr>
            <w:tcW w:type="dxa" w:w="3009"/>
            <w:vAlign w:val="top"/>
            <w:tcMar>
              <w:top w:w="80" w:type="dxa"/>
              <w:start w:w="100" w:type="dxa"/>
              <w:bottom w:w="80" w:type="dxa"/>
              <w:end w:w="100" w:type="dxa"/>
            </w:tcMar>
          </w:tcPr>
          <w:p>
            <w:pPr>
              <w:spacing w:after="0"/>
            </w:pPr>
            <w:r>
              <w:rPr>
                <w:sz w:val="17"/>
              </w:rPr>
              <w:t>77.77%–85.00%</w:t>
            </w:r>
          </w:p>
        </w:tc>
        <w:tc>
          <w:tcPr>
            <w:tcW w:type="dxa" w:w="3009"/>
            <w:vAlign w:val="top"/>
            <w:tcMar>
              <w:top w:w="80" w:type="dxa"/>
              <w:start w:w="100" w:type="dxa"/>
              <w:bottom w:w="80" w:type="dxa"/>
              <w:end w:w="100" w:type="dxa"/>
            </w:tcMar>
          </w:tcPr>
          <w:p>
            <w:pPr>
              <w:spacing w:after="0"/>
            </w:pPr>
            <w:r>
              <w:rPr>
                <w:sz w:val="17"/>
              </w:rPr>
              <w:t>Operationally acceptable with monitored limitations.</w:t>
            </w:r>
          </w:p>
        </w:tc>
      </w:tr>
      <w:tr>
        <w:tc>
          <w:tcPr>
            <w:tcW w:type="dxa" w:w="3009"/>
            <w:vAlign w:val="top"/>
            <w:tcMar>
              <w:top w:w="80" w:type="dxa"/>
              <w:start w:w="100" w:type="dxa"/>
              <w:bottom w:w="80" w:type="dxa"/>
              <w:end w:w="100" w:type="dxa"/>
            </w:tcMar>
          </w:tcPr>
          <w:p>
            <w:pPr>
              <w:spacing w:after="0"/>
            </w:pPr>
            <w:r>
              <w:rPr>
                <w:sz w:val="17"/>
              </w:rPr>
              <w:t>Optimal / Analytics-Ready</w:t>
            </w:r>
          </w:p>
        </w:tc>
        <w:tc>
          <w:tcPr>
            <w:tcW w:type="dxa" w:w="3009"/>
            <w:vAlign w:val="top"/>
            <w:tcMar>
              <w:top w:w="80" w:type="dxa"/>
              <w:start w:w="100" w:type="dxa"/>
              <w:bottom w:w="80" w:type="dxa"/>
              <w:end w:w="100" w:type="dxa"/>
            </w:tcMar>
          </w:tcPr>
          <w:p>
            <w:pPr>
              <w:spacing w:after="0"/>
            </w:pPr>
            <w:r>
              <w:rPr>
                <w:sz w:val="17"/>
              </w:rPr>
              <w:t>85.01%–100.00%</w:t>
            </w:r>
          </w:p>
        </w:tc>
        <w:tc>
          <w:tcPr>
            <w:tcW w:type="dxa" w:w="3009"/>
            <w:vAlign w:val="top"/>
            <w:tcMar>
              <w:top w:w="80" w:type="dxa"/>
              <w:start w:w="100" w:type="dxa"/>
              <w:bottom w:w="80" w:type="dxa"/>
              <w:end w:w="100" w:type="dxa"/>
            </w:tcMar>
          </w:tcPr>
          <w:p>
            <w:pPr>
              <w:spacing w:after="0"/>
            </w:pPr>
            <w:r>
              <w:rPr>
                <w:sz w:val="17"/>
              </w:rPr>
              <w:t>Strong integrity for analytics consumption.</w:t>
            </w:r>
          </w:p>
        </w:tc>
      </w:tr>
    </w:tbl>
    <w:p>
      <w:pPr>
        <w:spacing w:after="20"/>
      </w:pPr>
    </w:p>
    <w:p>
      <w:pPr>
        <w:pStyle w:val="Heading2"/>
        <w:spacing w:before="80" w:after="160"/>
      </w:pPr>
      <w:r>
        <w:rPr>
          <w:b/>
        </w:rPr>
        <w:t>9.4 Audit Repository</w:t>
      </w:r>
    </w:p>
    <w:p>
      <w:pPr>
        <w:spacing w:line="276" w:lineRule="auto" w:after="120"/>
      </w:pPr>
      <w:r>
        <w:t>The audit repository is designed to capture layer, dataset, column, criticality, row counts, null counts, unique counts, valid counts, anomaly counts, individual quality scores, composite score and audit timestamp.</w:t>
      </w:r>
    </w:p>
    <w:p>
      <w:r>
        <w:br w:type="page"/>
      </w:r>
    </w:p>
    <w:p>
      <w:pPr>
        <w:pStyle w:val="Heading1"/>
        <w:spacing w:before="80" w:after="160"/>
      </w:pPr>
      <w:r>
        <w:rPr>
          <w:b/>
        </w:rPr>
        <w:t>10. Power BI Business Intelligence</w:t>
      </w:r>
    </w:p>
    <w:p>
      <w:pPr>
        <w:spacing w:line="276" w:lineRule="auto" w:after="120"/>
      </w:pPr>
      <w:r>
        <w:t>Power BI provides the primary visual analytics experience. It consumes the governed Gold data served through Snowflake and presents recurring KPIs, trends, comparisons and filters.</w:t>
      </w:r>
    </w:p>
    <w:p>
      <w:pPr>
        <w:pStyle w:val="Heading2"/>
        <w:spacing w:before="80" w:after="160"/>
      </w:pPr>
      <w:r>
        <w:rPr>
          <w:b/>
        </w:rPr>
        <w:t>10.1 Dashboard Capabilities</w:t>
      </w:r>
    </w:p>
    <w:p>
      <w:pPr>
        <w:pStyle w:val="ListBullet"/>
        <w:spacing w:after="60"/>
        <w:ind w:left="360"/>
      </w:pPr>
      <w:r>
        <w:t>Executive KPI cards.</w:t>
      </w:r>
    </w:p>
    <w:p>
      <w:pPr>
        <w:pStyle w:val="ListBullet"/>
        <w:spacing w:after="60"/>
        <w:ind w:left="360"/>
      </w:pPr>
      <w:r>
        <w:t>Claim volume and financial analysis.</w:t>
      </w:r>
    </w:p>
    <w:p>
      <w:pPr>
        <w:pStyle w:val="ListBullet"/>
        <w:spacing w:after="60"/>
        <w:ind w:left="360"/>
      </w:pPr>
      <w:r>
        <w:t>Status and trend analysis.</w:t>
      </w:r>
    </w:p>
    <w:p>
      <w:pPr>
        <w:pStyle w:val="ListBullet"/>
        <w:spacing w:after="60"/>
        <w:ind w:left="360"/>
      </w:pPr>
      <w:r>
        <w:t>Provider and beneficiary analysis.</w:t>
      </w:r>
    </w:p>
    <w:p>
      <w:pPr>
        <w:pStyle w:val="ListBullet"/>
        <w:spacing w:after="60"/>
        <w:ind w:left="360"/>
      </w:pPr>
      <w:r>
        <w:t>Time-based analysis by year and other date attributes.</w:t>
      </w:r>
    </w:p>
    <w:p>
      <w:pPr>
        <w:pStyle w:val="ListBullet"/>
        <w:spacing w:after="60"/>
        <w:ind w:left="360"/>
      </w:pPr>
      <w:r>
        <w:t>Interactive slicers for business dimensions.</w:t>
      </w:r>
    </w:p>
    <w:p>
      <w:pPr>
        <w:pStyle w:val="ListBullet"/>
        <w:spacing w:after="60"/>
        <w:ind w:left="360"/>
      </w:pPr>
      <w:r>
        <w:t>Tables and charts for detailed investigation.</w:t>
      </w:r>
    </w:p>
    <w:p>
      <w:pPr>
        <w:pStyle w:val="Heading2"/>
        <w:spacing w:before="80" w:after="160"/>
      </w:pPr>
      <w:r>
        <w:rPr>
          <w:b/>
        </w:rPr>
        <w:t>10.2 Data Model Principle</w:t>
      </w:r>
    </w:p>
    <w:p>
      <w:pPr>
        <w:spacing w:line="276" w:lineRule="auto" w:after="120"/>
      </w:pPr>
      <w:r>
        <w:t>Measures should be calculated from trusted Gold datasets rather than directly from raw source data. This improves consistency, performance, maintainability and filter behavior.</w:t>
      </w:r>
    </w:p>
    <w:p>
      <w:pPr>
        <w:pStyle w:val="Heading2"/>
        <w:spacing w:before="80" w:after="160"/>
      </w:pPr>
      <w:r>
        <w:rPr>
          <w:b/>
        </w:rPr>
        <w:t>10.3 User Experience</w:t>
      </w:r>
    </w:p>
    <w:p>
      <w:pPr>
        <w:spacing w:line="276" w:lineRule="auto" w:after="120"/>
      </w:pPr>
      <w:r>
        <w:t>The dashboard is intended for recurring reporting and visual exploration. Users can select filters such as year, status, provider-related attributes or beneficiary attributes and observe the related KPIs and visuals update according to the analytical model.</w:t>
      </w:r>
    </w:p>
    <w:p>
      <w:r>
        <w:br w:type="page"/>
      </w:r>
    </w:p>
    <w:p>
      <w:pPr>
        <w:pStyle w:val="Heading1"/>
        <w:spacing w:before="80" w:after="160"/>
      </w:pPr>
      <w:r>
        <w:rPr>
          <w:b/>
        </w:rPr>
        <w:t>11. Natural Language to SQL and AI Mode</w:t>
      </w:r>
    </w:p>
    <w:p>
      <w:pPr>
        <w:spacing w:line="276" w:lineRule="auto" w:after="120"/>
      </w:pPr>
      <w:r>
        <w:t>The project extends conventional BI with a natural-language analytical experience. Snowflake Cortex Analyst interprets a business question using a healthcare semantic model and generates SQL against the governed analytical data.</w:t>
      </w:r>
    </w:p>
    <w:p>
      <w:pPr>
        <w:pStyle w:val="Heading2"/>
        <w:spacing w:before="80" w:after="160"/>
      </w:pPr>
      <w:r>
        <w:rPr>
          <w:b/>
        </w:rPr>
        <w:t>11.1 High-Level Flow</w:t>
      </w:r>
    </w:p>
    <w:p>
      <w:pPr>
        <w:pStyle w:val="ListNumber"/>
        <w:spacing w:after="60"/>
      </w:pPr>
      <w:r>
        <w:t>User asks a question in natural language.</w:t>
      </w:r>
    </w:p>
    <w:p>
      <w:pPr>
        <w:pStyle w:val="ListNumber"/>
        <w:spacing w:after="60"/>
      </w:pPr>
      <w:r>
        <w:t>Streamlit sends the question and valid conversation history.</w:t>
      </w:r>
    </w:p>
    <w:p>
      <w:pPr>
        <w:pStyle w:val="ListNumber"/>
        <w:spacing w:after="60"/>
      </w:pPr>
      <w:r>
        <w:t>Cortex Analyst interprets the business intent.</w:t>
      </w:r>
    </w:p>
    <w:p>
      <w:pPr>
        <w:pStyle w:val="ListNumber"/>
        <w:spacing w:after="60"/>
      </w:pPr>
      <w:r>
        <w:t>The semantic model supplies table, column, measure and relationship context.</w:t>
      </w:r>
    </w:p>
    <w:p>
      <w:pPr>
        <w:pStyle w:val="ListNumber"/>
        <w:spacing w:after="60"/>
      </w:pPr>
      <w:r>
        <w:t>Cortex Analyst generates SQL.</w:t>
      </w:r>
    </w:p>
    <w:p>
      <w:pPr>
        <w:pStyle w:val="ListNumber"/>
        <w:spacing w:after="60"/>
      </w:pPr>
      <w:r>
        <w:t>Snowflake executes the SQL against governed Gold data.</w:t>
      </w:r>
    </w:p>
    <w:p>
      <w:pPr>
        <w:pStyle w:val="ListNumber"/>
        <w:spacing w:after="60"/>
      </w:pPr>
      <w:r>
        <w:t>The result is returned to the application.</w:t>
      </w:r>
    </w:p>
    <w:p>
      <w:pPr>
        <w:pStyle w:val="ListNumber"/>
        <w:spacing w:after="60"/>
      </w:pPr>
      <w:r>
        <w:t>The application displays the result and, where suitable, a chart and generated SQL.</w:t>
      </w:r>
    </w:p>
    <w:p>
      <w:pPr>
        <w:pStyle w:val="Heading2"/>
        <w:spacing w:before="80" w:after="160"/>
      </w:pPr>
      <w:r>
        <w:rPr>
          <w:b/>
        </w:rPr>
        <w:t>11.2 Why the Semantic Model Matters</w:t>
      </w:r>
    </w:p>
    <w:p>
      <w:pPr>
        <w:spacing w:line="276" w:lineRule="auto" w:after="120"/>
      </w:pPr>
      <w:r>
        <w:t>Technical database names do not always match business language. A semantic model provides business descriptions, relationships, measures and terminology so that questions such as “What is the total claim amount?” can be mapped to the correct analytical fields.</w:t>
      </w:r>
    </w:p>
    <w:p>
      <w:pPr>
        <w:pStyle w:val="Heading2"/>
        <w:spacing w:before="80" w:after="160"/>
      </w:pPr>
      <w:r>
        <w:rPr>
          <w:b/>
        </w:rPr>
        <w:t>11.3 Multi-Turn Analytics</w:t>
      </w:r>
    </w:p>
    <w:p>
      <w:pPr>
        <w:spacing w:line="276" w:lineRule="auto" w:after="120"/>
      </w:pPr>
      <w:r>
        <w:t>The application maintains conversation history so users can ask follow-up questions. The conversation is maintained in an alternating user → analyst → user → analyst sequence before the next request is sent to Cortex Analyst.</w:t>
      </w:r>
    </w:p>
    <w:p>
      <w:r>
        <w:br w:type="page"/>
      </w:r>
    </w:p>
    <w:p>
      <w:pPr>
        <w:pStyle w:val="Heading1"/>
        <w:spacing w:before="80" w:after="160"/>
      </w:pPr>
      <w:r>
        <w:rPr>
          <w:b/>
        </w:rPr>
        <w:t>12. Streamlit Conversational Application</w:t>
      </w:r>
    </w:p>
    <w:p>
      <w:pPr>
        <w:spacing w:line="276" w:lineRule="auto" w:after="120"/>
      </w:pPr>
      <w:r>
        <w:t>The Streamlit application provides the user interface for conversational analytics. It is integrated with the Snowflake environment and presents natural-language questions, responses and analytical results.</w:t>
      </w:r>
    </w:p>
    <w:p>
      <w:pPr>
        <w:pStyle w:val="Heading2"/>
        <w:spacing w:before="80" w:after="160"/>
      </w:pPr>
      <w:r>
        <w:rPr>
          <w:b/>
        </w:rPr>
        <w:t>12.1 Main Components</w:t>
      </w:r>
    </w:p>
    <w:tbl>
      <w:tblPr>
        <w:tblStyle w:val="TableGrid"/>
        <w:tblW w:type="auto" w:w="0"/>
        <w:jc w:val="center"/>
        <w:tblLook w:firstColumn="1" w:firstRow="1" w:lastColumn="0" w:lastRow="0" w:noHBand="0" w:noVBand="1" w:val="04A0"/>
      </w:tblPr>
      <w:tblGrid>
        <w:gridCol w:w="4513"/>
        <w:gridCol w:w="4513"/>
      </w:tblGrid>
      <w:tr>
        <w:tc>
          <w:tcPr>
            <w:tcW w:type="dxa" w:w="4513"/>
            <w:shd w:fill="D9EAF7"/>
            <w:vAlign w:val="center"/>
            <w:tcMar>
              <w:top w:w="80" w:type="dxa"/>
              <w:start w:w="100" w:type="dxa"/>
              <w:bottom w:w="80" w:type="dxa"/>
              <w:end w:w="100" w:type="dxa"/>
            </w:tcMar>
          </w:tcPr>
          <w:p>
            <w:r>
              <w:rPr>
                <w:b/>
                <w:sz w:val="18"/>
              </w:rPr>
              <w:t>Component</w:t>
            </w:r>
          </w:p>
        </w:tc>
        <w:tc>
          <w:tcPr>
            <w:tcW w:type="dxa" w:w="4513"/>
            <w:shd w:fill="D9EAF7"/>
            <w:vAlign w:val="center"/>
            <w:tcMar>
              <w:top w:w="80" w:type="dxa"/>
              <w:start w:w="100" w:type="dxa"/>
              <w:bottom w:w="80" w:type="dxa"/>
              <w:end w:w="100" w:type="dxa"/>
            </w:tcMar>
          </w:tcPr>
          <w:p>
            <w:r>
              <w:rPr>
                <w:b/>
                <w:sz w:val="18"/>
              </w:rPr>
              <w:t>Purpose</w:t>
            </w:r>
          </w:p>
        </w:tc>
      </w:tr>
      <w:tr>
        <w:tc>
          <w:tcPr>
            <w:tcW w:type="dxa" w:w="4513"/>
            <w:vAlign w:val="top"/>
            <w:tcMar>
              <w:top w:w="80" w:type="dxa"/>
              <w:start w:w="100" w:type="dxa"/>
              <w:bottom w:w="80" w:type="dxa"/>
              <w:end w:w="100" w:type="dxa"/>
            </w:tcMar>
          </w:tcPr>
          <w:p>
            <w:pPr>
              <w:spacing w:after="0"/>
            </w:pPr>
            <w:r>
              <w:rPr>
                <w:sz w:val="17"/>
              </w:rPr>
              <w:t>Chat interface</w:t>
            </w:r>
          </w:p>
        </w:tc>
        <w:tc>
          <w:tcPr>
            <w:tcW w:type="dxa" w:w="4513"/>
            <w:vAlign w:val="top"/>
            <w:tcMar>
              <w:top w:w="80" w:type="dxa"/>
              <w:start w:w="100" w:type="dxa"/>
              <w:bottom w:w="80" w:type="dxa"/>
              <w:end w:w="100" w:type="dxa"/>
            </w:tcMar>
          </w:tcPr>
          <w:p>
            <w:pPr>
              <w:spacing w:after="0"/>
            </w:pPr>
            <w:r>
              <w:rPr>
                <w:sz w:val="17"/>
              </w:rPr>
              <w:t>Accept business questions in natural language.</w:t>
            </w:r>
          </w:p>
        </w:tc>
      </w:tr>
      <w:tr>
        <w:tc>
          <w:tcPr>
            <w:tcW w:type="dxa" w:w="4513"/>
            <w:vAlign w:val="top"/>
            <w:tcMar>
              <w:top w:w="80" w:type="dxa"/>
              <w:start w:w="100" w:type="dxa"/>
              <w:bottom w:w="80" w:type="dxa"/>
              <w:end w:w="100" w:type="dxa"/>
            </w:tcMar>
          </w:tcPr>
          <w:p>
            <w:pPr>
              <w:spacing w:after="0"/>
            </w:pPr>
            <w:r>
              <w:rPr>
                <w:sz w:val="17"/>
              </w:rPr>
              <w:t>Conversation state</w:t>
            </w:r>
          </w:p>
        </w:tc>
        <w:tc>
          <w:tcPr>
            <w:tcW w:type="dxa" w:w="4513"/>
            <w:vAlign w:val="top"/>
            <w:tcMar>
              <w:top w:w="80" w:type="dxa"/>
              <w:start w:w="100" w:type="dxa"/>
              <w:bottom w:w="80" w:type="dxa"/>
              <w:end w:w="100" w:type="dxa"/>
            </w:tcMar>
          </w:tcPr>
          <w:p>
            <w:pPr>
              <w:spacing w:after="0"/>
            </w:pPr>
            <w:r>
              <w:rPr>
                <w:sz w:val="17"/>
              </w:rPr>
              <w:t>Maintain user and analyst messages during the session.</w:t>
            </w:r>
          </w:p>
        </w:tc>
      </w:tr>
      <w:tr>
        <w:tc>
          <w:tcPr>
            <w:tcW w:type="dxa" w:w="4513"/>
            <w:vAlign w:val="top"/>
            <w:tcMar>
              <w:top w:w="80" w:type="dxa"/>
              <w:start w:w="100" w:type="dxa"/>
              <w:bottom w:w="80" w:type="dxa"/>
              <w:end w:w="100" w:type="dxa"/>
            </w:tcMar>
          </w:tcPr>
          <w:p>
            <w:pPr>
              <w:spacing w:after="0"/>
            </w:pPr>
            <w:r>
              <w:rPr>
                <w:sz w:val="17"/>
              </w:rPr>
              <w:t>Cortex Analyst integration</w:t>
            </w:r>
          </w:p>
        </w:tc>
        <w:tc>
          <w:tcPr>
            <w:tcW w:type="dxa" w:w="4513"/>
            <w:vAlign w:val="top"/>
            <w:tcMar>
              <w:top w:w="80" w:type="dxa"/>
              <w:start w:w="100" w:type="dxa"/>
              <w:bottom w:w="80" w:type="dxa"/>
              <w:end w:w="100" w:type="dxa"/>
            </w:tcMar>
          </w:tcPr>
          <w:p>
            <w:pPr>
              <w:spacing w:after="0"/>
            </w:pPr>
            <w:r>
              <w:rPr>
                <w:sz w:val="17"/>
              </w:rPr>
              <w:t>Translate questions into analytical SQL.</w:t>
            </w:r>
          </w:p>
        </w:tc>
      </w:tr>
      <w:tr>
        <w:tc>
          <w:tcPr>
            <w:tcW w:type="dxa" w:w="4513"/>
            <w:vAlign w:val="top"/>
            <w:tcMar>
              <w:top w:w="80" w:type="dxa"/>
              <w:start w:w="100" w:type="dxa"/>
              <w:bottom w:w="80" w:type="dxa"/>
              <w:end w:w="100" w:type="dxa"/>
            </w:tcMar>
          </w:tcPr>
          <w:p>
            <w:pPr>
              <w:spacing w:after="0"/>
            </w:pPr>
            <w:r>
              <w:rPr>
                <w:sz w:val="17"/>
              </w:rPr>
              <w:t>Result execution</w:t>
            </w:r>
          </w:p>
        </w:tc>
        <w:tc>
          <w:tcPr>
            <w:tcW w:type="dxa" w:w="4513"/>
            <w:vAlign w:val="top"/>
            <w:tcMar>
              <w:top w:w="80" w:type="dxa"/>
              <w:start w:w="100" w:type="dxa"/>
              <w:bottom w:w="80" w:type="dxa"/>
              <w:end w:w="100" w:type="dxa"/>
            </w:tcMar>
          </w:tcPr>
          <w:p>
            <w:pPr>
              <w:spacing w:after="0"/>
            </w:pPr>
            <w:r>
              <w:rPr>
                <w:sz w:val="17"/>
              </w:rPr>
              <w:t>Run generated SQL in Snowflake.</w:t>
            </w:r>
          </w:p>
        </w:tc>
      </w:tr>
      <w:tr>
        <w:tc>
          <w:tcPr>
            <w:tcW w:type="dxa" w:w="4513"/>
            <w:vAlign w:val="top"/>
            <w:tcMar>
              <w:top w:w="80" w:type="dxa"/>
              <w:start w:w="100" w:type="dxa"/>
              <w:bottom w:w="80" w:type="dxa"/>
              <w:end w:w="100" w:type="dxa"/>
            </w:tcMar>
          </w:tcPr>
          <w:p>
            <w:pPr>
              <w:spacing w:after="0"/>
            </w:pPr>
            <w:r>
              <w:rPr>
                <w:sz w:val="17"/>
              </w:rPr>
              <w:t>Data view</w:t>
            </w:r>
          </w:p>
        </w:tc>
        <w:tc>
          <w:tcPr>
            <w:tcW w:type="dxa" w:w="4513"/>
            <w:vAlign w:val="top"/>
            <w:tcMar>
              <w:top w:w="80" w:type="dxa"/>
              <w:start w:w="100" w:type="dxa"/>
              <w:bottom w:w="80" w:type="dxa"/>
              <w:end w:w="100" w:type="dxa"/>
            </w:tcMar>
          </w:tcPr>
          <w:p>
            <w:pPr>
              <w:spacing w:after="0"/>
            </w:pPr>
            <w:r>
              <w:rPr>
                <w:sz w:val="17"/>
              </w:rPr>
              <w:t>Present returned records in a readable table.</w:t>
            </w:r>
          </w:p>
        </w:tc>
      </w:tr>
      <w:tr>
        <w:tc>
          <w:tcPr>
            <w:tcW w:type="dxa" w:w="4513"/>
            <w:vAlign w:val="top"/>
            <w:tcMar>
              <w:top w:w="80" w:type="dxa"/>
              <w:start w:w="100" w:type="dxa"/>
              <w:bottom w:w="80" w:type="dxa"/>
              <w:end w:w="100" w:type="dxa"/>
            </w:tcMar>
          </w:tcPr>
          <w:p>
            <w:pPr>
              <w:spacing w:after="0"/>
            </w:pPr>
            <w:r>
              <w:rPr>
                <w:sz w:val="17"/>
              </w:rPr>
              <w:t>Chart view</w:t>
            </w:r>
          </w:p>
        </w:tc>
        <w:tc>
          <w:tcPr>
            <w:tcW w:type="dxa" w:w="4513"/>
            <w:vAlign w:val="top"/>
            <w:tcMar>
              <w:top w:w="80" w:type="dxa"/>
              <w:start w:w="100" w:type="dxa"/>
              <w:bottom w:w="80" w:type="dxa"/>
              <w:end w:w="100" w:type="dxa"/>
            </w:tcMar>
          </w:tcPr>
          <w:p>
            <w:pPr>
              <w:spacing w:after="0"/>
            </w:pPr>
            <w:r>
              <w:rPr>
                <w:sz w:val="17"/>
              </w:rPr>
              <w:t>Visualize suitable categorical/numeric results.</w:t>
            </w:r>
          </w:p>
        </w:tc>
      </w:tr>
      <w:tr>
        <w:tc>
          <w:tcPr>
            <w:tcW w:type="dxa" w:w="4513"/>
            <w:vAlign w:val="top"/>
            <w:tcMar>
              <w:top w:w="80" w:type="dxa"/>
              <w:start w:w="100" w:type="dxa"/>
              <w:bottom w:w="80" w:type="dxa"/>
              <w:end w:w="100" w:type="dxa"/>
            </w:tcMar>
          </w:tcPr>
          <w:p>
            <w:pPr>
              <w:spacing w:after="0"/>
            </w:pPr>
            <w:r>
              <w:rPr>
                <w:sz w:val="17"/>
              </w:rPr>
              <w:t>SQL view</w:t>
            </w:r>
          </w:p>
        </w:tc>
        <w:tc>
          <w:tcPr>
            <w:tcW w:type="dxa" w:w="4513"/>
            <w:vAlign w:val="top"/>
            <w:tcMar>
              <w:top w:w="80" w:type="dxa"/>
              <w:start w:w="100" w:type="dxa"/>
              <w:bottom w:w="80" w:type="dxa"/>
              <w:end w:w="100" w:type="dxa"/>
            </w:tcMar>
          </w:tcPr>
          <w:p>
            <w:pPr>
              <w:spacing w:after="0"/>
            </w:pPr>
            <w:r>
              <w:rPr>
                <w:sz w:val="17"/>
              </w:rPr>
              <w:t>Expose generated SQL for transparency.</w:t>
            </w:r>
          </w:p>
        </w:tc>
      </w:tr>
      <w:tr>
        <w:tc>
          <w:tcPr>
            <w:tcW w:type="dxa" w:w="4513"/>
            <w:vAlign w:val="top"/>
            <w:tcMar>
              <w:top w:w="80" w:type="dxa"/>
              <w:start w:w="100" w:type="dxa"/>
              <w:bottom w:w="80" w:type="dxa"/>
              <w:end w:w="100" w:type="dxa"/>
            </w:tcMar>
          </w:tcPr>
          <w:p>
            <w:pPr>
              <w:spacing w:after="0"/>
            </w:pPr>
            <w:r>
              <w:rPr>
                <w:sz w:val="17"/>
              </w:rPr>
              <w:t>Suggested questions</w:t>
            </w:r>
          </w:p>
        </w:tc>
        <w:tc>
          <w:tcPr>
            <w:tcW w:type="dxa" w:w="4513"/>
            <w:vAlign w:val="top"/>
            <w:tcMar>
              <w:top w:w="80" w:type="dxa"/>
              <w:start w:w="100" w:type="dxa"/>
              <w:bottom w:w="80" w:type="dxa"/>
              <w:end w:w="100" w:type="dxa"/>
            </w:tcMar>
          </w:tcPr>
          <w:p>
            <w:pPr>
              <w:spacing w:after="0"/>
            </w:pPr>
            <w:r>
              <w:rPr>
                <w:sz w:val="17"/>
              </w:rPr>
              <w:t>Guide users toward useful follow-up analysis.</w:t>
            </w:r>
          </w:p>
        </w:tc>
      </w:tr>
      <w:tr>
        <w:tc>
          <w:tcPr>
            <w:tcW w:type="dxa" w:w="4513"/>
            <w:vAlign w:val="top"/>
            <w:tcMar>
              <w:top w:w="80" w:type="dxa"/>
              <w:start w:w="100" w:type="dxa"/>
              <w:bottom w:w="80" w:type="dxa"/>
              <w:end w:w="100" w:type="dxa"/>
            </w:tcMar>
          </w:tcPr>
          <w:p>
            <w:pPr>
              <w:spacing w:after="0"/>
            </w:pPr>
            <w:r>
              <w:rPr>
                <w:sz w:val="17"/>
              </w:rPr>
              <w:t>New conversation</w:t>
            </w:r>
          </w:p>
        </w:tc>
        <w:tc>
          <w:tcPr>
            <w:tcW w:type="dxa" w:w="4513"/>
            <w:vAlign w:val="top"/>
            <w:tcMar>
              <w:top w:w="80" w:type="dxa"/>
              <w:start w:w="100" w:type="dxa"/>
              <w:bottom w:w="80" w:type="dxa"/>
              <w:end w:w="100" w:type="dxa"/>
            </w:tcMar>
          </w:tcPr>
          <w:p>
            <w:pPr>
              <w:spacing w:after="0"/>
            </w:pPr>
            <w:r>
              <w:rPr>
                <w:sz w:val="17"/>
              </w:rPr>
              <w:t>Reset context when the analytical topic changes.</w:t>
            </w:r>
          </w:p>
        </w:tc>
      </w:tr>
      <w:tr>
        <w:tc>
          <w:tcPr>
            <w:tcW w:type="dxa" w:w="4513"/>
            <w:vAlign w:val="top"/>
            <w:tcMar>
              <w:top w:w="80" w:type="dxa"/>
              <w:start w:w="100" w:type="dxa"/>
              <w:bottom w:w="80" w:type="dxa"/>
              <w:end w:w="100" w:type="dxa"/>
            </w:tcMar>
          </w:tcPr>
          <w:p>
            <w:pPr>
              <w:spacing w:after="0"/>
            </w:pPr>
            <w:r>
              <w:rPr>
                <w:sz w:val="17"/>
              </w:rPr>
              <w:t>Error handling</w:t>
            </w:r>
          </w:p>
        </w:tc>
        <w:tc>
          <w:tcPr>
            <w:tcW w:type="dxa" w:w="4513"/>
            <w:vAlign w:val="top"/>
            <w:tcMar>
              <w:top w:w="80" w:type="dxa"/>
              <w:start w:w="100" w:type="dxa"/>
              <w:bottom w:w="80" w:type="dxa"/>
              <w:end w:w="100" w:type="dxa"/>
            </w:tcMar>
          </w:tcPr>
          <w:p>
            <w:pPr>
              <w:spacing w:after="0"/>
            </w:pPr>
            <w:r>
              <w:rPr>
                <w:sz w:val="17"/>
              </w:rPr>
              <w:t>Display understandable messages when requests fail.</w:t>
            </w:r>
          </w:p>
        </w:tc>
      </w:tr>
    </w:tbl>
    <w:p>
      <w:pPr>
        <w:spacing w:after="20"/>
      </w:pPr>
    </w:p>
    <w:p>
      <w:pPr>
        <w:pStyle w:val="Heading2"/>
        <w:spacing w:before="80" w:after="160"/>
      </w:pPr>
      <w:r>
        <w:rPr>
          <w:b/>
        </w:rPr>
        <w:t>12.2 Conversation Example</w:t>
      </w:r>
    </w:p>
    <w:p>
      <w:pPr>
        <w:spacing w:line="276" w:lineRule="auto" w:after="120"/>
      </w:pPr>
      <w:r>
        <w:t>User: How many claims were there in 2010?</w:t>
      </w:r>
    </w:p>
    <w:p>
      <w:pPr>
        <w:spacing w:line="276" w:lineRule="auto" w:after="120"/>
      </w:pPr>
      <w:r>
        <w:t>Assistant: Returns the claim count and generated SQL.</w:t>
      </w:r>
    </w:p>
    <w:p>
      <w:pPr>
        <w:spacing w:line="276" w:lineRule="auto" w:after="120"/>
      </w:pPr>
      <w:r>
        <w:t>User: How many of them were denied?</w:t>
      </w:r>
    </w:p>
    <w:p>
      <w:pPr>
        <w:spacing w:line="276" w:lineRule="auto" w:after="120"/>
      </w:pPr>
      <w:r>
        <w:t>Assistant: Generates the next analytical query using the available semantic context.</w:t>
      </w:r>
    </w:p>
    <w:p>
      <w:pPr>
        <w:spacing w:line="276" w:lineRule="auto" w:after="120"/>
      </w:pPr>
      <w:r>
        <w:t>User: What were the main denial reasons?</w:t>
      </w:r>
    </w:p>
    <w:p>
      <w:pPr>
        <w:spacing w:line="276" w:lineRule="auto" w:after="120"/>
      </w:pPr>
      <w:r>
        <w:t>Assistant: Returns the denial-reason analysis and generated SQL.</w:t>
      </w:r>
    </w:p>
    <w:p>
      <w:pPr>
        <w:pStyle w:val="Heading2"/>
        <w:spacing w:before="80" w:after="160"/>
      </w:pPr>
      <w:r>
        <w:rPr>
          <w:b/>
        </w:rPr>
        <w:t>12.3 Power BI vs AI Mode</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D9EAF7"/>
            <w:vAlign w:val="center"/>
            <w:tcMar>
              <w:top w:w="80" w:type="dxa"/>
              <w:start w:w="100" w:type="dxa"/>
              <w:bottom w:w="80" w:type="dxa"/>
              <w:end w:w="100" w:type="dxa"/>
            </w:tcMar>
          </w:tcPr>
          <w:p>
            <w:r>
              <w:rPr>
                <w:b/>
                <w:sz w:val="18"/>
              </w:rPr>
              <w:t>Capability</w:t>
            </w:r>
          </w:p>
        </w:tc>
        <w:tc>
          <w:tcPr>
            <w:tcW w:type="dxa" w:w="3009"/>
            <w:shd w:fill="D9EAF7"/>
            <w:vAlign w:val="center"/>
            <w:tcMar>
              <w:top w:w="80" w:type="dxa"/>
              <w:start w:w="100" w:type="dxa"/>
              <w:bottom w:w="80" w:type="dxa"/>
              <w:end w:w="100" w:type="dxa"/>
            </w:tcMar>
          </w:tcPr>
          <w:p>
            <w:r>
              <w:rPr>
                <w:b/>
                <w:sz w:val="18"/>
              </w:rPr>
              <w:t>Power BI</w:t>
            </w:r>
          </w:p>
        </w:tc>
        <w:tc>
          <w:tcPr>
            <w:tcW w:type="dxa" w:w="3009"/>
            <w:shd w:fill="D9EAF7"/>
            <w:vAlign w:val="center"/>
            <w:tcMar>
              <w:top w:w="80" w:type="dxa"/>
              <w:start w:w="100" w:type="dxa"/>
              <w:bottom w:w="80" w:type="dxa"/>
              <w:end w:w="100" w:type="dxa"/>
            </w:tcMar>
          </w:tcPr>
          <w:p>
            <w:r>
              <w:rPr>
                <w:b/>
                <w:sz w:val="18"/>
              </w:rPr>
              <w:t>Cortex Analyst / Streamlit</w:t>
            </w:r>
          </w:p>
        </w:tc>
      </w:tr>
      <w:tr>
        <w:tc>
          <w:tcPr>
            <w:tcW w:type="dxa" w:w="3009"/>
            <w:vAlign w:val="top"/>
            <w:tcMar>
              <w:top w:w="80" w:type="dxa"/>
              <w:start w:w="100" w:type="dxa"/>
              <w:bottom w:w="80" w:type="dxa"/>
              <w:end w:w="100" w:type="dxa"/>
            </w:tcMar>
          </w:tcPr>
          <w:p>
            <w:pPr>
              <w:spacing w:after="0"/>
            </w:pPr>
            <w:r>
              <w:rPr>
                <w:sz w:val="17"/>
              </w:rPr>
              <w:t>Recurring KPI reporting</w:t>
            </w:r>
          </w:p>
        </w:tc>
        <w:tc>
          <w:tcPr>
            <w:tcW w:type="dxa" w:w="3009"/>
            <w:vAlign w:val="top"/>
            <w:tcMar>
              <w:top w:w="80" w:type="dxa"/>
              <w:start w:w="100" w:type="dxa"/>
              <w:bottom w:w="80" w:type="dxa"/>
              <w:end w:w="100" w:type="dxa"/>
            </w:tcMar>
          </w:tcPr>
          <w:p>
            <w:pPr>
              <w:spacing w:after="0"/>
            </w:pPr>
            <w:r>
              <w:rPr>
                <w:sz w:val="17"/>
              </w:rPr>
              <w:t>Primary</w:t>
            </w:r>
          </w:p>
        </w:tc>
        <w:tc>
          <w:tcPr>
            <w:tcW w:type="dxa" w:w="3009"/>
            <w:vAlign w:val="top"/>
            <w:tcMar>
              <w:top w:w="80" w:type="dxa"/>
              <w:start w:w="100" w:type="dxa"/>
              <w:bottom w:w="80" w:type="dxa"/>
              <w:end w:w="100" w:type="dxa"/>
            </w:tcMar>
          </w:tcPr>
          <w:p>
            <w:pPr>
              <w:spacing w:after="0"/>
            </w:pPr>
            <w:r>
              <w:rPr>
                <w:sz w:val="17"/>
              </w:rPr>
              <w:t>Secondary</w:t>
            </w:r>
          </w:p>
        </w:tc>
      </w:tr>
      <w:tr>
        <w:tc>
          <w:tcPr>
            <w:tcW w:type="dxa" w:w="3009"/>
            <w:vAlign w:val="top"/>
            <w:tcMar>
              <w:top w:w="80" w:type="dxa"/>
              <w:start w:w="100" w:type="dxa"/>
              <w:bottom w:w="80" w:type="dxa"/>
              <w:end w:w="100" w:type="dxa"/>
            </w:tcMar>
          </w:tcPr>
          <w:p>
            <w:pPr>
              <w:spacing w:after="0"/>
            </w:pPr>
            <w:r>
              <w:rPr>
                <w:sz w:val="17"/>
              </w:rPr>
              <w:t>Interactive visual exploration</w:t>
            </w:r>
          </w:p>
        </w:tc>
        <w:tc>
          <w:tcPr>
            <w:tcW w:type="dxa" w:w="3009"/>
            <w:vAlign w:val="top"/>
            <w:tcMar>
              <w:top w:w="80" w:type="dxa"/>
              <w:start w:w="100" w:type="dxa"/>
              <w:bottom w:w="80" w:type="dxa"/>
              <w:end w:w="100" w:type="dxa"/>
            </w:tcMar>
          </w:tcPr>
          <w:p>
            <w:pPr>
              <w:spacing w:after="0"/>
            </w:pPr>
            <w:r>
              <w:rPr>
                <w:sz w:val="17"/>
              </w:rPr>
              <w:t>Primary</w:t>
            </w:r>
          </w:p>
        </w:tc>
        <w:tc>
          <w:tcPr>
            <w:tcW w:type="dxa" w:w="3009"/>
            <w:vAlign w:val="top"/>
            <w:tcMar>
              <w:top w:w="80" w:type="dxa"/>
              <w:start w:w="100" w:type="dxa"/>
              <w:bottom w:w="80" w:type="dxa"/>
              <w:end w:w="100" w:type="dxa"/>
            </w:tcMar>
          </w:tcPr>
          <w:p>
            <w:pPr>
              <w:spacing w:after="0"/>
            </w:pPr>
            <w:r>
              <w:rPr>
                <w:sz w:val="17"/>
              </w:rPr>
              <w:t>Available</w:t>
            </w:r>
          </w:p>
        </w:tc>
      </w:tr>
      <w:tr>
        <w:tc>
          <w:tcPr>
            <w:tcW w:type="dxa" w:w="3009"/>
            <w:vAlign w:val="top"/>
            <w:tcMar>
              <w:top w:w="80" w:type="dxa"/>
              <w:start w:w="100" w:type="dxa"/>
              <w:bottom w:w="80" w:type="dxa"/>
              <w:end w:w="100" w:type="dxa"/>
            </w:tcMar>
          </w:tcPr>
          <w:p>
            <w:pPr>
              <w:spacing w:after="0"/>
            </w:pPr>
            <w:r>
              <w:rPr>
                <w:sz w:val="17"/>
              </w:rPr>
              <w:t>Ad-hoc natural-language questions</w:t>
            </w:r>
          </w:p>
        </w:tc>
        <w:tc>
          <w:tcPr>
            <w:tcW w:type="dxa" w:w="3009"/>
            <w:vAlign w:val="top"/>
            <w:tcMar>
              <w:top w:w="80" w:type="dxa"/>
              <w:start w:w="100" w:type="dxa"/>
              <w:bottom w:w="80" w:type="dxa"/>
              <w:end w:w="100" w:type="dxa"/>
            </w:tcMar>
          </w:tcPr>
          <w:p>
            <w:pPr>
              <w:spacing w:after="0"/>
            </w:pPr>
            <w:r>
              <w:rPr>
                <w:sz w:val="17"/>
              </w:rPr>
              <w:t>Limited</w:t>
            </w:r>
          </w:p>
        </w:tc>
        <w:tc>
          <w:tcPr>
            <w:tcW w:type="dxa" w:w="3009"/>
            <w:vAlign w:val="top"/>
            <w:tcMar>
              <w:top w:w="80" w:type="dxa"/>
              <w:start w:w="100" w:type="dxa"/>
              <w:bottom w:w="80" w:type="dxa"/>
              <w:end w:w="100" w:type="dxa"/>
            </w:tcMar>
          </w:tcPr>
          <w:p>
            <w:pPr>
              <w:spacing w:after="0"/>
            </w:pPr>
            <w:r>
              <w:rPr>
                <w:sz w:val="17"/>
              </w:rPr>
              <w:t>Primary</w:t>
            </w:r>
          </w:p>
        </w:tc>
      </w:tr>
      <w:tr>
        <w:tc>
          <w:tcPr>
            <w:tcW w:type="dxa" w:w="3009"/>
            <w:vAlign w:val="top"/>
            <w:tcMar>
              <w:top w:w="80" w:type="dxa"/>
              <w:start w:w="100" w:type="dxa"/>
              <w:bottom w:w="80" w:type="dxa"/>
              <w:end w:w="100" w:type="dxa"/>
            </w:tcMar>
          </w:tcPr>
          <w:p>
            <w:pPr>
              <w:spacing w:after="0"/>
            </w:pPr>
            <w:r>
              <w:rPr>
                <w:sz w:val="17"/>
              </w:rPr>
              <w:t>SQL knowledge required</w:t>
            </w:r>
          </w:p>
        </w:tc>
        <w:tc>
          <w:tcPr>
            <w:tcW w:type="dxa" w:w="3009"/>
            <w:vAlign w:val="top"/>
            <w:tcMar>
              <w:top w:w="80" w:type="dxa"/>
              <w:start w:w="100" w:type="dxa"/>
              <w:bottom w:w="80" w:type="dxa"/>
              <w:end w:w="100" w:type="dxa"/>
            </w:tcMar>
          </w:tcPr>
          <w:p>
            <w:pPr>
              <w:spacing w:after="0"/>
            </w:pPr>
            <w:r>
              <w:rPr>
                <w:sz w:val="17"/>
              </w:rPr>
              <w:t>No</w:t>
            </w:r>
          </w:p>
        </w:tc>
        <w:tc>
          <w:tcPr>
            <w:tcW w:type="dxa" w:w="3009"/>
            <w:vAlign w:val="top"/>
            <w:tcMar>
              <w:top w:w="80" w:type="dxa"/>
              <w:start w:w="100" w:type="dxa"/>
              <w:bottom w:w="80" w:type="dxa"/>
              <w:end w:w="100" w:type="dxa"/>
            </w:tcMar>
          </w:tcPr>
          <w:p>
            <w:pPr>
              <w:spacing w:after="0"/>
            </w:pPr>
            <w:r>
              <w:rPr>
                <w:sz w:val="17"/>
              </w:rPr>
              <w:t>No</w:t>
            </w:r>
          </w:p>
        </w:tc>
      </w:tr>
      <w:tr>
        <w:tc>
          <w:tcPr>
            <w:tcW w:type="dxa" w:w="3009"/>
            <w:vAlign w:val="top"/>
            <w:tcMar>
              <w:top w:w="80" w:type="dxa"/>
              <w:start w:w="100" w:type="dxa"/>
              <w:bottom w:w="80" w:type="dxa"/>
              <w:end w:w="100" w:type="dxa"/>
            </w:tcMar>
          </w:tcPr>
          <w:p>
            <w:pPr>
              <w:spacing w:after="0"/>
            </w:pPr>
            <w:r>
              <w:rPr>
                <w:sz w:val="17"/>
              </w:rPr>
              <w:t>Multi-turn conversation</w:t>
            </w:r>
          </w:p>
        </w:tc>
        <w:tc>
          <w:tcPr>
            <w:tcW w:type="dxa" w:w="3009"/>
            <w:vAlign w:val="top"/>
            <w:tcMar>
              <w:top w:w="80" w:type="dxa"/>
              <w:start w:w="100" w:type="dxa"/>
              <w:bottom w:w="80" w:type="dxa"/>
              <w:end w:w="100" w:type="dxa"/>
            </w:tcMar>
          </w:tcPr>
          <w:p>
            <w:pPr>
              <w:spacing w:after="0"/>
            </w:pPr>
            <w:r>
              <w:rPr>
                <w:sz w:val="17"/>
              </w:rPr>
              <w:t>Filter-driven</w:t>
            </w:r>
          </w:p>
        </w:tc>
        <w:tc>
          <w:tcPr>
            <w:tcW w:type="dxa" w:w="3009"/>
            <w:vAlign w:val="top"/>
            <w:tcMar>
              <w:top w:w="80" w:type="dxa"/>
              <w:start w:w="100" w:type="dxa"/>
              <w:bottom w:w="80" w:type="dxa"/>
              <w:end w:w="100" w:type="dxa"/>
            </w:tcMar>
          </w:tcPr>
          <w:p>
            <w:pPr>
              <w:spacing w:after="0"/>
            </w:pPr>
            <w:r>
              <w:rPr>
                <w:sz w:val="17"/>
              </w:rPr>
              <w:t>Primary</w:t>
            </w:r>
          </w:p>
        </w:tc>
      </w:tr>
    </w:tbl>
    <w:p>
      <w:pPr>
        <w:spacing w:after="20"/>
      </w:pPr>
    </w:p>
    <w:p>
      <w:r>
        <w:br w:type="page"/>
      </w:r>
    </w:p>
    <w:p>
      <w:pPr>
        <w:pStyle w:val="Heading1"/>
        <w:spacing w:before="80" w:after="160"/>
      </w:pPr>
      <w:r>
        <w:rPr>
          <w:b/>
        </w:rPr>
        <w:t>13. Testing and Validation</w:t>
      </w:r>
    </w:p>
    <w:p>
      <w:pPr>
        <w:spacing w:line="276" w:lineRule="auto" w:after="120"/>
      </w:pPr>
      <w:r>
        <w:t>Testing was treated as a continuous part of the pipeline rather than a final activity. Each layer has validation appropriate to its responsibility.</w:t>
      </w:r>
    </w:p>
    <w:p>
      <w:pPr>
        <w:pStyle w:val="Heading2"/>
        <w:spacing w:before="80" w:after="160"/>
      </w:pPr>
      <w:r>
        <w:rPr>
          <w:b/>
        </w:rPr>
        <w:t>13.1 Data Engineering Validation</w:t>
      </w:r>
    </w:p>
    <w:p>
      <w:pPr>
        <w:pStyle w:val="ListBullet"/>
        <w:spacing w:after="60"/>
        <w:ind w:left="360"/>
      </w:pPr>
      <w:r>
        <w:t>Verify source files are readable and loaded successfully.</w:t>
      </w:r>
    </w:p>
    <w:p>
      <w:pPr>
        <w:pStyle w:val="ListBullet"/>
        <w:spacing w:after="60"/>
        <w:ind w:left="360"/>
      </w:pPr>
      <w:r>
        <w:t>Validate expected schemas and data types.</w:t>
      </w:r>
    </w:p>
    <w:p>
      <w:pPr>
        <w:pStyle w:val="ListBullet"/>
        <w:spacing w:after="60"/>
        <w:ind w:left="360"/>
      </w:pPr>
      <w:r>
        <w:t>Reconcile record counts between processing stages.</w:t>
      </w:r>
    </w:p>
    <w:p>
      <w:pPr>
        <w:pStyle w:val="ListBullet"/>
        <w:spacing w:after="60"/>
        <w:ind w:left="360"/>
      </w:pPr>
      <w:r>
        <w:t>Check mandatory identifiers.</w:t>
      </w:r>
    </w:p>
    <w:p>
      <w:pPr>
        <w:pStyle w:val="ListBullet"/>
        <w:spacing w:after="60"/>
        <w:ind w:left="360"/>
      </w:pPr>
      <w:r>
        <w:t>Check duplicate-removal behavior.</w:t>
      </w:r>
    </w:p>
    <w:p>
      <w:pPr>
        <w:pStyle w:val="ListBullet"/>
        <w:spacing w:after="60"/>
        <w:ind w:left="360"/>
      </w:pPr>
      <w:r>
        <w:t>Validate date relationships.</w:t>
      </w:r>
    </w:p>
    <w:p>
      <w:pPr>
        <w:pStyle w:val="ListBullet"/>
        <w:spacing w:after="60"/>
        <w:ind w:left="360"/>
      </w:pPr>
      <w:r>
        <w:t>Validate financial fields.</w:t>
      </w:r>
    </w:p>
    <w:p>
      <w:pPr>
        <w:pStyle w:val="ListBullet"/>
        <w:spacing w:after="60"/>
        <w:ind w:left="360"/>
      </w:pPr>
      <w:r>
        <w:t>Validate key relationships used by Gold models.</w:t>
      </w:r>
    </w:p>
    <w:p>
      <w:pPr>
        <w:pStyle w:val="Heading2"/>
        <w:spacing w:before="80" w:after="160"/>
      </w:pPr>
      <w:r>
        <w:rPr>
          <w:b/>
        </w:rPr>
        <w:t>13.2 Gold Validation</w:t>
      </w:r>
    </w:p>
    <w:p>
      <w:pPr>
        <w:pStyle w:val="ListBullet"/>
        <w:spacing w:after="60"/>
        <w:ind w:left="360"/>
      </w:pPr>
      <w:r>
        <w:t>Reconcile fact counts against trusted Silver inputs.</w:t>
      </w:r>
    </w:p>
    <w:p>
      <w:pPr>
        <w:pStyle w:val="ListBullet"/>
        <w:spacing w:after="60"/>
        <w:ind w:left="360"/>
      </w:pPr>
      <w:r>
        <w:t>Validate dimension keys and relationships.</w:t>
      </w:r>
    </w:p>
    <w:p>
      <w:pPr>
        <w:pStyle w:val="ListBullet"/>
        <w:spacing w:after="60"/>
        <w:ind w:left="360"/>
      </w:pPr>
      <w:r>
        <w:t>Check for unexpected duplicate business keys.</w:t>
      </w:r>
    </w:p>
    <w:p>
      <w:pPr>
        <w:pStyle w:val="ListBullet"/>
        <w:spacing w:after="60"/>
        <w:ind w:left="360"/>
      </w:pPr>
      <w:r>
        <w:t>Validate derived measures and aggregations.</w:t>
      </w:r>
    </w:p>
    <w:p>
      <w:pPr>
        <w:pStyle w:val="ListBullet"/>
        <w:spacing w:after="60"/>
        <w:ind w:left="360"/>
      </w:pPr>
      <w:r>
        <w:t>Confirm that Gold outputs are suitable for Power BI.</w:t>
      </w:r>
    </w:p>
    <w:p>
      <w:pPr>
        <w:pStyle w:val="Heading2"/>
        <w:spacing w:before="80" w:after="160"/>
      </w:pPr>
      <w:r>
        <w:rPr>
          <w:b/>
        </w:rPr>
        <w:t>13.3 BI and AI Validation</w:t>
      </w:r>
    </w:p>
    <w:p>
      <w:pPr>
        <w:pStyle w:val="ListBullet"/>
        <w:spacing w:after="60"/>
        <w:ind w:left="360"/>
      </w:pPr>
      <w:r>
        <w:t>Validate Power BI measures and filter behavior.</w:t>
      </w:r>
    </w:p>
    <w:p>
      <w:pPr>
        <w:pStyle w:val="ListBullet"/>
        <w:spacing w:after="60"/>
        <w:ind w:left="360"/>
      </w:pPr>
      <w:r>
        <w:t>Check visual totals against Snowflake SQL.</w:t>
      </w:r>
    </w:p>
    <w:p>
      <w:pPr>
        <w:pStyle w:val="ListBullet"/>
        <w:spacing w:after="60"/>
        <w:ind w:left="360"/>
      </w:pPr>
      <w:r>
        <w:t>Validate semantic-model terminology.</w:t>
      </w:r>
    </w:p>
    <w:p>
      <w:pPr>
        <w:pStyle w:val="ListBullet"/>
        <w:spacing w:after="60"/>
        <w:ind w:left="360"/>
      </w:pPr>
      <w:r>
        <w:t>Validate generated SQL for representative business questions.</w:t>
      </w:r>
    </w:p>
    <w:p>
      <w:pPr>
        <w:pStyle w:val="ListBullet"/>
        <w:spacing w:after="60"/>
        <w:ind w:left="360"/>
      </w:pPr>
      <w:r>
        <w:t>Validate empty-result and API-error handling.</w:t>
      </w:r>
    </w:p>
    <w:p>
      <w:pPr>
        <w:pStyle w:val="ListBullet"/>
        <w:spacing w:after="60"/>
        <w:ind w:left="360"/>
      </w:pPr>
      <w:r>
        <w:t>Validate conversation-state behavior for follow-up questions.</w:t>
      </w:r>
    </w:p>
    <w:p>
      <w:r>
        <w:br w:type="page"/>
      </w:r>
    </w:p>
    <w:p>
      <w:pPr>
        <w:pStyle w:val="Heading1"/>
        <w:spacing w:before="80" w:after="160"/>
      </w:pPr>
      <w:r>
        <w:rPr>
          <w:b/>
        </w:rPr>
        <w:t>14. Security, Governance and Operational Standards</w:t>
      </w:r>
    </w:p>
    <w:p>
      <w:pPr>
        <w:spacing w:line="276" w:lineRule="auto" w:after="120"/>
      </w:pPr>
      <w:r>
        <w:t>The architecture separates source storage, transformation processing, analytical serving and business consumption. This separation reduces direct exposure of raw structures and provides clear ownership boundaries.</w:t>
      </w:r>
    </w:p>
    <w:p>
      <w:pPr>
        <w:pStyle w:val="Heading2"/>
        <w:spacing w:before="80" w:after="160"/>
      </w:pPr>
      <w:r>
        <w:rPr>
          <w:b/>
        </w:rPr>
        <w:t>14.1 Governance Principles</w:t>
      </w:r>
    </w:p>
    <w:p>
      <w:pPr>
        <w:pStyle w:val="ListBullet"/>
        <w:spacing w:after="60"/>
        <w:ind w:left="360"/>
      </w:pPr>
      <w:r>
        <w:t>Use least-privilege permissions for AWS, Databricks and Snowflake resources.</w:t>
      </w:r>
    </w:p>
    <w:p>
      <w:pPr>
        <w:pStyle w:val="ListBullet"/>
        <w:spacing w:after="60"/>
        <w:ind w:left="360"/>
      </w:pPr>
      <w:r>
        <w:t>Restrict write access to governed analytical and audit repositories.</w:t>
      </w:r>
    </w:p>
    <w:p>
      <w:pPr>
        <w:pStyle w:val="ListBullet"/>
        <w:spacing w:after="60"/>
        <w:ind w:left="360"/>
      </w:pPr>
      <w:r>
        <w:t>Protect semantic-model and application configuration artifacts.</w:t>
      </w:r>
    </w:p>
    <w:p>
      <w:pPr>
        <w:pStyle w:val="ListBullet"/>
        <w:spacing w:after="60"/>
        <w:ind w:left="360"/>
      </w:pPr>
      <w:r>
        <w:t>Maintain lineage from source through Gold consumption.</w:t>
      </w:r>
    </w:p>
    <w:p>
      <w:pPr>
        <w:pStyle w:val="ListBullet"/>
        <w:spacing w:after="60"/>
        <w:ind w:left="360"/>
      </w:pPr>
      <w:r>
        <w:t>Monitor quality scores and investigate critical results.</w:t>
      </w:r>
    </w:p>
    <w:p>
      <w:pPr>
        <w:pStyle w:val="ListBullet"/>
        <w:spacing w:after="60"/>
        <w:ind w:left="360"/>
      </w:pPr>
      <w:r>
        <w:t>Validate new business metrics before promoting them to reporting.</w:t>
      </w:r>
    </w:p>
    <w:p>
      <w:pPr>
        <w:pStyle w:val="ListBullet"/>
        <w:spacing w:after="60"/>
        <w:ind w:left="360"/>
      </w:pPr>
      <w:r>
        <w:t>Keep business definitions centralized in the analytical model.</w:t>
      </w:r>
    </w:p>
    <w:p>
      <w:pPr>
        <w:pStyle w:val="Heading2"/>
        <w:spacing w:before="80" w:after="160"/>
      </w:pPr>
      <w:r>
        <w:rPr>
          <w:b/>
        </w:rPr>
        <w:t>14.2 Controlled AI</w:t>
      </w:r>
    </w:p>
    <w:p>
      <w:pPr>
        <w:spacing w:line="276" w:lineRule="auto" w:after="120"/>
      </w:pPr>
      <w:r>
        <w:t>The natural-language interface is constrained by the semantic model and governed Gold layer. This provides a controlled analytical experience instead of allowing unrestricted interpretation of raw source structures.</w:t>
      </w:r>
    </w:p>
    <w:p>
      <w:pPr>
        <w:pStyle w:val="Heading2"/>
        <w:spacing w:before="80" w:after="160"/>
      </w:pPr>
      <w:r>
        <w:rPr>
          <w:b/>
        </w:rPr>
        <w:t>14.3 Operational Principle</w:t>
      </w:r>
    </w:p>
    <w:p>
      <w:pPr>
        <w:spacing w:line="276" w:lineRule="auto" w:after="120"/>
      </w:pPr>
      <w:r>
        <w:t>Application and API failures should be handled explicitly. The system should not silently convert a technical failure into an apparently valid business result.</w:t>
      </w:r>
    </w:p>
    <w:p>
      <w:r>
        <w:br w:type="page"/>
      </w:r>
    </w:p>
    <w:p>
      <w:pPr>
        <w:pStyle w:val="Heading1"/>
        <w:spacing w:before="80" w:after="160"/>
      </w:pPr>
      <w:r>
        <w:rPr>
          <w:b/>
        </w:rPr>
        <w:t>15. Performance, Scalability and Maintainability</w:t>
      </w:r>
    </w:p>
    <w:p>
      <w:pPr>
        <w:pStyle w:val="Heading2"/>
        <w:spacing w:before="80" w:after="160"/>
      </w:pPr>
      <w:r>
        <w:rPr>
          <w:b/>
        </w:rPr>
        <w:t>15.1 Performance</w:t>
      </w:r>
    </w:p>
    <w:p>
      <w:pPr>
        <w:pStyle w:val="ListBullet"/>
        <w:spacing w:after="60"/>
        <w:ind w:left="360"/>
      </w:pPr>
      <w:r>
        <w:t>Avoid repeated processing of raw files by maintaining persistent Bronze, Silver and Gold layers.</w:t>
      </w:r>
    </w:p>
    <w:p>
      <w:pPr>
        <w:pStyle w:val="ListBullet"/>
        <w:spacing w:after="60"/>
        <w:ind w:left="360"/>
      </w:pPr>
      <w:r>
        <w:t>Perform analytical aggregation close to the serving layer when appropriate.</w:t>
      </w:r>
    </w:p>
    <w:p>
      <w:pPr>
        <w:pStyle w:val="ListBullet"/>
        <w:spacing w:after="60"/>
        <w:ind w:left="360"/>
      </w:pPr>
      <w:r>
        <w:t>Keep downstream BI datasets focused on business access patterns.</w:t>
      </w:r>
    </w:p>
    <w:p>
      <w:pPr>
        <w:pStyle w:val="ListBullet"/>
        <w:spacing w:after="60"/>
        <w:ind w:left="360"/>
      </w:pPr>
      <w:r>
        <w:t>Avoid unnecessarily wide datasets in reporting models.</w:t>
      </w:r>
    </w:p>
    <w:p>
      <w:pPr>
        <w:pStyle w:val="ListBullet"/>
        <w:spacing w:after="60"/>
        <w:ind w:left="360"/>
      </w:pPr>
      <w:r>
        <w:t>Apply stricter quality checks to critical attributes and efficient profiling to non-critical fields.</w:t>
      </w:r>
    </w:p>
    <w:p>
      <w:pPr>
        <w:pStyle w:val="ListBullet"/>
        <w:spacing w:after="60"/>
        <w:ind w:left="360"/>
      </w:pPr>
      <w:r>
        <w:t>Monitor Snowflake query performance and Power BI refresh behavior.</w:t>
      </w:r>
    </w:p>
    <w:p>
      <w:pPr>
        <w:pStyle w:val="Heading2"/>
        <w:spacing w:before="80" w:after="160"/>
      </w:pPr>
      <w:r>
        <w:rPr>
          <w:b/>
        </w:rPr>
        <w:t>15.2 Scalability</w:t>
      </w:r>
    </w:p>
    <w:p>
      <w:pPr>
        <w:pStyle w:val="ListBullet"/>
        <w:spacing w:after="60"/>
        <w:ind w:left="360"/>
      </w:pPr>
      <w:r>
        <w:t>Additional healthcare datasets can be added as new source domains.</w:t>
      </w:r>
    </w:p>
    <w:p>
      <w:pPr>
        <w:pStyle w:val="ListBullet"/>
        <w:spacing w:after="60"/>
        <w:ind w:left="360"/>
      </w:pPr>
      <w:r>
        <w:t>New business rules can be added to Silver without changing the source layer.</w:t>
      </w:r>
    </w:p>
    <w:p>
      <w:pPr>
        <w:pStyle w:val="ListBullet"/>
        <w:spacing w:after="60"/>
        <w:ind w:left="360"/>
      </w:pPr>
      <w:r>
        <w:t>Additional Gold facts and dimensions can be derived from the same curated Silver foundation.</w:t>
      </w:r>
    </w:p>
    <w:p>
      <w:pPr>
        <w:pStyle w:val="ListBullet"/>
        <w:spacing w:after="60"/>
        <w:ind w:left="360"/>
      </w:pPr>
      <w:r>
        <w:t>Power BI and Cortex Analyst can consume the same analytical model as the platform grows.</w:t>
      </w:r>
    </w:p>
    <w:p>
      <w:pPr>
        <w:pStyle w:val="Heading2"/>
        <w:spacing w:before="80" w:after="160"/>
      </w:pPr>
      <w:r>
        <w:rPr>
          <w:b/>
        </w:rPr>
        <w:t>15.3 Maintainability</w:t>
      </w:r>
    </w:p>
    <w:p>
      <w:pPr>
        <w:spacing w:line="276" w:lineRule="auto" w:after="120"/>
      </w:pPr>
      <w:r>
        <w:t>The strongest maintainability feature is the clear contract between layers: Bronze preserves, Silver cleans, Gold models, Snowflake serves, Power BI visualizes and Cortex Analyst enables conversational exploration.</w:t>
      </w:r>
    </w:p>
    <w:p>
      <w:r>
        <w:br w:type="page"/>
      </w:r>
    </w:p>
    <w:p>
      <w:pPr>
        <w:pStyle w:val="Heading1"/>
        <w:spacing w:before="80" w:after="160"/>
      </w:pPr>
      <w:r>
        <w:rPr>
          <w:b/>
        </w:rPr>
        <w:t>16. End-to-End Data Lineage</w:t>
      </w:r>
    </w:p>
    <w:p>
      <w:pPr>
        <w:spacing w:line="276" w:lineRule="auto" w:after="120"/>
      </w:pPr>
      <w:r>
        <w:t>The full lineage can be explained as a sequence of controlled transformations:</w:t>
      </w:r>
    </w:p>
    <w:p>
      <w:pPr>
        <w:pStyle w:val="ListNumber"/>
        <w:spacing w:after="60"/>
      </w:pPr>
      <w:r>
        <w:t>Healthcare source datasets are delivered as files.</w:t>
      </w:r>
    </w:p>
    <w:p>
      <w:pPr>
        <w:pStyle w:val="ListNumber"/>
        <w:spacing w:after="60"/>
      </w:pPr>
      <w:r>
        <w:t>Files are placed in AWS S3 as the raw landing zone.</w:t>
      </w:r>
    </w:p>
    <w:p>
      <w:pPr>
        <w:pStyle w:val="ListNumber"/>
        <w:spacing w:after="60"/>
      </w:pPr>
      <w:r>
        <w:t>Databricks reads the source data from S3.</w:t>
      </w:r>
    </w:p>
    <w:p>
      <w:pPr>
        <w:pStyle w:val="ListNumber"/>
        <w:spacing w:after="60"/>
      </w:pPr>
      <w:r>
        <w:t>Bronze provides the controlled raw processing representation.</w:t>
      </w:r>
    </w:p>
    <w:p>
      <w:pPr>
        <w:pStyle w:val="ListNumber"/>
        <w:spacing w:after="60"/>
      </w:pPr>
      <w:r>
        <w:t>Silver performs cleaning, standardization and validation.</w:t>
      </w:r>
    </w:p>
    <w:p>
      <w:pPr>
        <w:pStyle w:val="ListNumber"/>
        <w:spacing w:after="60"/>
      </w:pPr>
      <w:r>
        <w:t>Gold derives business-ready fact and dimension structures.</w:t>
      </w:r>
    </w:p>
    <w:p>
      <w:pPr>
        <w:pStyle w:val="ListNumber"/>
        <w:spacing w:after="60"/>
      </w:pPr>
      <w:r>
        <w:t>Gold datasets are loaded into Snowflake.</w:t>
      </w:r>
    </w:p>
    <w:p>
      <w:pPr>
        <w:pStyle w:val="ListNumber"/>
        <w:spacing w:after="60"/>
      </w:pPr>
      <w:r>
        <w:t>Data-quality telemetry is recorded in the Snowflake audit repository.</w:t>
      </w:r>
    </w:p>
    <w:p>
      <w:pPr>
        <w:pStyle w:val="ListNumber"/>
        <w:spacing w:after="60"/>
      </w:pPr>
      <w:r>
        <w:t>Power BI consumes the governed analytical layer for dashboards.</w:t>
      </w:r>
    </w:p>
    <w:p>
      <w:pPr>
        <w:pStyle w:val="ListNumber"/>
        <w:spacing w:after="60"/>
      </w:pPr>
      <w:r>
        <w:t>Cortex Analyst uses the semantic model to generate SQL.</w:t>
      </w:r>
    </w:p>
    <w:p>
      <w:pPr>
        <w:pStyle w:val="ListNumber"/>
        <w:spacing w:after="60"/>
      </w:pPr>
      <w:r>
        <w:t>Snowflake executes the generated SQL against governed data.</w:t>
      </w:r>
    </w:p>
    <w:p>
      <w:pPr>
        <w:pStyle w:val="ListNumber"/>
        <w:spacing w:after="60"/>
      </w:pPr>
      <w:r>
        <w:t>Streamlit presents conversational results to business users.</w:t>
      </w:r>
    </w:p>
    <w:p>
      <w:pPr>
        <w:pStyle w:val="Heading2"/>
        <w:spacing w:before="80" w:after="160"/>
      </w:pPr>
      <w:r>
        <w:rPr>
          <w:b/>
        </w:rPr>
        <w:t>16.1 Lineage Summary</w:t>
      </w:r>
    </w:p>
    <w:p>
      <w:pPr>
        <w:spacing w:line="276" w:lineRule="auto" w:after="120"/>
      </w:pPr>
      <w:r>
        <w:t>SOURCE → AWS S3 → DATABRICKS → BRONZE → SILVER → GOLD → SNOWFLAKE → POWER BI / CORTEX ANALYST → STREAMLIT / BUSINESS USERS</w:t>
      </w:r>
    </w:p>
    <w:p>
      <w:r>
        <w:br w:type="page"/>
      </w:r>
    </w:p>
    <w:p>
      <w:pPr>
        <w:pStyle w:val="Heading1"/>
        <w:spacing w:before="80" w:after="160"/>
      </w:pPr>
      <w:r>
        <w:rPr>
          <w:b/>
        </w:rPr>
        <w:t>17. Project Deliverables and Business Value</w:t>
      </w:r>
    </w:p>
    <w:p>
      <w:pPr>
        <w:pStyle w:val="Heading2"/>
        <w:spacing w:before="80" w:after="160"/>
      </w:pPr>
      <w:r>
        <w:rPr>
          <w:b/>
        </w:rPr>
        <w:t>17.1 Data Engineering Deliverables</w:t>
      </w:r>
    </w:p>
    <w:p>
      <w:pPr>
        <w:pStyle w:val="ListBullet"/>
        <w:spacing w:after="60"/>
        <w:ind w:left="360"/>
      </w:pPr>
      <w:r>
        <w:t>AWS S3 raw data landing architecture.</w:t>
      </w:r>
    </w:p>
    <w:p>
      <w:pPr>
        <w:pStyle w:val="ListBullet"/>
        <w:spacing w:after="60"/>
        <w:ind w:left="360"/>
      </w:pPr>
      <w:r>
        <w:t>Databricks connectivity and processing.</w:t>
      </w:r>
    </w:p>
    <w:p>
      <w:pPr>
        <w:pStyle w:val="ListBullet"/>
        <w:spacing w:after="60"/>
        <w:ind w:left="360"/>
      </w:pPr>
      <w:r>
        <w:t>Bronze, Silver and Gold Medallion layers.</w:t>
      </w:r>
    </w:p>
    <w:p>
      <w:pPr>
        <w:pStyle w:val="ListBullet"/>
        <w:spacing w:after="60"/>
        <w:ind w:left="360"/>
      </w:pPr>
      <w:r>
        <w:t>Silver cleaning and standardization framework.</w:t>
      </w:r>
    </w:p>
    <w:p>
      <w:pPr>
        <w:pStyle w:val="ListBullet"/>
        <w:spacing w:after="60"/>
        <w:ind w:left="360"/>
      </w:pPr>
      <w:r>
        <w:t>Gold fact and dimension model.</w:t>
      </w:r>
    </w:p>
    <w:p>
      <w:pPr>
        <w:pStyle w:val="ListBullet"/>
        <w:spacing w:after="60"/>
        <w:ind w:left="360"/>
      </w:pPr>
      <w:r>
        <w:t>Snowflake analytical serving layer.</w:t>
      </w:r>
    </w:p>
    <w:p>
      <w:pPr>
        <w:pStyle w:val="Heading2"/>
        <w:spacing w:before="80" w:after="160"/>
      </w:pPr>
      <w:r>
        <w:rPr>
          <w:b/>
        </w:rPr>
        <w:t>17.2 Data Quality Deliverables</w:t>
      </w:r>
    </w:p>
    <w:p>
      <w:pPr>
        <w:pStyle w:val="ListBullet"/>
        <w:spacing w:after="60"/>
        <w:ind w:left="360"/>
      </w:pPr>
      <w:r>
        <w:t>Layer-level quality monitoring.</w:t>
      </w:r>
    </w:p>
    <w:p>
      <w:pPr>
        <w:pStyle w:val="ListBullet"/>
        <w:spacing w:after="60"/>
        <w:ind w:left="360"/>
      </w:pPr>
      <w:r>
        <w:t>Column-level profiling.</w:t>
      </w:r>
    </w:p>
    <w:p>
      <w:pPr>
        <w:pStyle w:val="ListBullet"/>
        <w:spacing w:after="60"/>
        <w:ind w:left="360"/>
      </w:pPr>
      <w:r>
        <w:t>Completeness, uniqueness, yield and accuracy scoring.</w:t>
      </w:r>
    </w:p>
    <w:p>
      <w:pPr>
        <w:pStyle w:val="ListBullet"/>
        <w:spacing w:after="60"/>
        <w:ind w:left="360"/>
      </w:pPr>
      <w:r>
        <w:t>Composite health score.</w:t>
      </w:r>
    </w:p>
    <w:p>
      <w:pPr>
        <w:pStyle w:val="ListBullet"/>
        <w:spacing w:after="60"/>
        <w:ind w:left="360"/>
      </w:pPr>
      <w:r>
        <w:t>Snowflake audit repository.</w:t>
      </w:r>
    </w:p>
    <w:p>
      <w:pPr>
        <w:pStyle w:val="ListBullet"/>
        <w:spacing w:after="60"/>
        <w:ind w:left="360"/>
      </w:pPr>
      <w:r>
        <w:t>Operational quality interpretation.</w:t>
      </w:r>
    </w:p>
    <w:p>
      <w:pPr>
        <w:pStyle w:val="Heading2"/>
        <w:spacing w:before="80" w:after="160"/>
      </w:pPr>
      <w:r>
        <w:rPr>
          <w:b/>
        </w:rPr>
        <w:t>17.3 Analytics Deliverables</w:t>
      </w:r>
    </w:p>
    <w:p>
      <w:pPr>
        <w:pStyle w:val="ListBullet"/>
        <w:spacing w:after="60"/>
        <w:ind w:left="360"/>
      </w:pPr>
      <w:r>
        <w:t>Power BI dashboard.</w:t>
      </w:r>
    </w:p>
    <w:p>
      <w:pPr>
        <w:pStyle w:val="ListBullet"/>
        <w:spacing w:after="60"/>
        <w:ind w:left="360"/>
      </w:pPr>
      <w:r>
        <w:t>Interactive KPI and filter experience.</w:t>
      </w:r>
    </w:p>
    <w:p>
      <w:pPr>
        <w:pStyle w:val="ListBullet"/>
        <w:spacing w:after="60"/>
        <w:ind w:left="360"/>
      </w:pPr>
      <w:r>
        <w:t>Healthcare claims analytical model.</w:t>
      </w:r>
    </w:p>
    <w:p>
      <w:pPr>
        <w:pStyle w:val="ListBullet"/>
        <w:spacing w:after="60"/>
        <w:ind w:left="360"/>
      </w:pPr>
      <w:r>
        <w:t>Cortex Analyst semantic model.</w:t>
      </w:r>
    </w:p>
    <w:p>
      <w:pPr>
        <w:pStyle w:val="ListBullet"/>
        <w:spacing w:after="60"/>
        <w:ind w:left="360"/>
      </w:pPr>
      <w:r>
        <w:t>Natural-language-to-SQL analytics.</w:t>
      </w:r>
    </w:p>
    <w:p>
      <w:pPr>
        <w:pStyle w:val="ListBullet"/>
        <w:spacing w:after="60"/>
        <w:ind w:left="360"/>
      </w:pPr>
      <w:r>
        <w:t>Streamlit conversational interface.</w:t>
      </w:r>
    </w:p>
    <w:p>
      <w:pPr>
        <w:pStyle w:val="Heading2"/>
        <w:spacing w:before="80" w:after="160"/>
      </w:pPr>
      <w:r>
        <w:rPr>
          <w:b/>
        </w:rPr>
        <w:t>17.4 Business Value</w:t>
      </w:r>
    </w:p>
    <w:p>
      <w:pPr>
        <w:pStyle w:val="ListBullet"/>
        <w:spacing w:after="60"/>
        <w:ind w:left="360"/>
      </w:pPr>
      <w:r>
        <w:t>Improves confidence in claims reporting.</w:t>
      </w:r>
    </w:p>
    <w:p>
      <w:pPr>
        <w:pStyle w:val="ListBullet"/>
        <w:spacing w:after="60"/>
        <w:ind w:left="360"/>
      </w:pPr>
      <w:r>
        <w:t>Reduces manual SQL dependency for business users.</w:t>
      </w:r>
    </w:p>
    <w:p>
      <w:pPr>
        <w:pStyle w:val="ListBullet"/>
        <w:spacing w:after="60"/>
        <w:ind w:left="360"/>
      </w:pPr>
      <w:r>
        <w:t>Creates a single governed analytical foundation.</w:t>
      </w:r>
    </w:p>
    <w:p>
      <w:pPr>
        <w:pStyle w:val="ListBullet"/>
        <w:spacing w:after="60"/>
        <w:ind w:left="360"/>
      </w:pPr>
      <w:r>
        <w:t>Makes data-quality degradation measurable.</w:t>
      </w:r>
    </w:p>
    <w:p>
      <w:pPr>
        <w:pStyle w:val="ListBullet"/>
        <w:spacing w:after="60"/>
        <w:ind w:left="360"/>
      </w:pPr>
      <w:r>
        <w:t>Supports both recurring reporting and exploratory analysis.</w:t>
      </w:r>
    </w:p>
    <w:p>
      <w:pPr>
        <w:pStyle w:val="ListBullet"/>
        <w:spacing w:after="60"/>
        <w:ind w:left="360"/>
      </w:pPr>
      <w:r>
        <w:t>Provides a reusable architecture for future healthcare analytics use cases.</w:t>
      </w:r>
    </w:p>
    <w:p>
      <w:r>
        <w:br w:type="page"/>
      </w:r>
    </w:p>
    <w:p>
      <w:pPr>
        <w:pStyle w:val="Heading1"/>
        <w:spacing w:before="80" w:after="160"/>
      </w:pPr>
      <w:r>
        <w:rPr>
          <w:b/>
        </w:rPr>
        <w:t>18. Conclusion and Future Enhancements</w:t>
      </w:r>
    </w:p>
    <w:p>
      <w:pPr>
        <w:spacing w:line="276" w:lineRule="auto" w:after="120"/>
      </w:pPr>
      <w:r>
        <w:t>The Healthcare Claims Analytics platform demonstrates a complete path from raw healthcare files to governed analytical and conversational experiences. The project does not treat data engineering, data quality, BI and AI as separate solutions. Instead, they are connected through a common Medallion and Snowflake analytical foundation.</w:t>
      </w:r>
    </w:p>
    <w:p>
      <w:pPr>
        <w:spacing w:line="276" w:lineRule="auto" w:after="120"/>
      </w:pPr>
      <w:r>
        <w:t>The architecture establishes clear responsibilities: AWS S3 provides source landing, Databricks performs scalable transformation, Bronze preserves controlled raw data, Silver produces reliable standardized data, Gold creates business-ready analytical structures, Snowflake provides analytical serving and governance, Power BI delivers visual analytics, and Cortex Analyst with Streamlit provides conversational access.</w:t>
      </w:r>
    </w:p>
    <w:p>
      <w:pPr>
        <w:pStyle w:val="Heading2"/>
        <w:spacing w:before="80" w:after="160"/>
      </w:pPr>
      <w:r>
        <w:rPr>
          <w:b/>
        </w:rPr>
        <w:t>18.1 Future Enhancements</w:t>
      </w:r>
    </w:p>
    <w:p>
      <w:pPr>
        <w:pStyle w:val="ListBullet"/>
        <w:spacing w:after="60"/>
        <w:ind w:left="360"/>
      </w:pPr>
      <w:r>
        <w:t>Automate scheduled or event-driven pipeline execution.</w:t>
      </w:r>
    </w:p>
    <w:p>
      <w:pPr>
        <w:pStyle w:val="ListBullet"/>
        <w:spacing w:after="60"/>
        <w:ind w:left="360"/>
      </w:pPr>
      <w:r>
        <w:t>Introduce incremental processing for newly arrived files.</w:t>
      </w:r>
    </w:p>
    <w:p>
      <w:pPr>
        <w:pStyle w:val="ListBullet"/>
        <w:spacing w:after="60"/>
        <w:ind w:left="360"/>
      </w:pPr>
      <w:r>
        <w:t>Add automated operational alerting for critical DQ scores.</w:t>
      </w:r>
    </w:p>
    <w:p>
      <w:pPr>
        <w:pStyle w:val="ListBullet"/>
        <w:spacing w:after="60"/>
        <w:ind w:left="360"/>
      </w:pPr>
      <w:r>
        <w:t>Expand the semantic model with additional verified business metrics.</w:t>
      </w:r>
    </w:p>
    <w:p>
      <w:pPr>
        <w:pStyle w:val="ListBullet"/>
        <w:spacing w:after="60"/>
        <w:ind w:left="360"/>
      </w:pPr>
      <w:r>
        <w:t>Add role-based business views for different stakeholder groups.</w:t>
      </w:r>
    </w:p>
    <w:p>
      <w:pPr>
        <w:pStyle w:val="ListBullet"/>
        <w:spacing w:after="60"/>
        <w:ind w:left="360"/>
      </w:pPr>
      <w:r>
        <w:t>Introduce stronger observability around pipeline duration and failure rates.</w:t>
      </w:r>
    </w:p>
    <w:p>
      <w:pPr>
        <w:pStyle w:val="ListBullet"/>
        <w:spacing w:after="60"/>
        <w:ind w:left="360"/>
      </w:pPr>
      <w:r>
        <w:t>Extend the analytical model with additional healthcare domains.</w:t>
      </w:r>
    </w:p>
    <w:p>
      <w:pPr>
        <w:pStyle w:val="ListBullet"/>
        <w:spacing w:after="60"/>
        <w:ind w:left="360"/>
      </w:pPr>
      <w:r>
        <w:t>Add production-grade CI/CD and automated regression testing.</w:t>
      </w:r>
    </w:p>
    <w:p>
      <w:pPr>
        <w:pStyle w:val="Heading2"/>
        <w:spacing w:before="80" w:after="160"/>
      </w:pPr>
      <w:r>
        <w:rPr>
          <w:b/>
        </w:rPr>
        <w:t>18.2 Final Positioning</w:t>
      </w:r>
    </w:p>
    <w:p>
      <w:pPr>
        <w:spacing w:line="276" w:lineRule="auto" w:after="120"/>
      </w:pPr>
      <w:r>
        <w:t>The final platform can be positioned as a governed Healthcare Claims Analytics solution combining DATA ENGINEERING + DATA QUALITY + DATA WAREHOUSING + BUSINESS INTELLIGENCE + NATURAL LANGUAGE TO SQL + CONVERSATIONAL ANALYTICS.</w:t>
      </w:r>
    </w:p>
    <w:p>
      <w:r>
        <w:br w:type="page"/>
      </w:r>
    </w:p>
    <w:p>
      <w:pPr>
        <w:pStyle w:val="Heading1"/>
        <w:spacing w:before="80" w:after="160"/>
      </w:pPr>
      <w:r>
        <w:rPr>
          <w:b/>
        </w:rPr>
        <w:t>Appendix A — Technology Inventory</w:t>
      </w:r>
    </w:p>
    <w:tbl>
      <w:tblPr>
        <w:tblStyle w:val="TableGrid"/>
        <w:tblW w:type="auto" w:w="0"/>
        <w:jc w:val="center"/>
        <w:tblLook w:firstColumn="1" w:firstRow="1" w:lastColumn="0" w:lastRow="0" w:noHBand="0" w:noVBand="1" w:val="04A0"/>
      </w:tblPr>
      <w:tblGrid>
        <w:gridCol w:w="4513"/>
        <w:gridCol w:w="4513"/>
      </w:tblGrid>
      <w:tr>
        <w:tc>
          <w:tcPr>
            <w:tcW w:type="dxa" w:w="4513"/>
            <w:shd w:fill="D9EAF7"/>
            <w:vAlign w:val="center"/>
            <w:tcMar>
              <w:top w:w="80" w:type="dxa"/>
              <w:start w:w="100" w:type="dxa"/>
              <w:bottom w:w="80" w:type="dxa"/>
              <w:end w:w="100" w:type="dxa"/>
            </w:tcMar>
          </w:tcPr>
          <w:p>
            <w:r>
              <w:rPr>
                <w:b/>
                <w:sz w:val="18"/>
              </w:rPr>
              <w:t>Technology</w:t>
            </w:r>
          </w:p>
        </w:tc>
        <w:tc>
          <w:tcPr>
            <w:tcW w:type="dxa" w:w="4513"/>
            <w:shd w:fill="D9EAF7"/>
            <w:vAlign w:val="center"/>
            <w:tcMar>
              <w:top w:w="80" w:type="dxa"/>
              <w:start w:w="100" w:type="dxa"/>
              <w:bottom w:w="80" w:type="dxa"/>
              <w:end w:w="100" w:type="dxa"/>
            </w:tcMar>
          </w:tcPr>
          <w:p>
            <w:r>
              <w:rPr>
                <w:b/>
                <w:sz w:val="18"/>
              </w:rPr>
              <w:t>Role in Solution</w:t>
            </w:r>
          </w:p>
        </w:tc>
      </w:tr>
      <w:tr>
        <w:tc>
          <w:tcPr>
            <w:tcW w:type="dxa" w:w="4513"/>
            <w:vAlign w:val="top"/>
            <w:tcMar>
              <w:top w:w="80" w:type="dxa"/>
              <w:start w:w="100" w:type="dxa"/>
              <w:bottom w:w="80" w:type="dxa"/>
              <w:end w:w="100" w:type="dxa"/>
            </w:tcMar>
          </w:tcPr>
          <w:p>
            <w:pPr>
              <w:spacing w:after="0"/>
            </w:pPr>
            <w:r>
              <w:rPr>
                <w:sz w:val="17"/>
              </w:rPr>
              <w:t>Amazon S3</w:t>
            </w:r>
          </w:p>
        </w:tc>
        <w:tc>
          <w:tcPr>
            <w:tcW w:type="dxa" w:w="4513"/>
            <w:vAlign w:val="top"/>
            <w:tcMar>
              <w:top w:w="80" w:type="dxa"/>
              <w:start w:w="100" w:type="dxa"/>
              <w:bottom w:w="80" w:type="dxa"/>
              <w:end w:w="100" w:type="dxa"/>
            </w:tcMar>
          </w:tcPr>
          <w:p>
            <w:pPr>
              <w:spacing w:after="0"/>
            </w:pPr>
            <w:r>
              <w:rPr>
                <w:sz w:val="17"/>
              </w:rPr>
              <w:t>Raw data landing and source preservation</w:t>
            </w:r>
          </w:p>
        </w:tc>
      </w:tr>
      <w:tr>
        <w:tc>
          <w:tcPr>
            <w:tcW w:type="dxa" w:w="4513"/>
            <w:vAlign w:val="top"/>
            <w:tcMar>
              <w:top w:w="80" w:type="dxa"/>
              <w:start w:w="100" w:type="dxa"/>
              <w:bottom w:w="80" w:type="dxa"/>
              <w:end w:w="100" w:type="dxa"/>
            </w:tcMar>
          </w:tcPr>
          <w:p>
            <w:pPr>
              <w:spacing w:after="0"/>
            </w:pPr>
            <w:r>
              <w:rPr>
                <w:sz w:val="17"/>
              </w:rPr>
              <w:t>Databricks</w:t>
            </w:r>
          </w:p>
        </w:tc>
        <w:tc>
          <w:tcPr>
            <w:tcW w:type="dxa" w:w="4513"/>
            <w:vAlign w:val="top"/>
            <w:tcMar>
              <w:top w:w="80" w:type="dxa"/>
              <w:start w:w="100" w:type="dxa"/>
              <w:bottom w:w="80" w:type="dxa"/>
              <w:end w:w="100" w:type="dxa"/>
            </w:tcMar>
          </w:tcPr>
          <w:p>
            <w:pPr>
              <w:spacing w:after="0"/>
            </w:pPr>
            <w:r>
              <w:rPr>
                <w:sz w:val="17"/>
              </w:rPr>
              <w:t>Distributed processing and Medallion transformations</w:t>
            </w:r>
          </w:p>
        </w:tc>
      </w:tr>
      <w:tr>
        <w:tc>
          <w:tcPr>
            <w:tcW w:type="dxa" w:w="4513"/>
            <w:vAlign w:val="top"/>
            <w:tcMar>
              <w:top w:w="80" w:type="dxa"/>
              <w:start w:w="100" w:type="dxa"/>
              <w:bottom w:w="80" w:type="dxa"/>
              <w:end w:w="100" w:type="dxa"/>
            </w:tcMar>
          </w:tcPr>
          <w:p>
            <w:pPr>
              <w:spacing w:after="0"/>
            </w:pPr>
            <w:r>
              <w:rPr>
                <w:sz w:val="17"/>
              </w:rPr>
              <w:t>PySpark / Python</w:t>
            </w:r>
          </w:p>
        </w:tc>
        <w:tc>
          <w:tcPr>
            <w:tcW w:type="dxa" w:w="4513"/>
            <w:vAlign w:val="top"/>
            <w:tcMar>
              <w:top w:w="80" w:type="dxa"/>
              <w:start w:w="100" w:type="dxa"/>
              <w:bottom w:w="80" w:type="dxa"/>
              <w:end w:w="100" w:type="dxa"/>
            </w:tcMar>
          </w:tcPr>
          <w:p>
            <w:pPr>
              <w:spacing w:after="0"/>
            </w:pPr>
            <w:r>
              <w:rPr>
                <w:sz w:val="17"/>
              </w:rPr>
              <w:t>Data processing, validation and application logic</w:t>
            </w:r>
          </w:p>
        </w:tc>
      </w:tr>
      <w:tr>
        <w:tc>
          <w:tcPr>
            <w:tcW w:type="dxa" w:w="4513"/>
            <w:vAlign w:val="top"/>
            <w:tcMar>
              <w:top w:w="80" w:type="dxa"/>
              <w:start w:w="100" w:type="dxa"/>
              <w:bottom w:w="80" w:type="dxa"/>
              <w:end w:w="100" w:type="dxa"/>
            </w:tcMar>
          </w:tcPr>
          <w:p>
            <w:pPr>
              <w:spacing w:after="0"/>
            </w:pPr>
            <w:r>
              <w:rPr>
                <w:sz w:val="17"/>
              </w:rPr>
              <w:t>Snowflake</w:t>
            </w:r>
          </w:p>
        </w:tc>
        <w:tc>
          <w:tcPr>
            <w:tcW w:type="dxa" w:w="4513"/>
            <w:vAlign w:val="top"/>
            <w:tcMar>
              <w:top w:w="80" w:type="dxa"/>
              <w:start w:w="100" w:type="dxa"/>
              <w:bottom w:w="80" w:type="dxa"/>
              <w:end w:w="100" w:type="dxa"/>
            </w:tcMar>
          </w:tcPr>
          <w:p>
            <w:pPr>
              <w:spacing w:after="0"/>
            </w:pPr>
            <w:r>
              <w:rPr>
                <w:sz w:val="17"/>
              </w:rPr>
              <w:t>Analytical serving, SQL execution and DQ audit repository</w:t>
            </w:r>
          </w:p>
        </w:tc>
      </w:tr>
      <w:tr>
        <w:tc>
          <w:tcPr>
            <w:tcW w:type="dxa" w:w="4513"/>
            <w:vAlign w:val="top"/>
            <w:tcMar>
              <w:top w:w="80" w:type="dxa"/>
              <w:start w:w="100" w:type="dxa"/>
              <w:bottom w:w="80" w:type="dxa"/>
              <w:end w:w="100" w:type="dxa"/>
            </w:tcMar>
          </w:tcPr>
          <w:p>
            <w:pPr>
              <w:spacing w:after="0"/>
            </w:pPr>
            <w:r>
              <w:rPr>
                <w:sz w:val="17"/>
              </w:rPr>
              <w:t>Power BI</w:t>
            </w:r>
          </w:p>
        </w:tc>
        <w:tc>
          <w:tcPr>
            <w:tcW w:type="dxa" w:w="4513"/>
            <w:vAlign w:val="top"/>
            <w:tcMar>
              <w:top w:w="80" w:type="dxa"/>
              <w:start w:w="100" w:type="dxa"/>
              <w:bottom w:w="80" w:type="dxa"/>
              <w:end w:w="100" w:type="dxa"/>
            </w:tcMar>
          </w:tcPr>
          <w:p>
            <w:pPr>
              <w:spacing w:after="0"/>
            </w:pPr>
            <w:r>
              <w:rPr>
                <w:sz w:val="17"/>
              </w:rPr>
              <w:t>Business intelligence and dashboard visualization</w:t>
            </w:r>
          </w:p>
        </w:tc>
      </w:tr>
      <w:tr>
        <w:tc>
          <w:tcPr>
            <w:tcW w:type="dxa" w:w="4513"/>
            <w:vAlign w:val="top"/>
            <w:tcMar>
              <w:top w:w="80" w:type="dxa"/>
              <w:start w:w="100" w:type="dxa"/>
              <w:bottom w:w="80" w:type="dxa"/>
              <w:end w:w="100" w:type="dxa"/>
            </w:tcMar>
          </w:tcPr>
          <w:p>
            <w:pPr>
              <w:spacing w:after="0"/>
            </w:pPr>
            <w:r>
              <w:rPr>
                <w:sz w:val="17"/>
              </w:rPr>
              <w:t>Snowflake Cortex Analyst</w:t>
            </w:r>
          </w:p>
        </w:tc>
        <w:tc>
          <w:tcPr>
            <w:tcW w:type="dxa" w:w="4513"/>
            <w:vAlign w:val="top"/>
            <w:tcMar>
              <w:top w:w="80" w:type="dxa"/>
              <w:start w:w="100" w:type="dxa"/>
              <w:bottom w:w="80" w:type="dxa"/>
              <w:end w:w="100" w:type="dxa"/>
            </w:tcMar>
          </w:tcPr>
          <w:p>
            <w:pPr>
              <w:spacing w:after="0"/>
            </w:pPr>
            <w:r>
              <w:rPr>
                <w:sz w:val="17"/>
              </w:rPr>
              <w:t>Natural-language-to-SQL analytical capability</w:t>
            </w:r>
          </w:p>
        </w:tc>
      </w:tr>
      <w:tr>
        <w:tc>
          <w:tcPr>
            <w:tcW w:type="dxa" w:w="4513"/>
            <w:vAlign w:val="top"/>
            <w:tcMar>
              <w:top w:w="80" w:type="dxa"/>
              <w:start w:w="100" w:type="dxa"/>
              <w:bottom w:w="80" w:type="dxa"/>
              <w:end w:w="100" w:type="dxa"/>
            </w:tcMar>
          </w:tcPr>
          <w:p>
            <w:pPr>
              <w:spacing w:after="0"/>
            </w:pPr>
            <w:r>
              <w:rPr>
                <w:sz w:val="17"/>
              </w:rPr>
              <w:t>Semantic Model YAML</w:t>
            </w:r>
          </w:p>
        </w:tc>
        <w:tc>
          <w:tcPr>
            <w:tcW w:type="dxa" w:w="4513"/>
            <w:vAlign w:val="top"/>
            <w:tcMar>
              <w:top w:w="80" w:type="dxa"/>
              <w:start w:w="100" w:type="dxa"/>
              <w:bottom w:w="80" w:type="dxa"/>
              <w:end w:w="100" w:type="dxa"/>
            </w:tcMar>
          </w:tcPr>
          <w:p>
            <w:pPr>
              <w:spacing w:after="0"/>
            </w:pPr>
            <w:r>
              <w:rPr>
                <w:sz w:val="17"/>
              </w:rPr>
              <w:t>Business semantic context for Cortex Analyst</w:t>
            </w:r>
          </w:p>
        </w:tc>
      </w:tr>
      <w:tr>
        <w:tc>
          <w:tcPr>
            <w:tcW w:type="dxa" w:w="4513"/>
            <w:vAlign w:val="top"/>
            <w:tcMar>
              <w:top w:w="80" w:type="dxa"/>
              <w:start w:w="100" w:type="dxa"/>
              <w:bottom w:w="80" w:type="dxa"/>
              <w:end w:w="100" w:type="dxa"/>
            </w:tcMar>
          </w:tcPr>
          <w:p>
            <w:pPr>
              <w:spacing w:after="0"/>
            </w:pPr>
            <w:r>
              <w:rPr>
                <w:sz w:val="17"/>
              </w:rPr>
              <w:t>Streamlit</w:t>
            </w:r>
          </w:p>
        </w:tc>
        <w:tc>
          <w:tcPr>
            <w:tcW w:type="dxa" w:w="4513"/>
            <w:vAlign w:val="top"/>
            <w:tcMar>
              <w:top w:w="80" w:type="dxa"/>
              <w:start w:w="100" w:type="dxa"/>
              <w:bottom w:w="80" w:type="dxa"/>
              <w:end w:w="100" w:type="dxa"/>
            </w:tcMar>
          </w:tcPr>
          <w:p>
            <w:pPr>
              <w:spacing w:after="0"/>
            </w:pPr>
            <w:r>
              <w:rPr>
                <w:sz w:val="17"/>
              </w:rPr>
              <w:t>Conversational analytics user interface</w:t>
            </w:r>
          </w:p>
        </w:tc>
      </w:tr>
      <w:tr>
        <w:tc>
          <w:tcPr>
            <w:tcW w:type="dxa" w:w="4513"/>
            <w:vAlign w:val="top"/>
            <w:tcMar>
              <w:top w:w="80" w:type="dxa"/>
              <w:start w:w="100" w:type="dxa"/>
              <w:bottom w:w="80" w:type="dxa"/>
              <w:end w:w="100" w:type="dxa"/>
            </w:tcMar>
          </w:tcPr>
          <w:p>
            <w:pPr>
              <w:spacing w:after="0"/>
            </w:pPr>
            <w:r>
              <w:rPr>
                <w:sz w:val="17"/>
              </w:rPr>
              <w:t>Pandas</w:t>
            </w:r>
          </w:p>
        </w:tc>
        <w:tc>
          <w:tcPr>
            <w:tcW w:type="dxa" w:w="4513"/>
            <w:vAlign w:val="top"/>
            <w:tcMar>
              <w:top w:w="80" w:type="dxa"/>
              <w:start w:w="100" w:type="dxa"/>
              <w:bottom w:w="80" w:type="dxa"/>
              <w:end w:w="100" w:type="dxa"/>
            </w:tcMar>
          </w:tcPr>
          <w:p>
            <w:pPr>
              <w:spacing w:after="0"/>
            </w:pPr>
            <w:r>
              <w:rPr>
                <w:sz w:val="17"/>
              </w:rPr>
              <w:t>Result handling and presentation where required</w:t>
            </w:r>
          </w:p>
        </w:tc>
      </w:tr>
    </w:tbl>
    <w:p>
      <w:pPr>
        <w:spacing w:after="20"/>
      </w:pPr>
    </w:p>
    <w:p>
      <w:pPr>
        <w:pStyle w:val="Heading2"/>
        <w:spacing w:before="80" w:after="160"/>
      </w:pPr>
      <w:r>
        <w:rPr>
          <w:b/>
        </w:rPr>
        <w:t>Documentation Standards</w:t>
      </w:r>
    </w:p>
    <w:p>
      <w:pPr>
        <w:pStyle w:val="ListBullet"/>
        <w:spacing w:after="60"/>
        <w:ind w:left="360"/>
      </w:pPr>
      <w:r>
        <w:t>A4 page size.</w:t>
      </w:r>
    </w:p>
    <w:p>
      <w:pPr>
        <w:pStyle w:val="ListBullet"/>
        <w:spacing w:after="60"/>
        <w:ind w:left="360"/>
      </w:pPr>
      <w:r>
        <w:t>Arial font family.</w:t>
      </w:r>
    </w:p>
    <w:p>
      <w:pPr>
        <w:pStyle w:val="ListBullet"/>
        <w:spacing w:after="60"/>
        <w:ind w:left="360"/>
      </w:pPr>
      <w:r>
        <w:t>Title: 30 pt bold.</w:t>
      </w:r>
    </w:p>
    <w:p>
      <w:pPr>
        <w:pStyle w:val="ListBullet"/>
        <w:spacing w:after="60"/>
        <w:ind w:left="360"/>
      </w:pPr>
      <w:r>
        <w:t>Main headings: 20 pt bold.</w:t>
      </w:r>
    </w:p>
    <w:p>
      <w:pPr>
        <w:pStyle w:val="ListBullet"/>
        <w:spacing w:after="60"/>
        <w:ind w:left="360"/>
      </w:pPr>
      <w:r>
        <w:t>Subheadings: 16 pt bold.</w:t>
      </w:r>
    </w:p>
    <w:p>
      <w:pPr>
        <w:pStyle w:val="ListBullet"/>
        <w:spacing w:after="60"/>
        <w:ind w:left="360"/>
      </w:pPr>
      <w:r>
        <w:t>Third-level headings: 14 pt bold.</w:t>
      </w:r>
    </w:p>
    <w:p>
      <w:pPr>
        <w:pStyle w:val="ListBullet"/>
        <w:spacing w:after="60"/>
        <w:ind w:left="360"/>
      </w:pPr>
      <w:r>
        <w:t>Body text: 11 pt.</w:t>
      </w:r>
    </w:p>
    <w:p>
      <w:pPr>
        <w:pStyle w:val="ListBullet"/>
        <w:spacing w:after="60"/>
        <w:ind w:left="360"/>
      </w:pPr>
      <w:r>
        <w:t>Compact table/caption text: approximately 9 pt.</w:t>
      </w:r>
    </w:p>
    <w:p>
      <w:pPr>
        <w:pStyle w:val="ListBullet"/>
        <w:spacing w:after="60"/>
        <w:ind w:left="360"/>
      </w:pPr>
      <w:r>
        <w:t>1.15 line spacing.</w:t>
      </w:r>
    </w:p>
    <w:p>
      <w:pPr>
        <w:pStyle w:val="ListBullet"/>
        <w:spacing w:after="60"/>
        <w:ind w:left="360"/>
      </w:pPr>
      <w:r>
        <w:t>Consistent margins and page numbering.</w:t>
      </w:r>
    </w:p>
    <w:p>
      <w:pPr>
        <w:pStyle w:val="ListBullet"/>
        <w:spacing w:after="60"/>
        <w:ind w:left="360"/>
      </w:pPr>
      <w:r>
        <w:t>Bold formatting is represented using document styles rather than Markdown symbols.</w:t>
      </w:r>
    </w:p>
    <w:p>
      <w:r>
        <w:br w:type="page"/>
      </w:r>
    </w:p>
    <w:p>
      <w:pPr>
        <w:pStyle w:val="Heading1"/>
        <w:spacing w:before="80" w:after="160"/>
      </w:pPr>
      <w:r>
        <w:rPr>
          <w:b/>
        </w:rPr>
        <w:t>Appendix B — Gold Data Model Summary</w:t>
      </w:r>
    </w:p>
    <w:p>
      <w:pPr>
        <w:spacing w:line="276" w:lineRule="auto" w:after="120"/>
      </w:pPr>
      <w:r>
        <w:t>The Gold model is organized as a star-oriented analytical structure. Shared dimensions provide descriptive context while fact tables represent measurable healthcare events.</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D9EAF7"/>
            <w:vAlign w:val="center"/>
            <w:tcMar>
              <w:top w:w="80" w:type="dxa"/>
              <w:start w:w="100" w:type="dxa"/>
              <w:bottom w:w="80" w:type="dxa"/>
              <w:end w:w="100" w:type="dxa"/>
            </w:tcMar>
          </w:tcPr>
          <w:p>
            <w:r>
              <w:rPr>
                <w:b/>
                <w:sz w:val="18"/>
              </w:rPr>
              <w:t>Table</w:t>
            </w:r>
          </w:p>
        </w:tc>
        <w:tc>
          <w:tcPr>
            <w:tcW w:type="dxa" w:w="3009"/>
            <w:shd w:fill="D9EAF7"/>
            <w:vAlign w:val="center"/>
            <w:tcMar>
              <w:top w:w="80" w:type="dxa"/>
              <w:start w:w="100" w:type="dxa"/>
              <w:bottom w:w="80" w:type="dxa"/>
              <w:end w:w="100" w:type="dxa"/>
            </w:tcMar>
          </w:tcPr>
          <w:p>
            <w:r>
              <w:rPr>
                <w:b/>
                <w:sz w:val="18"/>
              </w:rPr>
              <w:t>Type</w:t>
            </w:r>
          </w:p>
        </w:tc>
        <w:tc>
          <w:tcPr>
            <w:tcW w:type="dxa" w:w="3009"/>
            <w:shd w:fill="D9EAF7"/>
            <w:vAlign w:val="center"/>
            <w:tcMar>
              <w:top w:w="80" w:type="dxa"/>
              <w:start w:w="100" w:type="dxa"/>
              <w:bottom w:w="80" w:type="dxa"/>
              <w:end w:w="100" w:type="dxa"/>
            </w:tcMar>
          </w:tcPr>
          <w:p>
            <w:r>
              <w:rPr>
                <w:b/>
                <w:sz w:val="18"/>
              </w:rPr>
              <w:t>Primary Analytical Purpose</w:t>
            </w:r>
          </w:p>
        </w:tc>
      </w:tr>
      <w:tr>
        <w:tc>
          <w:tcPr>
            <w:tcW w:type="dxa" w:w="3009"/>
            <w:vAlign w:val="top"/>
            <w:tcMar>
              <w:top w:w="80" w:type="dxa"/>
              <w:start w:w="100" w:type="dxa"/>
              <w:bottom w:w="80" w:type="dxa"/>
              <w:end w:w="100" w:type="dxa"/>
            </w:tcMar>
          </w:tcPr>
          <w:p>
            <w:pPr>
              <w:spacing w:after="0"/>
            </w:pPr>
            <w:r>
              <w:rPr>
                <w:sz w:val="17"/>
              </w:rPr>
              <w:t>DIM_BENEFICIARY</w:t>
            </w:r>
          </w:p>
        </w:tc>
        <w:tc>
          <w:tcPr>
            <w:tcW w:type="dxa" w:w="3009"/>
            <w:vAlign w:val="top"/>
            <w:tcMar>
              <w:top w:w="80" w:type="dxa"/>
              <w:start w:w="100" w:type="dxa"/>
              <w:bottom w:w="80" w:type="dxa"/>
              <w:end w:w="100" w:type="dxa"/>
            </w:tcMar>
          </w:tcPr>
          <w:p>
            <w:pPr>
              <w:spacing w:after="0"/>
            </w:pPr>
            <w:r>
              <w:rPr>
                <w:sz w:val="17"/>
              </w:rPr>
              <w:t>Dimension</w:t>
            </w:r>
          </w:p>
        </w:tc>
        <w:tc>
          <w:tcPr>
            <w:tcW w:type="dxa" w:w="3009"/>
            <w:vAlign w:val="top"/>
            <w:tcMar>
              <w:top w:w="80" w:type="dxa"/>
              <w:start w:w="100" w:type="dxa"/>
              <w:bottom w:w="80" w:type="dxa"/>
              <w:end w:w="100" w:type="dxa"/>
            </w:tcMar>
          </w:tcPr>
          <w:p>
            <w:pPr>
              <w:spacing w:after="0"/>
            </w:pPr>
            <w:r>
              <w:rPr>
                <w:sz w:val="17"/>
              </w:rPr>
              <w:t>Beneficiary demographics and segmentation</w:t>
            </w:r>
          </w:p>
        </w:tc>
      </w:tr>
      <w:tr>
        <w:tc>
          <w:tcPr>
            <w:tcW w:type="dxa" w:w="3009"/>
            <w:vAlign w:val="top"/>
            <w:tcMar>
              <w:top w:w="80" w:type="dxa"/>
              <w:start w:w="100" w:type="dxa"/>
              <w:bottom w:w="80" w:type="dxa"/>
              <w:end w:w="100" w:type="dxa"/>
            </w:tcMar>
          </w:tcPr>
          <w:p>
            <w:pPr>
              <w:spacing w:after="0"/>
            </w:pPr>
            <w:r>
              <w:rPr>
                <w:sz w:val="17"/>
              </w:rPr>
              <w:t>DIM_PROVIDER</w:t>
            </w:r>
          </w:p>
        </w:tc>
        <w:tc>
          <w:tcPr>
            <w:tcW w:type="dxa" w:w="3009"/>
            <w:vAlign w:val="top"/>
            <w:tcMar>
              <w:top w:w="80" w:type="dxa"/>
              <w:start w:w="100" w:type="dxa"/>
              <w:bottom w:w="80" w:type="dxa"/>
              <w:end w:w="100" w:type="dxa"/>
            </w:tcMar>
          </w:tcPr>
          <w:p>
            <w:pPr>
              <w:spacing w:after="0"/>
            </w:pPr>
            <w:r>
              <w:rPr>
                <w:sz w:val="17"/>
              </w:rPr>
              <w:t>Dimension</w:t>
            </w:r>
          </w:p>
        </w:tc>
        <w:tc>
          <w:tcPr>
            <w:tcW w:type="dxa" w:w="3009"/>
            <w:vAlign w:val="top"/>
            <w:tcMar>
              <w:top w:w="80" w:type="dxa"/>
              <w:start w:w="100" w:type="dxa"/>
              <w:bottom w:w="80" w:type="dxa"/>
              <w:end w:w="100" w:type="dxa"/>
            </w:tcMar>
          </w:tcPr>
          <w:p>
            <w:pPr>
              <w:spacing w:after="0"/>
            </w:pPr>
            <w:r>
              <w:rPr>
                <w:sz w:val="17"/>
              </w:rPr>
              <w:t>Provider identification and classification</w:t>
            </w:r>
          </w:p>
        </w:tc>
      </w:tr>
      <w:tr>
        <w:tc>
          <w:tcPr>
            <w:tcW w:type="dxa" w:w="3009"/>
            <w:vAlign w:val="top"/>
            <w:tcMar>
              <w:top w:w="80" w:type="dxa"/>
              <w:start w:w="100" w:type="dxa"/>
              <w:bottom w:w="80" w:type="dxa"/>
              <w:end w:w="100" w:type="dxa"/>
            </w:tcMar>
          </w:tcPr>
          <w:p>
            <w:pPr>
              <w:spacing w:after="0"/>
            </w:pPr>
            <w:r>
              <w:rPr>
                <w:sz w:val="17"/>
              </w:rPr>
              <w:t>DIM_DATE</w:t>
            </w:r>
          </w:p>
        </w:tc>
        <w:tc>
          <w:tcPr>
            <w:tcW w:type="dxa" w:w="3009"/>
            <w:vAlign w:val="top"/>
            <w:tcMar>
              <w:top w:w="80" w:type="dxa"/>
              <w:start w:w="100" w:type="dxa"/>
              <w:bottom w:w="80" w:type="dxa"/>
              <w:end w:w="100" w:type="dxa"/>
            </w:tcMar>
          </w:tcPr>
          <w:p>
            <w:pPr>
              <w:spacing w:after="0"/>
            </w:pPr>
            <w:r>
              <w:rPr>
                <w:sz w:val="17"/>
              </w:rPr>
              <w:t>Dimension</w:t>
            </w:r>
          </w:p>
        </w:tc>
        <w:tc>
          <w:tcPr>
            <w:tcW w:type="dxa" w:w="3009"/>
            <w:vAlign w:val="top"/>
            <w:tcMar>
              <w:top w:w="80" w:type="dxa"/>
              <w:start w:w="100" w:type="dxa"/>
              <w:bottom w:w="80" w:type="dxa"/>
              <w:end w:w="100" w:type="dxa"/>
            </w:tcMar>
          </w:tcPr>
          <w:p>
            <w:pPr>
              <w:spacing w:after="0"/>
            </w:pPr>
            <w:r>
              <w:rPr>
                <w:sz w:val="17"/>
              </w:rPr>
              <w:t>Time-based analysis</w:t>
            </w:r>
          </w:p>
        </w:tc>
      </w:tr>
      <w:tr>
        <w:tc>
          <w:tcPr>
            <w:tcW w:type="dxa" w:w="3009"/>
            <w:vAlign w:val="top"/>
            <w:tcMar>
              <w:top w:w="80" w:type="dxa"/>
              <w:start w:w="100" w:type="dxa"/>
              <w:bottom w:w="80" w:type="dxa"/>
              <w:end w:w="100" w:type="dxa"/>
            </w:tcMar>
          </w:tcPr>
          <w:p>
            <w:pPr>
              <w:spacing w:after="0"/>
            </w:pPr>
            <w:r>
              <w:rPr>
                <w:sz w:val="17"/>
              </w:rPr>
              <w:t>DIM_DIAGNOSIS</w:t>
            </w:r>
          </w:p>
        </w:tc>
        <w:tc>
          <w:tcPr>
            <w:tcW w:type="dxa" w:w="3009"/>
            <w:vAlign w:val="top"/>
            <w:tcMar>
              <w:top w:w="80" w:type="dxa"/>
              <w:start w:w="100" w:type="dxa"/>
              <w:bottom w:w="80" w:type="dxa"/>
              <w:end w:w="100" w:type="dxa"/>
            </w:tcMar>
          </w:tcPr>
          <w:p>
            <w:pPr>
              <w:spacing w:after="0"/>
            </w:pPr>
            <w:r>
              <w:rPr>
                <w:sz w:val="17"/>
              </w:rPr>
              <w:t>Dimension</w:t>
            </w:r>
          </w:p>
        </w:tc>
        <w:tc>
          <w:tcPr>
            <w:tcW w:type="dxa" w:w="3009"/>
            <w:vAlign w:val="top"/>
            <w:tcMar>
              <w:top w:w="80" w:type="dxa"/>
              <w:start w:w="100" w:type="dxa"/>
              <w:bottom w:w="80" w:type="dxa"/>
              <w:end w:w="100" w:type="dxa"/>
            </w:tcMar>
          </w:tcPr>
          <w:p>
            <w:pPr>
              <w:spacing w:after="0"/>
            </w:pPr>
            <w:r>
              <w:rPr>
                <w:sz w:val="17"/>
              </w:rPr>
              <w:t>Diagnosis classification</w:t>
            </w:r>
          </w:p>
        </w:tc>
      </w:tr>
      <w:tr>
        <w:tc>
          <w:tcPr>
            <w:tcW w:type="dxa" w:w="3009"/>
            <w:vAlign w:val="top"/>
            <w:tcMar>
              <w:top w:w="80" w:type="dxa"/>
              <w:start w:w="100" w:type="dxa"/>
              <w:bottom w:w="80" w:type="dxa"/>
              <w:end w:w="100" w:type="dxa"/>
            </w:tcMar>
          </w:tcPr>
          <w:p>
            <w:pPr>
              <w:spacing w:after="0"/>
            </w:pPr>
            <w:r>
              <w:rPr>
                <w:sz w:val="17"/>
              </w:rPr>
              <w:t>DIM_CLAIM_STATUS</w:t>
            </w:r>
          </w:p>
        </w:tc>
        <w:tc>
          <w:tcPr>
            <w:tcW w:type="dxa" w:w="3009"/>
            <w:vAlign w:val="top"/>
            <w:tcMar>
              <w:top w:w="80" w:type="dxa"/>
              <w:start w:w="100" w:type="dxa"/>
              <w:bottom w:w="80" w:type="dxa"/>
              <w:end w:w="100" w:type="dxa"/>
            </w:tcMar>
          </w:tcPr>
          <w:p>
            <w:pPr>
              <w:spacing w:after="0"/>
            </w:pPr>
            <w:r>
              <w:rPr>
                <w:sz w:val="17"/>
              </w:rPr>
              <w:t>Dimension</w:t>
            </w:r>
          </w:p>
        </w:tc>
        <w:tc>
          <w:tcPr>
            <w:tcW w:type="dxa" w:w="3009"/>
            <w:vAlign w:val="top"/>
            <w:tcMar>
              <w:top w:w="80" w:type="dxa"/>
              <w:start w:w="100" w:type="dxa"/>
              <w:bottom w:w="80" w:type="dxa"/>
              <w:end w:w="100" w:type="dxa"/>
            </w:tcMar>
          </w:tcPr>
          <w:p>
            <w:pPr>
              <w:spacing w:after="0"/>
            </w:pPr>
            <w:r>
              <w:rPr>
                <w:sz w:val="17"/>
              </w:rPr>
              <w:t>Claim lifecycle/status analysis</w:t>
            </w:r>
          </w:p>
        </w:tc>
      </w:tr>
      <w:tr>
        <w:tc>
          <w:tcPr>
            <w:tcW w:type="dxa" w:w="3009"/>
            <w:vAlign w:val="top"/>
            <w:tcMar>
              <w:top w:w="80" w:type="dxa"/>
              <w:start w:w="100" w:type="dxa"/>
              <w:bottom w:w="80" w:type="dxa"/>
              <w:end w:w="100" w:type="dxa"/>
            </w:tcMar>
          </w:tcPr>
          <w:p>
            <w:pPr>
              <w:spacing w:after="0"/>
            </w:pPr>
            <w:r>
              <w:rPr>
                <w:sz w:val="17"/>
              </w:rPr>
              <w:t>FACT_CLAIMS</w:t>
            </w:r>
          </w:p>
        </w:tc>
        <w:tc>
          <w:tcPr>
            <w:tcW w:type="dxa" w:w="3009"/>
            <w:vAlign w:val="top"/>
            <w:tcMar>
              <w:top w:w="80" w:type="dxa"/>
              <w:start w:w="100" w:type="dxa"/>
              <w:bottom w:w="80" w:type="dxa"/>
              <w:end w:w="100" w:type="dxa"/>
            </w:tcMar>
          </w:tcPr>
          <w:p>
            <w:pPr>
              <w:spacing w:after="0"/>
            </w:pPr>
            <w:r>
              <w:rPr>
                <w:sz w:val="17"/>
              </w:rPr>
              <w:t>Fact</w:t>
            </w:r>
          </w:p>
        </w:tc>
        <w:tc>
          <w:tcPr>
            <w:tcW w:type="dxa" w:w="3009"/>
            <w:vAlign w:val="top"/>
            <w:tcMar>
              <w:top w:w="80" w:type="dxa"/>
              <w:start w:w="100" w:type="dxa"/>
              <w:bottom w:w="80" w:type="dxa"/>
              <w:end w:w="100" w:type="dxa"/>
            </w:tcMar>
          </w:tcPr>
          <w:p>
            <w:pPr>
              <w:spacing w:after="0"/>
            </w:pPr>
            <w:r>
              <w:rPr>
                <w:sz w:val="17"/>
              </w:rPr>
              <w:t>General claim-level measures</w:t>
            </w:r>
          </w:p>
        </w:tc>
      </w:tr>
      <w:tr>
        <w:tc>
          <w:tcPr>
            <w:tcW w:type="dxa" w:w="3009"/>
            <w:vAlign w:val="top"/>
            <w:tcMar>
              <w:top w:w="80" w:type="dxa"/>
              <w:start w:w="100" w:type="dxa"/>
              <w:bottom w:w="80" w:type="dxa"/>
              <w:end w:w="100" w:type="dxa"/>
            </w:tcMar>
          </w:tcPr>
          <w:p>
            <w:pPr>
              <w:spacing w:after="0"/>
            </w:pPr>
            <w:r>
              <w:rPr>
                <w:sz w:val="17"/>
              </w:rPr>
              <w:t>FACT_INPATIENT</w:t>
            </w:r>
          </w:p>
        </w:tc>
        <w:tc>
          <w:tcPr>
            <w:tcW w:type="dxa" w:w="3009"/>
            <w:vAlign w:val="top"/>
            <w:tcMar>
              <w:top w:w="80" w:type="dxa"/>
              <w:start w:w="100" w:type="dxa"/>
              <w:bottom w:w="80" w:type="dxa"/>
              <w:end w:w="100" w:type="dxa"/>
            </w:tcMar>
          </w:tcPr>
          <w:p>
            <w:pPr>
              <w:spacing w:after="0"/>
            </w:pPr>
            <w:r>
              <w:rPr>
                <w:sz w:val="17"/>
              </w:rPr>
              <w:t>Fact</w:t>
            </w:r>
          </w:p>
        </w:tc>
        <w:tc>
          <w:tcPr>
            <w:tcW w:type="dxa" w:w="3009"/>
            <w:vAlign w:val="top"/>
            <w:tcMar>
              <w:top w:w="80" w:type="dxa"/>
              <w:start w:w="100" w:type="dxa"/>
              <w:bottom w:w="80" w:type="dxa"/>
              <w:end w:w="100" w:type="dxa"/>
            </w:tcMar>
          </w:tcPr>
          <w:p>
            <w:pPr>
              <w:spacing w:after="0"/>
            </w:pPr>
            <w:r>
              <w:rPr>
                <w:sz w:val="17"/>
              </w:rPr>
              <w:t>Inpatient claim measures</w:t>
            </w:r>
          </w:p>
        </w:tc>
      </w:tr>
      <w:tr>
        <w:tc>
          <w:tcPr>
            <w:tcW w:type="dxa" w:w="3009"/>
            <w:vAlign w:val="top"/>
            <w:tcMar>
              <w:top w:w="80" w:type="dxa"/>
              <w:start w:w="100" w:type="dxa"/>
              <w:bottom w:w="80" w:type="dxa"/>
              <w:end w:w="100" w:type="dxa"/>
            </w:tcMar>
          </w:tcPr>
          <w:p>
            <w:pPr>
              <w:spacing w:after="0"/>
            </w:pPr>
            <w:r>
              <w:rPr>
                <w:sz w:val="17"/>
              </w:rPr>
              <w:t>FACT_PHARMACY</w:t>
            </w:r>
          </w:p>
        </w:tc>
        <w:tc>
          <w:tcPr>
            <w:tcW w:type="dxa" w:w="3009"/>
            <w:vAlign w:val="top"/>
            <w:tcMar>
              <w:top w:w="80" w:type="dxa"/>
              <w:start w:w="100" w:type="dxa"/>
              <w:bottom w:w="80" w:type="dxa"/>
              <w:end w:w="100" w:type="dxa"/>
            </w:tcMar>
          </w:tcPr>
          <w:p>
            <w:pPr>
              <w:spacing w:after="0"/>
            </w:pPr>
            <w:r>
              <w:rPr>
                <w:sz w:val="17"/>
              </w:rPr>
              <w:t>Fact</w:t>
            </w:r>
          </w:p>
        </w:tc>
        <w:tc>
          <w:tcPr>
            <w:tcW w:type="dxa" w:w="3009"/>
            <w:vAlign w:val="top"/>
            <w:tcMar>
              <w:top w:w="80" w:type="dxa"/>
              <w:start w:w="100" w:type="dxa"/>
              <w:bottom w:w="80" w:type="dxa"/>
              <w:end w:w="100" w:type="dxa"/>
            </w:tcMar>
          </w:tcPr>
          <w:p>
            <w:pPr>
              <w:spacing w:after="0"/>
            </w:pPr>
            <w:r>
              <w:rPr>
                <w:sz w:val="17"/>
              </w:rPr>
              <w:t>Prescription drug event measures</w:t>
            </w:r>
          </w:p>
        </w:tc>
      </w:tr>
    </w:tbl>
    <w:p>
      <w:pPr>
        <w:spacing w:after="20"/>
      </w:pPr>
    </w:p>
    <w:p>
      <w:pPr>
        <w:pStyle w:val="Heading2"/>
        <w:spacing w:before="80" w:after="160"/>
      </w:pPr>
      <w:r>
        <w:rPr>
          <w:b/>
        </w:rPr>
        <w:t>Relationship Principle</w:t>
      </w:r>
    </w:p>
    <w:p>
      <w:pPr>
        <w:spacing w:line="276" w:lineRule="auto" w:after="120"/>
      </w:pPr>
      <w:r>
        <w:t>Fact tables reference reusable dimension keys. This supports consistent filtering and aggregation across multiple analytical subject areas and keeps the Power BI model easier to understand.</w:t>
      </w:r>
    </w:p>
    <w:p>
      <w:r>
        <w:br w:type="page"/>
      </w:r>
    </w:p>
    <w:p>
      <w:pPr>
        <w:pStyle w:val="Heading1"/>
        <w:spacing w:before="80" w:after="160"/>
      </w:pPr>
      <w:r>
        <w:rPr>
          <w:b/>
        </w:rPr>
        <w:t>Appendix C — Example Business Questions</w:t>
      </w:r>
    </w:p>
    <w:p>
      <w:pPr>
        <w:pStyle w:val="Heading2"/>
        <w:spacing w:before="80" w:after="160"/>
      </w:pPr>
      <w:r>
        <w:rPr>
          <w:b/>
        </w:rPr>
        <w:t>Claims</w:t>
      </w:r>
    </w:p>
    <w:p>
      <w:pPr>
        <w:pStyle w:val="ListBullet"/>
        <w:spacing w:after="60"/>
        <w:ind w:left="360"/>
      </w:pPr>
      <w:r>
        <w:t>How many claims are there?</w:t>
      </w:r>
    </w:p>
    <w:p>
      <w:pPr>
        <w:pStyle w:val="ListBullet"/>
        <w:spacing w:after="60"/>
        <w:ind w:left="360"/>
      </w:pPr>
      <w:r>
        <w:t>Show claim count by claim status.</w:t>
      </w:r>
    </w:p>
    <w:p>
      <w:pPr>
        <w:pStyle w:val="ListBullet"/>
        <w:spacing w:after="60"/>
        <w:ind w:left="360"/>
      </w:pPr>
      <w:r>
        <w:t>Show claim count by claim type.</w:t>
      </w:r>
    </w:p>
    <w:p>
      <w:pPr>
        <w:pStyle w:val="ListBullet"/>
        <w:spacing w:after="60"/>
        <w:ind w:left="360"/>
      </w:pPr>
      <w:r>
        <w:t>Which claims were approved?</w:t>
      </w:r>
    </w:p>
    <w:p>
      <w:pPr>
        <w:pStyle w:val="Heading2"/>
        <w:spacing w:before="80" w:after="160"/>
      </w:pPr>
      <w:r>
        <w:rPr>
          <w:b/>
        </w:rPr>
        <w:t>Payments</w:t>
      </w:r>
    </w:p>
    <w:p>
      <w:pPr>
        <w:pStyle w:val="ListBullet"/>
        <w:spacing w:after="60"/>
        <w:ind w:left="360"/>
      </w:pPr>
      <w:r>
        <w:t>What is the total claim amount?</w:t>
      </w:r>
    </w:p>
    <w:p>
      <w:pPr>
        <w:pStyle w:val="ListBullet"/>
        <w:spacing w:after="60"/>
        <w:ind w:left="360"/>
      </w:pPr>
      <w:r>
        <w:t>What is the total insurance payment?</w:t>
      </w:r>
    </w:p>
    <w:p>
      <w:pPr>
        <w:pStyle w:val="ListBullet"/>
        <w:spacing w:after="60"/>
        <w:ind w:left="360"/>
      </w:pPr>
      <w:r>
        <w:t>What is the total patient payment?</w:t>
      </w:r>
    </w:p>
    <w:p>
      <w:pPr>
        <w:pStyle w:val="Heading2"/>
        <w:spacing w:before="80" w:after="160"/>
      </w:pPr>
      <w:r>
        <w:rPr>
          <w:b/>
        </w:rPr>
        <w:t>Denials</w:t>
      </w:r>
    </w:p>
    <w:p>
      <w:pPr>
        <w:pStyle w:val="ListBullet"/>
        <w:spacing w:after="60"/>
        <w:ind w:left="360"/>
      </w:pPr>
      <w:r>
        <w:t>How many claims were denied?</w:t>
      </w:r>
    </w:p>
    <w:p>
      <w:pPr>
        <w:pStyle w:val="ListBullet"/>
        <w:spacing w:after="60"/>
        <w:ind w:left="360"/>
      </w:pPr>
      <w:r>
        <w:t>What are the main denial reasons?</w:t>
      </w:r>
    </w:p>
    <w:p>
      <w:pPr>
        <w:pStyle w:val="ListBullet"/>
        <w:spacing w:after="60"/>
        <w:ind w:left="360"/>
      </w:pPr>
      <w:r>
        <w:t>What is the denial percentage?</w:t>
      </w:r>
    </w:p>
    <w:p>
      <w:pPr>
        <w:pStyle w:val="ListBullet"/>
        <w:spacing w:after="60"/>
        <w:ind w:left="360"/>
      </w:pPr>
      <w:r>
        <w:t>What was the denial percentage for a selected year?</w:t>
      </w:r>
    </w:p>
    <w:p>
      <w:pPr>
        <w:pStyle w:val="Heading2"/>
        <w:spacing w:before="80" w:after="160"/>
      </w:pPr>
      <w:r>
        <w:rPr>
          <w:b/>
        </w:rPr>
        <w:t>Providers and Beneficiaries</w:t>
      </w:r>
    </w:p>
    <w:p>
      <w:pPr>
        <w:pStyle w:val="ListBullet"/>
        <w:spacing w:after="60"/>
        <w:ind w:left="360"/>
      </w:pPr>
      <w:r>
        <w:t>Show claim count by provider type.</w:t>
      </w:r>
    </w:p>
    <w:p>
      <w:pPr>
        <w:pStyle w:val="ListBullet"/>
        <w:spacing w:after="60"/>
        <w:ind w:left="360"/>
      </w:pPr>
      <w:r>
        <w:t>Which provider type has the highest claim volume?</w:t>
      </w:r>
    </w:p>
    <w:p>
      <w:pPr>
        <w:pStyle w:val="ListBullet"/>
        <w:spacing w:after="60"/>
        <w:ind w:left="360"/>
      </w:pPr>
      <w:r>
        <w:t>Show claim count by age group.</w:t>
      </w:r>
    </w:p>
    <w:p>
      <w:pPr>
        <w:pStyle w:val="ListBullet"/>
        <w:spacing w:after="60"/>
        <w:ind w:left="360"/>
      </w:pPr>
      <w:r>
        <w:t>Show claim count by gender.</w:t>
      </w:r>
    </w:p>
    <w:p>
      <w:pPr>
        <w:pStyle w:val="Heading2"/>
        <w:spacing w:before="80" w:after="160"/>
      </w:pPr>
      <w:r>
        <w:rPr>
          <w:b/>
        </w:rPr>
        <w:t>Time</w:t>
      </w:r>
    </w:p>
    <w:p>
      <w:pPr>
        <w:pStyle w:val="ListBullet"/>
        <w:spacing w:after="60"/>
        <w:ind w:left="360"/>
      </w:pPr>
      <w:r>
        <w:t>Show claim count by year.</w:t>
      </w:r>
    </w:p>
    <w:p>
      <w:pPr>
        <w:pStyle w:val="ListBullet"/>
        <w:spacing w:after="60"/>
        <w:ind w:left="360"/>
      </w:pPr>
      <w:r>
        <w:t>What was the total claim amount in a selected year?</w:t>
      </w:r>
    </w:p>
    <w:p>
      <w:pPr>
        <w:pStyle w:val="ListBullet"/>
        <w:spacing w:after="60"/>
        <w:ind w:left="360"/>
      </w:pPr>
      <w:r>
        <w:t>How did claim volume change over time?</w:t>
      </w:r>
    </w:p>
    <w:p>
      <w:pPr>
        <w:pStyle w:val="Heading2"/>
        <w:spacing w:before="80" w:after="160"/>
      </w:pPr>
      <w:r>
        <w:rPr>
          <w:b/>
        </w:rPr>
        <w:t>Closing Note</w:t>
      </w:r>
    </w:p>
    <w:p>
      <w:pPr>
        <w:spacing w:line="276" w:lineRule="auto" w:after="120"/>
      </w:pPr>
      <w:r>
        <w:t>This document is intended to explain the implemented project in a clear technical and business sequence. Deployment-specific values such as production SLAs, retention periods and final access policies should be confirmed before a production release.</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Healthcare Claims Analytics  |  </w:t>
    </w:r>
    <w:r>
      <w:rPr>
        <w:sz w:val="17"/>
      </w:rPr>
      <w:t xml:space="preserve">Page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