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141414"/>
          <w:sz w:val="44"/>
        </w:rPr>
        <w:t>DCT Feedback Clarification Questions</w:t>
      </w:r>
    </w:p>
    <w:p>
      <w:pPr>
        <w:spacing w:after="200"/>
      </w:pPr>
      <w:r>
        <w:rPr>
          <w:rFonts w:ascii="Arial" w:hAnsi="Arial"/>
          <w:color w:val="606060"/>
          <w:sz w:val="20"/>
        </w:rPr>
        <w:t>Prepared on 17 Aug 2026 for review before any Version 3.0 product changes.</w:t>
      </w:r>
    </w:p>
    <w:p>
      <w:pPr>
        <w:spacing w:after="200"/>
      </w:pPr>
      <w:r>
        <w:rPr>
          <w:b/>
        </w:rPr>
        <w:t xml:space="preserve">Purpose: </w:t>
      </w:r>
      <w:r>
        <w:t>This document translates the raw WhatsApp notes into product-ready questions. It is meant to clarify scope before any new DCT changes are made, so the current working version is not compromised.</w:t>
      </w:r>
    </w:p>
    <w:p>
      <w:pPr>
        <w:pStyle w:val="Heading1"/>
      </w:pPr>
      <w:r>
        <w:t>1. Source material reviewed</w:t>
      </w:r>
    </w:p>
    <w:p>
      <w:pPr>
        <w:spacing w:after="60"/>
        <w:ind w:left="317"/>
      </w:pPr>
      <w:r>
        <w:t>• WhatsApp feedback shared by Chandan Kumar on 14 Aug 2026, including requests from Raj and comments from Divyanshu.</w:t>
      </w:r>
    </w:p>
    <w:p>
      <w:pPr>
        <w:spacing w:after="60"/>
        <w:ind w:left="317"/>
      </w:pPr>
      <w:r>
        <w:t>• Neha Mahajan’s note that the tool incorrectly flags a 2026 dateline as a future-dated reference.</w:t>
      </w:r>
    </w:p>
    <w:p>
      <w:pPr>
        <w:spacing w:after="60"/>
        <w:ind w:left="317"/>
      </w:pPr>
      <w:r>
        <w:t>• Poynter ethics reference reviewed at https://www.poynter.org/ethics-trust/2017/the-poynter-institute-code-of-ethics/.</w:t>
      </w:r>
    </w:p>
    <w:p>
      <w:pPr>
        <w:spacing w:after="60"/>
        <w:ind w:left="317"/>
      </w:pPr>
      <w:r>
        <w:t>• MOSS reference reviewed at https://theory.stanford.edu/~aiken/moss/.</w:t>
      </w:r>
    </w:p>
    <w:p>
      <w:pPr>
        <w:spacing w:after="60"/>
        <w:ind w:left="317"/>
      </w:pPr>
      <w:r>
        <w:t>• Financial Express sample article link shared for testing context.</w:t>
      </w:r>
    </w:p>
    <w:p>
      <w:pPr>
        <w:spacing w:after="60"/>
        <w:ind w:left="317"/>
      </w:pPr>
      <w:r>
        <w:t>• Google Doc link was mentioned but could not be reviewed here without access permission.</w:t>
      </w:r>
    </w:p>
    <w:p>
      <w:pPr>
        <w:spacing w:after="60"/>
        <w:ind w:left="317"/>
      </w:pPr>
      <w:r>
        <w:t>• A BBC style guide was mentioned in the chat, but the exact link was not included in the provided messages.</w:t>
      </w:r>
    </w:p>
    <w:p>
      <w:pPr>
        <w:pStyle w:val="Heading1"/>
      </w:pPr>
      <w:r>
        <w:t>2. Interpreted feedback items</w:t>
      </w:r>
    </w:p>
    <w:p>
      <w:r>
        <w:rPr>
          <w:i/>
        </w:rPr>
        <w:t>Below, each raw note is translated into what it most likely means for the product. These are working interpretations, not final decisions.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8D2C4"/>
          <w:left w:val="single" w:sz="6" w:space="0" w:color="D8D2C4"/>
          <w:bottom w:val="single" w:sz="6" w:space="0" w:color="D8D2C4"/>
          <w:right w:val="single" w:sz="6" w:space="0" w:color="D8D2C4"/>
          <w:insideH w:val="single" w:sz="6" w:space="0" w:color="D8D2C4"/>
          <w:insideV w:val="single" w:sz="6" w:space="0" w:color="D8D2C4"/>
        </w:tblBorders>
      </w:tblPr>
      <w:tblGrid>
        <w:gridCol w:w="3216"/>
        <w:gridCol w:w="3216"/>
        <w:gridCol w:w="3216"/>
      </w:tblGrid>
      <w:tr>
        <w:tc>
          <w:tcPr>
            <w:tcW w:type="dxa" w:w="3168"/>
            <w:shd w:fill="F3ECE3"/>
          </w:tcPr>
          <w:p>
            <w:r>
              <w:rPr>
                <w:b/>
                <w:sz w:val="20"/>
              </w:rPr>
              <w:t>Raw feedback item</w:t>
            </w:r>
          </w:p>
        </w:tc>
        <w:tc>
          <w:tcPr>
            <w:tcW w:type="dxa" w:w="5328"/>
            <w:shd w:fill="F3ECE3"/>
          </w:tcPr>
          <w:p>
            <w:r>
              <w:rPr>
                <w:b/>
                <w:sz w:val="20"/>
              </w:rPr>
              <w:t>Likely product meaning</w:t>
            </w:r>
          </w:p>
        </w:tc>
        <w:tc>
          <w:tcPr>
            <w:tcW w:type="dxa" w:w="2304"/>
            <w:shd w:fill="F3ECE3"/>
          </w:tcPr>
          <w:p>
            <w:r>
              <w:rPr>
                <w:b/>
                <w:sz w:val="20"/>
              </w:rPr>
              <w:t>Type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20"/>
              </w:rPr>
              <w:t>Add an 8th editorial principle: Fairness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20"/>
              </w:rPr>
              <w:t>The editorial framework may need to expand from 7 dimensions to 8, with fairness becoming a named dimension rather than only a sourcing sub-point.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sz w:val="20"/>
              </w:rPr>
              <w:t>Framework change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20"/>
              </w:rPr>
              <w:t>Police AND accused’s lawyer at minimum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20"/>
              </w:rPr>
              <w:t>For crime or legal stories, the tool may need a fairness/sourcing rule that checks whether both the state side and defence side are represented.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sz w:val="20"/>
              </w:rPr>
              <w:t>Framework + prompt rule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20"/>
              </w:rPr>
              <w:t>Political stories—are multiple views represented?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20"/>
              </w:rPr>
              <w:t>For political coverage, the tool may need to check whether major competing viewpoints are represented before it marks sourcing as strong.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sz w:val="20"/>
              </w:rPr>
              <w:t>Framework + prompt rule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20"/>
              </w:rPr>
              <w:t>Under #7: why should I care?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20"/>
              </w:rPr>
              <w:t>Dimension #7 likely needs clearer language so audience engagement explicitly tests whether the story answers the reader’s “why should I care?” question.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sz w:val="20"/>
              </w:rPr>
              <w:t>Copy change + prompt calibration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20"/>
              </w:rPr>
              <w:t>#1 instead of publication fit, is it worthy of publication?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20"/>
              </w:rPr>
              <w:t>Dimension #1 may need to shift from outlet-fit logic to a broader editorial-worthiness test.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sz w:val="20"/>
              </w:rPr>
              <w:t>Framework definition change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20"/>
              </w:rPr>
              <w:t>Upload ethics policy too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20"/>
              </w:rPr>
              <w:t>A new ethics source document may need to be added to the knowledge base, but only after deciding whether it is a permanent runtime source or just a review reference.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sz w:val="20"/>
              </w:rPr>
              <w:t>Knowledge base decision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20"/>
              </w:rPr>
              <w:t>Anti-plagiarism platform?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20"/>
              </w:rPr>
              <w:t>A plagiarism checker may need to be integrated, but the team first has to decide whether the requirement is for prose journalism, source code, or both.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sz w:val="20"/>
              </w:rPr>
              <w:t>New product capability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20"/>
              </w:rPr>
              <w:t>Recommended pull quote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20"/>
              </w:rPr>
              <w:t>The tool may need to optionally suggest one standout pull quote from the story.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sz w:val="20"/>
              </w:rPr>
              <w:t>New output feature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20"/>
              </w:rPr>
              <w:t>Subheads every 150–200 words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20"/>
              </w:rPr>
              <w:t>The tool may need to optionally suggest subheads / straps at intervals through long stories.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sz w:val="20"/>
              </w:rPr>
              <w:t>New output feature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sz w:val="20"/>
              </w:rPr>
              <w:t>2026 dateline flagged as future-dated reference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20"/>
              </w:rPr>
              <w:t>There is likely a current validation bug or date-interpretation rule that is too aggressive and needs fixing.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sz w:val="20"/>
              </w:rPr>
              <w:t>Bug fix</w:t>
            </w:r>
          </w:p>
        </w:tc>
      </w:tr>
    </w:tbl>
    <w:p/>
    <w:p>
      <w:pPr>
        <w:pStyle w:val="Heading1"/>
      </w:pPr>
      <w:r>
        <w:t>3. Questions to answer before implementation</w:t>
      </w:r>
    </w:p>
    <w:p>
      <w:pPr>
        <w:pStyle w:val="Heading2"/>
      </w:pPr>
      <w:r>
        <w:t>A. Editorial framework and scoring</w:t>
      </w:r>
    </w:p>
    <w:p>
      <w:pPr>
        <w:spacing w:after="60"/>
        <w:ind w:left="317"/>
      </w:pPr>
      <w:r>
        <w:t>• Should fairness become a full 8th editorial principle, or should it remain under sourcing with stronger wording?</w:t>
      </w:r>
    </w:p>
    <w:p>
      <w:pPr>
        <w:spacing w:after="60"/>
        <w:ind w:left="317"/>
      </w:pPr>
      <w:r>
        <w:t>• If fairness becomes a full principle, should every story be scored on it, or only stories involving conflict, accusation, politics, crime, or legal dispute?</w:t>
      </w:r>
    </w:p>
    <w:p>
      <w:pPr>
        <w:spacing w:after="60"/>
        <w:ind w:left="317"/>
      </w:pPr>
      <w:r>
        <w:t>• If Dimension #1 changes from “Publication fit” to “Worthy of publication”, what exact editorial test should replace it: public importance, novelty, relevance, or all three?</w:t>
      </w:r>
    </w:p>
    <w:p>
      <w:pPr>
        <w:spacing w:after="60"/>
        <w:ind w:left="317"/>
      </w:pPr>
      <w:r>
        <w:t>• Should Dimension #7 be renamed so it explicitly asks: “Does the story answer why the reader should care?”</w:t>
      </w:r>
    </w:p>
    <w:p>
      <w:pPr>
        <w:pStyle w:val="Heading2"/>
      </w:pPr>
      <w:r>
        <w:t>B. Sourcing and fairness rules</w:t>
      </w:r>
    </w:p>
    <w:p>
      <w:pPr>
        <w:spacing w:after="60"/>
        <w:ind w:left="317"/>
      </w:pPr>
      <w:r>
        <w:t>• For crime and legal stories, is the minimum expected balance always police plus accused’s lawyer, or are there cases where another balancing source is acceptable?</w:t>
      </w:r>
    </w:p>
    <w:p>
      <w:pPr>
        <w:spacing w:after="60"/>
        <w:ind w:left="317"/>
      </w:pPr>
      <w:r>
        <w:t>• For political stories, what counts as “multiple views”? Two named sides, all major parties, affected citizens, or subject-matter experts as well?</w:t>
      </w:r>
    </w:p>
    <w:p>
      <w:pPr>
        <w:spacing w:after="60"/>
        <w:ind w:left="317"/>
      </w:pPr>
      <w:r>
        <w:t>• Should the tool block a strong verdict when one of the expected sides is missing, or should it simply issue a major coaching note?</w:t>
      </w:r>
    </w:p>
    <w:p>
      <w:pPr>
        <w:pStyle w:val="Heading2"/>
      </w:pPr>
      <w:r>
        <w:t>C. Knowledge-base additions</w:t>
      </w:r>
    </w:p>
    <w:p>
      <w:pPr>
        <w:spacing w:after="60"/>
        <w:ind w:left="317"/>
      </w:pPr>
      <w:r>
        <w:t>• Do you want the Poynter ethics policy added as an active runtime source in the prompt, or only stored as a reference document outside the prompt?</w:t>
      </w:r>
    </w:p>
    <w:p>
      <w:pPr>
        <w:spacing w:after="60"/>
        <w:ind w:left="317"/>
      </w:pPr>
      <w:r>
        <w:t>• If an ethics source is added, should it influence all stories or only stories that trigger fairness, privacy, harm, sourcing, or conflict concerns?</w:t>
      </w:r>
    </w:p>
    <w:p>
      <w:pPr>
        <w:spacing w:after="60"/>
        <w:ind w:left="317"/>
      </w:pPr>
      <w:r>
        <w:t>• Please provide the BBC style guide link, or the specific sections you want extracted, before that source is considered for inclusion.</w:t>
      </w:r>
    </w:p>
    <w:p>
      <w:pPr>
        <w:pStyle w:val="Heading2"/>
      </w:pPr>
      <w:r>
        <w:t>D. Plagiarism detection</w:t>
      </w:r>
    </w:p>
    <w:p>
      <w:pPr>
        <w:spacing w:after="60"/>
        <w:ind w:left="317"/>
      </w:pPr>
      <w:r>
        <w:t>• Is the plagiarism requirement for written journalism copy, for source code, or for both?</w:t>
      </w:r>
    </w:p>
    <w:p>
      <w:pPr>
        <w:spacing w:after="60"/>
        <w:ind w:left="317"/>
      </w:pPr>
      <w:r>
        <w:t>• MOSS is designed for software similarity, not news-copy plagiarism. Do you want us to ignore MOSS for prose journalism and evaluate prose-focused tools instead?</w:t>
      </w:r>
    </w:p>
    <w:p>
      <w:pPr>
        <w:spacing w:after="60"/>
        <w:ind w:left="317"/>
      </w:pPr>
      <w:r>
        <w:t>• Should plagiarism checking happen automatically on every submission, or only when an editor chooses to run it?</w:t>
      </w:r>
    </w:p>
    <w:p>
      <w:pPr>
        <w:spacing w:after="60"/>
        <w:ind w:left="317"/>
      </w:pPr>
      <w:r>
        <w:t>• Do you want detection only, or also a visible plagiarism-risk score and matched-source report inside DCT?</w:t>
      </w:r>
    </w:p>
    <w:p>
      <w:pPr>
        <w:pStyle w:val="Heading2"/>
      </w:pPr>
      <w:r>
        <w:t>E. New output features</w:t>
      </w:r>
    </w:p>
    <w:p>
      <w:pPr>
        <w:spacing w:after="60"/>
        <w:ind w:left="317"/>
      </w:pPr>
      <w:r>
        <w:t>• Should pull quote recommendation be optional, or always shown in the output?</w:t>
      </w:r>
    </w:p>
    <w:p>
      <w:pPr>
        <w:spacing w:after="60"/>
        <w:ind w:left="317"/>
      </w:pPr>
      <w:r>
        <w:t>• Should suggested subheads every 150–200 words be generated only for long stories above a word threshold?</w:t>
      </w:r>
    </w:p>
    <w:p>
      <w:pPr>
        <w:spacing w:after="60"/>
        <w:ind w:left="317"/>
      </w:pPr>
      <w:r>
        <w:t>• Are these new suggestions meant as “nice to have” optional add-ons, or do you want them to become a formal part of the coaching output template?</w:t>
      </w:r>
    </w:p>
    <w:p>
      <w:pPr>
        <w:pStyle w:val="Heading2"/>
      </w:pPr>
      <w:r>
        <w:t>F. Known bug / validation issue</w:t>
      </w:r>
    </w:p>
    <w:p>
      <w:pPr>
        <w:spacing w:after="60"/>
        <w:ind w:left="317"/>
      </w:pPr>
      <w:r>
        <w:t>• Please confirm the exact article or output where the tool flagged a valid 2026 dateline as future-dated, so the rule can be tested against the real case.</w:t>
      </w:r>
    </w:p>
    <w:p>
      <w:pPr>
        <w:spacing w:after="60"/>
        <w:ind w:left="317"/>
      </w:pPr>
      <w:r>
        <w:t>• Should date validation be made less strict for clearly dated current-year stories, or should the issue be handled as a narrower bug fix tied to one rule?</w:t>
      </w:r>
    </w:p>
    <w:p>
      <w:pPr>
        <w:pStyle w:val="Heading2"/>
      </w:pPr>
      <w:r>
        <w:t>G. Inputs still missing</w:t>
      </w:r>
    </w:p>
    <w:p>
      <w:pPr>
        <w:spacing w:after="60"/>
        <w:ind w:left="317"/>
      </w:pPr>
      <w:r>
        <w:t>• Please share the Google Doc contents or grant view access if that document should influence the product decisions.</w:t>
      </w:r>
    </w:p>
    <w:p>
      <w:pPr>
        <w:spacing w:after="60"/>
        <w:ind w:left="317"/>
      </w:pPr>
      <w:r>
        <w:t>• Please share the BBC style guide link or the exact sections that matter most.</w:t>
      </w:r>
    </w:p>
    <w:p>
      <w:pPr>
        <w:spacing w:after="60"/>
        <w:ind w:left="317"/>
      </w:pPr>
      <w:r>
        <w:t>• Please confirm whether the Financial Express article link is only a sample test case, or whether it represents a specific failure pattern to be fixed.</w:t>
      </w:r>
    </w:p>
    <w:p>
      <w:pPr>
        <w:pStyle w:val="Heading1"/>
      </w:pPr>
      <w:r>
        <w:t>4. Recommended decision path before any product update</w:t>
      </w:r>
    </w:p>
    <w:p>
      <w:pPr>
        <w:spacing w:after="60"/>
        <w:ind w:left="317"/>
      </w:pPr>
      <w:r>
        <w:t>• Freeze Version 2.2 behavior except for bug fixes already agreed as safe.</w:t>
      </w:r>
    </w:p>
    <w:p>
      <w:pPr>
        <w:spacing w:after="60"/>
        <w:ind w:left="317"/>
      </w:pPr>
      <w:r>
        <w:t>• Use the questions in Section 3 to align with Raj, Chandan, Andrea, and editorial leadership first.</w:t>
      </w:r>
    </w:p>
    <w:p>
      <w:pPr>
        <w:spacing w:after="60"/>
        <w:ind w:left="317"/>
      </w:pPr>
      <w:r>
        <w:t>• Split the eventual work into three buckets: (1) framework changes, (2) new output features, and (3) new external services such as plagiarism detection.</w:t>
      </w:r>
    </w:p>
    <w:p>
      <w:pPr>
        <w:spacing w:after="60"/>
        <w:ind w:left="317"/>
      </w:pPr>
      <w:r>
        <w:t>• Do not add Poynter or BBC guidance directly into the runtime prompt until the team decides whether those sources are permanent standards or only reference material.</w:t>
      </w:r>
    </w:p>
    <w:p>
      <w:pPr>
        <w:spacing w:after="60"/>
        <w:ind w:left="317"/>
      </w:pPr>
      <w:r>
        <w:t>• Treat plagiarism detection as a separate scoping exercise, because it may introduce vendor, privacy, legal, and workflow implications.</w:t>
      </w:r>
    </w:p>
    <w:p>
      <w:pPr>
        <w:pStyle w:val="Heading1"/>
      </w:pPr>
      <w:r>
        <w:t>5. Reference notes used in this clarification</w:t>
      </w:r>
    </w:p>
    <w:p>
      <w:pPr>
        <w:spacing w:after="60"/>
        <w:ind w:left="317"/>
      </w:pPr>
      <w:r>
        <w:t>• Poynter ethics reference reviewed: fairness is treated as a named core value and includes presenting different points of view, reaching out for comment, and minimizing harm.</w:t>
      </w:r>
    </w:p>
    <w:p>
      <w:pPr>
        <w:spacing w:after="60"/>
        <w:ind w:left="317"/>
      </w:pPr>
      <w:r>
        <w:t>• MOSS reference reviewed: the service is explicitly for software similarity and plagiarism detection in programming classes, which means it is not a direct fit for prose journalism copy.</w:t>
      </w:r>
    </w:p>
    <w:p>
      <w:pPr>
        <w:spacing w:after="60"/>
        <w:ind w:left="317"/>
      </w:pPr>
      <w:r>
        <w:t>• Neha Mahajan’s note should be treated as a concrete bug report for the date-checking rule.</w:t>
      </w:r>
    </w:p>
    <w:sectPr w:rsidR="00FC693F" w:rsidRPr="0006063C" w:rsidSect="00034616">
      <w:footerReference w:type="default" r:id="rId9"/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DCT feedback clarification brief • prepared for review before Version 3.0 decisions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5151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1E1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