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1414"/>
          <w:sz w:val="44"/>
        </w:rPr>
        <w:t>DCT Feedback Questions</w:t>
      </w:r>
    </w:p>
    <w:p>
      <w:pPr>
        <w:spacing w:after="200"/>
      </w:pPr>
      <w:r>
        <w:rPr>
          <w:rFonts w:ascii="Arial" w:hAnsi="Arial"/>
          <w:color w:val="606060"/>
          <w:sz w:val="20"/>
        </w:rPr>
        <w:t>Shortlist prepared on 17 Aug 2026 from Chandan’s notes and newsroom feedback.</w:t>
      </w:r>
    </w:p>
    <w:p>
      <w:pPr>
        <w:spacing w:after="160"/>
      </w:pPr>
      <w:r>
        <w:rPr>
          <w:b/>
        </w:rPr>
        <w:t xml:space="preserve">Purpose: </w:t>
      </w:r>
      <w:r>
        <w:t>These are the minimum questions that need clear answers before we change the product.</w:t>
      </w:r>
    </w:p>
    <w:p>
      <w:pPr>
        <w:pStyle w:val="Heading1"/>
      </w:pPr>
      <w:r>
        <w:t>Questions</w:t>
      </w:r>
    </w:p>
    <w:p>
      <w:pPr>
        <w:spacing w:after="80"/>
        <w:ind w:left="317"/>
      </w:pPr>
      <w:r>
        <w:t>• Do we want to add Fairness as a separate 8th editorial principle, or keep it under Sourcing?</w:t>
      </w:r>
    </w:p>
    <w:p>
      <w:pPr>
        <w:spacing w:after="80"/>
        <w:ind w:left="317"/>
      </w:pPr>
      <w:r>
        <w:t>• For crime and legal stories, should the minimum sourcing rule be that both police and the accused’s lawyer are represented?</w:t>
      </w:r>
    </w:p>
    <w:p>
      <w:pPr>
        <w:spacing w:after="80"/>
        <w:ind w:left="317"/>
      </w:pPr>
      <w:r>
        <w:t>• For political stories, what exactly should count as “multiple views represented”?</w:t>
      </w:r>
    </w:p>
    <w:p>
      <w:pPr>
        <w:spacing w:after="80"/>
        <w:ind w:left="317"/>
      </w:pPr>
      <w:r>
        <w:t>• Should Principle 1 change from “Publication fit” to “Worthy of publication”?</w:t>
      </w:r>
    </w:p>
    <w:p>
      <w:pPr>
        <w:spacing w:after="80"/>
        <w:ind w:left="317"/>
      </w:pPr>
      <w:r>
        <w:t>• Should Principle 7 be rewritten more simply as: “Does this story answer why the reader should care?”</w:t>
      </w:r>
    </w:p>
    <w:p>
      <w:pPr>
        <w:spacing w:after="80"/>
        <w:ind w:left="317"/>
      </w:pPr>
      <w:r>
        <w:t>• Do we want the Poynter ethics policy added into DCT as a live knowledge source, or should it remain only a reference for future decisions?</w:t>
      </w:r>
    </w:p>
    <w:p>
      <w:pPr>
        <w:spacing w:after="80"/>
        <w:ind w:left="317"/>
      </w:pPr>
      <w:r>
        <w:t>• Do we want plagiarism detection for journalism copy at all? If yes, should it be inside DCT or kept as a separate optional tool?</w:t>
      </w:r>
    </w:p>
    <w:p>
      <w:pPr>
        <w:spacing w:after="80"/>
        <w:ind w:left="317"/>
      </w:pPr>
      <w:r>
        <w:t>• Do we want DCT to suggest a pull quote and subheads for long stories, or should those remain outside the current coaching output?</w:t>
      </w:r>
    </w:p>
    <w:p>
      <w:pPr>
        <w:spacing w:after="80"/>
        <w:ind w:left="317"/>
      </w:pPr>
      <w:r>
        <w:t>• Can we get the exact article or output example where DCT wrongly flagged the 2026 dateline as a future-dated reference, so that specific bug can be fixed properly?</w:t>
      </w:r>
    </w:p>
    <w:p>
      <w:pPr>
        <w:spacing w:after="80"/>
        <w:ind w:left="317"/>
      </w:pPr>
      <w:r>
        <w:t>• Which of these items are for a safe Version 2.2 update, and which should wait for Version 3.0?</w:t>
      </w:r>
    </w:p>
    <w:p>
      <w:pPr>
        <w:pStyle w:val="Heading1"/>
      </w:pPr>
      <w:r>
        <w:t>Notes</w:t>
      </w:r>
    </w:p>
    <w:p>
      <w:pPr>
        <w:spacing w:after="80"/>
        <w:ind w:left="317"/>
      </w:pPr>
      <w:r>
        <w:t>• The Google Doc mentioned in the chat still needs to be reviewed separately if it is meant to influence the product.</w:t>
      </w:r>
    </w:p>
    <w:p>
      <w:pPr>
        <w:spacing w:after="80"/>
        <w:ind w:left="317"/>
      </w:pPr>
      <w:r>
        <w:t>• The BBC style guide was mentioned in the messages, but its exact link was not included in the shared notes.</w:t>
      </w:r>
    </w:p>
    <w:p>
      <w:pPr>
        <w:spacing w:after="80"/>
        <w:ind w:left="317"/>
      </w:pPr>
      <w:r>
        <w:t>• The MOSS link is mainly for software plagiarism detection, so it may not fit DCT’s journalism-copy use case directly.</w:t>
      </w:r>
    </w:p>
    <w:sectPr w:rsidR="00FC693F" w:rsidRPr="0006063C" w:rsidSect="00034616">
      <w:footerReference w:type="default" r:id="rId9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DCT feedback question shortlist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817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