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
      </w:pPr>
      <w:r>
        <w:rPr>
          <w:rFonts w:ascii="Calibri" w:hAnsi="Calibri"/>
          <w:b/>
          <w:i w:val="0"/>
          <w:color w:val="B91C2B"/>
          <w:sz w:val="20"/>
        </w:rPr>
        <w:t>MANAGEMENT DECISION BRIEF</w:t>
      </w:r>
    </w:p>
    <w:p>
      <w:pPr>
        <w:spacing w:after="100"/>
      </w:pPr>
      <w:r>
        <w:rPr>
          <w:rFonts w:ascii="Calibri" w:hAnsi="Calibri"/>
          <w:b/>
          <w:i w:val="0"/>
          <w:color w:val="0B2545"/>
          <w:sz w:val="54"/>
        </w:rPr>
        <w:t>Scaling Express Intelligence OS</w:t>
      </w:r>
    </w:p>
    <w:p>
      <w:pPr>
        <w:spacing w:after="360"/>
      </w:pPr>
      <w:r>
        <w:rPr>
          <w:rFonts w:ascii="Calibri" w:hAnsi="Calibri"/>
          <w:b w:val="0"/>
          <w:i w:val="0"/>
          <w:color w:val="68717D"/>
          <w:sz w:val="28"/>
        </w:rPr>
        <w:t>A practical operating stack for daily CDN and origin log analysis up to 500 GB</w:t>
      </w:r>
    </w:p>
    <w:tbl>
      <w:tblPr>
        <w:tblStyle w:val="TableGrid"/>
        <w:tblW w:type="dxa" w:w="9360"/>
        <w:jc w:val="left"/>
        <w:tblLayout w:type="fixed"/>
        <w:tblLook w:firstColumn="1" w:firstRow="1" w:lastColumn="0" w:lastRow="0" w:noHBand="0" w:noVBand="1" w:val="04A0"/>
        <w:tblInd w:w="120" w:type="dxa"/>
      </w:tblPr>
      <w:tblGrid>
        <w:gridCol w:w="2160"/>
        <w:gridCol w:w="7200"/>
      </w:tblGrid>
      <w:tr>
        <w:trPr>
          <w:tblHeader w:val="true"/>
        </w:trPr>
        <w:tc>
          <w:tcPr>
            <w:tcW w:type="dxa" w:w="2160"/>
            <w:shd w:fill="0B2545"/>
            <w:vAlign w:val="center"/>
            <w:tcMar>
              <w:top w:w="100" w:type="dxa"/>
              <w:start w:w="120" w:type="dxa"/>
              <w:bottom w:w="100" w:type="dxa"/>
              <w:end w:w="120" w:type="dxa"/>
            </w:tcMar>
          </w:tcPr>
          <w:p>
            <w:pPr>
              <w:jc w:val="left"/>
            </w:pPr>
            <w:r>
              <w:rPr>
                <w:rFonts w:ascii="Calibri" w:hAnsi="Calibri"/>
                <w:b/>
                <w:i w:val="0"/>
                <w:color w:val="FFFFFF"/>
                <w:sz w:val="19"/>
              </w:rPr>
              <w:t>Decision</w:t>
            </w:r>
          </w:p>
        </w:tc>
        <w:tc>
          <w:tcPr>
            <w:tcW w:type="dxa" w:w="7200"/>
            <w:shd w:fill="0B2545"/>
            <w:vAlign w:val="center"/>
            <w:tcMar>
              <w:top w:w="100" w:type="dxa"/>
              <w:start w:w="120" w:type="dxa"/>
              <w:bottom w:w="100" w:type="dxa"/>
              <w:end w:w="120" w:type="dxa"/>
            </w:tcMar>
          </w:tcPr>
          <w:p>
            <w:pPr>
              <w:jc w:val="left"/>
            </w:pPr>
            <w:r>
              <w:rPr>
                <w:rFonts w:ascii="Calibri" w:hAnsi="Calibri"/>
                <w:b/>
                <w:i w:val="0"/>
                <w:color w:val="FFFFFF"/>
                <w:sz w:val="19"/>
              </w:rPr>
              <w:t>Recommended direction</w:t>
            </w:r>
          </w:p>
        </w:tc>
      </w:tr>
      <w:tr>
        <w:tc>
          <w:tcPr>
            <w:tcW w:type="dxa" w:w="2160"/>
            <w:vAlign w:val="center"/>
            <w:tcMar>
              <w:top w:w="100" w:type="dxa"/>
              <w:start w:w="120" w:type="dxa"/>
              <w:bottom w:w="100" w:type="dxa"/>
              <w:end w:w="120" w:type="dxa"/>
            </w:tcMar>
          </w:tcPr>
          <w:p>
            <w:pPr>
              <w:spacing w:after="0" w:line="259" w:lineRule="auto"/>
            </w:pPr>
            <w:r>
              <w:rPr>
                <w:rFonts w:ascii="Calibri" w:hAnsi="Calibri"/>
                <w:b w:val="0"/>
                <w:i w:val="0"/>
                <w:color w:val="20252B"/>
                <w:sz w:val="19"/>
              </w:rPr>
              <w:t>Hosting</w:t>
            </w:r>
          </w:p>
        </w:tc>
        <w:tc>
          <w:tcPr>
            <w:tcW w:type="dxa" w:w="7200"/>
            <w:vAlign w:val="center"/>
            <w:tcMar>
              <w:top w:w="100" w:type="dxa"/>
              <w:start w:w="120" w:type="dxa"/>
              <w:bottom w:w="100" w:type="dxa"/>
              <w:end w:w="120" w:type="dxa"/>
            </w:tcMar>
          </w:tcPr>
          <w:p>
            <w:pPr>
              <w:spacing w:after="0" w:line="259" w:lineRule="auto"/>
            </w:pPr>
            <w:r>
              <w:rPr>
                <w:rFonts w:ascii="Calibri" w:hAnsi="Calibri"/>
                <w:b w:val="0"/>
                <w:i w:val="0"/>
                <w:color w:val="20252B"/>
                <w:sz w:val="19"/>
              </w:rPr>
              <w:t>Vercel for the team interface; private India-region compute for uploads and analysis.</w:t>
            </w:r>
          </w:p>
        </w:tc>
      </w:tr>
      <w:tr>
        <w:tc>
          <w:tcPr>
            <w:tcW w:type="dxa" w:w="216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Data</w:t>
            </w:r>
          </w:p>
        </w:tc>
        <w:tc>
          <w:tcPr>
            <w:tcW w:type="dxa" w:w="720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Keep raw logs and derived evidence on company-controlled encrypted storage.</w:t>
            </w:r>
          </w:p>
        </w:tc>
      </w:tr>
      <w:tr>
        <w:tc>
          <w:tcPr>
            <w:tcW w:type="dxa" w:w="2160"/>
            <w:vAlign w:val="center"/>
            <w:tcMar>
              <w:top w:w="100" w:type="dxa"/>
              <w:start w:w="120" w:type="dxa"/>
              <w:bottom w:w="100" w:type="dxa"/>
              <w:end w:w="120" w:type="dxa"/>
            </w:tcMar>
          </w:tcPr>
          <w:p>
            <w:pPr>
              <w:spacing w:after="0" w:line="259" w:lineRule="auto"/>
            </w:pPr>
            <w:r>
              <w:rPr>
                <w:rFonts w:ascii="Calibri" w:hAnsi="Calibri"/>
                <w:b w:val="0"/>
                <w:i w:val="0"/>
                <w:color w:val="20252B"/>
                <w:sz w:val="19"/>
              </w:rPr>
              <w:t>Scale</w:t>
            </w:r>
          </w:p>
        </w:tc>
        <w:tc>
          <w:tcPr>
            <w:tcW w:type="dxa" w:w="7200"/>
            <w:vAlign w:val="center"/>
            <w:tcMar>
              <w:top w:w="100" w:type="dxa"/>
              <w:start w:w="120" w:type="dxa"/>
              <w:bottom w:w="100" w:type="dxa"/>
              <w:end w:w="120" w:type="dxa"/>
            </w:tcMar>
          </w:tcPr>
          <w:p>
            <w:pPr>
              <w:spacing w:after="0" w:line="259" w:lineRule="auto"/>
            </w:pPr>
            <w:r>
              <w:rPr>
                <w:rFonts w:ascii="Calibri" w:hAnsi="Calibri"/>
                <w:b w:val="0"/>
                <w:i w:val="0"/>
                <w:color w:val="20252B"/>
                <w:sz w:val="19"/>
              </w:rPr>
              <w:t>Start with a 2 TB NVMe active tier and expand storage separately from compute.</w:t>
            </w:r>
          </w:p>
        </w:tc>
      </w:tr>
      <w:tr>
        <w:tc>
          <w:tcPr>
            <w:tcW w:type="dxa" w:w="216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Release gate</w:t>
            </w:r>
          </w:p>
        </w:tc>
        <w:tc>
          <w:tcPr>
            <w:tcW w:type="dxa" w:w="720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Do not promise 500 GB processing time until a representative load test passes.</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E8EEF5"/>
          </w:tcPr>
          <w:p>
            <w:pPr>
              <w:spacing w:after="40"/>
            </w:pPr>
            <w:r>
              <w:rPr>
                <w:rFonts w:ascii="Calibri" w:hAnsi="Calibri"/>
                <w:b/>
                <w:i w:val="0"/>
                <w:color w:val="0B2545"/>
                <w:sz w:val="20"/>
              </w:rPr>
              <w:t xml:space="preserve">BOTTOM LINE  </w:t>
            </w:r>
            <w:r>
              <w:rPr>
                <w:rFonts w:ascii="Calibri" w:hAnsi="Calibri"/>
                <w:b w:val="0"/>
                <w:i w:val="0"/>
                <w:color w:val="20252B"/>
                <w:sz w:val="21"/>
              </w:rPr>
              <w:t>Vercel alone cannot process or retain 500 GB log files. The browser interface can remain on Vercel, but the API, workers, database, Redis and storage must run on durable infrastructure.</w:t>
            </w:r>
          </w:p>
        </w:tc>
      </w:tr>
    </w:tbl>
    <w:p>
      <w:pPr>
        <w:spacing w:after="20"/>
      </w:pPr>
    </w:p>
    <w:p>
      <w:pPr>
        <w:pStyle w:val="Heading1"/>
      </w:pPr>
      <w:r>
        <w:t>What management is approving</w:t>
      </w:r>
    </w:p>
    <w:p>
      <w:pPr>
        <w:pStyle w:val="ListBullet"/>
        <w:spacing w:after="80" w:line="300" w:lineRule="auto"/>
      </w:pPr>
      <w:r>
        <w:rPr>
          <w:rFonts w:ascii="Calibri" w:hAnsi="Calibri"/>
          <w:b w:val="0"/>
          <w:i w:val="0"/>
          <w:color w:val="20252B"/>
          <w:sz w:val="22"/>
        </w:rPr>
        <w:t>A private production environment that team members reach through one HTTPS URL.</w:t>
      </w:r>
    </w:p>
    <w:p>
      <w:pPr>
        <w:pStyle w:val="ListBullet"/>
        <w:spacing w:after="80" w:line="300" w:lineRule="auto"/>
      </w:pPr>
      <w:r>
        <w:rPr>
          <w:rFonts w:ascii="Calibri" w:hAnsi="Calibri"/>
          <w:b w:val="0"/>
          <w:i w:val="0"/>
          <w:color w:val="20252B"/>
          <w:sz w:val="22"/>
        </w:rPr>
        <w:t>Enough fast local storage for active analysis, plus separate backup or archive capacity.</w:t>
      </w:r>
    </w:p>
    <w:p>
      <w:pPr>
        <w:pStyle w:val="ListBullet"/>
        <w:spacing w:after="80" w:line="300" w:lineRule="auto"/>
      </w:pPr>
      <w:r>
        <w:rPr>
          <w:rFonts w:ascii="Calibri" w:hAnsi="Calibri"/>
          <w:b w:val="0"/>
          <w:i w:val="0"/>
          <w:color w:val="20252B"/>
          <w:sz w:val="22"/>
        </w:rPr>
        <w:t>A measured rollout: 25 GB, 100 GB, then 500 GB acceptance tests before daily production use.</w:t>
      </w:r>
    </w:p>
    <w:p>
      <w:pPr>
        <w:pStyle w:val="ListBullet"/>
        <w:spacing w:after="80" w:line="300" w:lineRule="auto"/>
      </w:pPr>
      <w:r>
        <w:rPr>
          <w:rFonts w:ascii="Calibri" w:hAnsi="Calibri"/>
          <w:b w:val="0"/>
          <w:i w:val="0"/>
          <w:color w:val="20252B"/>
          <w:sz w:val="22"/>
        </w:rPr>
        <w:t>Named operational ownership for access, backups, monitoring, upgrades and incident response.</w:t>
      </w:r>
    </w:p>
    <w:p>
      <w:pPr>
        <w:pStyle w:val="Heading2"/>
      </w:pPr>
      <w:r>
        <w:t>What this plan does not claim</w:t>
      </w:r>
    </w:p>
    <w:p>
      <w:pPr>
        <w:pStyle w:val="ListBullet"/>
        <w:spacing w:after="80" w:line="300" w:lineRule="auto"/>
      </w:pPr>
      <w:r>
        <w:rPr>
          <w:rFonts w:ascii="Calibri" w:hAnsi="Calibri"/>
          <w:b w:val="0"/>
          <w:i w:val="0"/>
          <w:color w:val="20252B"/>
          <w:sz w:val="22"/>
        </w:rPr>
        <w:t>It does not guarantee that every 500 GB archive will finish in a fixed number of hours.</w:t>
      </w:r>
    </w:p>
    <w:p>
      <w:pPr>
        <w:pStyle w:val="ListBullet"/>
        <w:spacing w:after="80" w:line="300" w:lineRule="auto"/>
      </w:pPr>
      <w:r>
        <w:rPr>
          <w:rFonts w:ascii="Calibri" w:hAnsi="Calibri"/>
          <w:b w:val="0"/>
          <w:i w:val="0"/>
          <w:color w:val="20252B"/>
          <w:sz w:val="22"/>
        </w:rPr>
        <w:t>It does not make a laptop or free hosting tier suitable for continuous team production.</w:t>
      </w:r>
    </w:p>
    <w:p>
      <w:pPr>
        <w:pStyle w:val="ListBullet"/>
        <w:spacing w:after="80" w:line="300" w:lineRule="auto"/>
      </w:pPr>
      <w:r>
        <w:rPr>
          <w:rFonts w:ascii="Calibri" w:hAnsi="Calibri"/>
          <w:b w:val="0"/>
          <w:i w:val="0"/>
          <w:color w:val="20252B"/>
          <w:sz w:val="22"/>
        </w:rPr>
        <w:t>It does not replace source-file retention policy, legal review or company security approval.</w:t>
      </w:r>
    </w:p>
    <w:p>
      <w:r>
        <w:br w:type="page"/>
      </w:r>
    </w:p>
    <w:p>
      <w:pPr>
        <w:pStyle w:val="Heading1"/>
      </w:pPr>
      <w:r>
        <w:t>1. The stack in plain language</w:t>
      </w:r>
    </w:p>
    <w:tbl>
      <w:tblPr>
        <w:tblStyle w:val="TableGrid"/>
        <w:tblW w:type="dxa" w:w="9360"/>
        <w:jc w:val="left"/>
        <w:tblLayout w:type="fixed"/>
        <w:tblLook w:firstColumn="1" w:firstRow="1" w:lastColumn="0" w:lastRow="0" w:noHBand="0" w:noVBand="1" w:val="04A0"/>
        <w:tblInd w:w="120" w:type="dxa"/>
      </w:tblPr>
      <w:tblGrid>
        <w:gridCol w:w="1500"/>
        <w:gridCol w:w="3220"/>
        <w:gridCol w:w="4640"/>
      </w:tblGrid>
      <w:tr>
        <w:trPr>
          <w:tblHeader w:val="true"/>
        </w:trPr>
        <w:tc>
          <w:tcPr>
            <w:tcW w:type="dxa" w:w="1500"/>
            <w:shd w:fill="0B2545"/>
            <w:vAlign w:val="center"/>
            <w:tcMar>
              <w:top w:w="100" w:type="dxa"/>
              <w:start w:w="120" w:type="dxa"/>
              <w:bottom w:w="100" w:type="dxa"/>
              <w:end w:w="120" w:type="dxa"/>
            </w:tcMar>
          </w:tcPr>
          <w:p>
            <w:pPr>
              <w:jc w:val="left"/>
            </w:pPr>
            <w:r>
              <w:rPr>
                <w:rFonts w:ascii="Calibri" w:hAnsi="Calibri"/>
                <w:b/>
                <w:i w:val="0"/>
                <w:color w:val="FFFFFF"/>
                <w:sz w:val="19"/>
              </w:rPr>
              <w:t>Layer</w:t>
            </w:r>
          </w:p>
        </w:tc>
        <w:tc>
          <w:tcPr>
            <w:tcW w:type="dxa" w:w="3220"/>
            <w:shd w:fill="0B2545"/>
            <w:vAlign w:val="center"/>
            <w:tcMar>
              <w:top w:w="100" w:type="dxa"/>
              <w:start w:w="120" w:type="dxa"/>
              <w:bottom w:w="100" w:type="dxa"/>
              <w:end w:w="120" w:type="dxa"/>
            </w:tcMar>
          </w:tcPr>
          <w:p>
            <w:pPr>
              <w:jc w:val="left"/>
            </w:pPr>
            <w:r>
              <w:rPr>
                <w:rFonts w:ascii="Calibri" w:hAnsi="Calibri"/>
                <w:b/>
                <w:i w:val="0"/>
                <w:color w:val="FFFFFF"/>
                <w:sz w:val="19"/>
              </w:rPr>
              <w:t>Purpose</w:t>
            </w:r>
          </w:p>
        </w:tc>
        <w:tc>
          <w:tcPr>
            <w:tcW w:type="dxa" w:w="4640"/>
            <w:shd w:fill="0B2545"/>
            <w:vAlign w:val="center"/>
            <w:tcMar>
              <w:top w:w="100" w:type="dxa"/>
              <w:start w:w="120" w:type="dxa"/>
              <w:bottom w:w="100" w:type="dxa"/>
              <w:end w:w="120" w:type="dxa"/>
            </w:tcMar>
          </w:tcPr>
          <w:p>
            <w:pPr>
              <w:jc w:val="left"/>
            </w:pPr>
            <w:r>
              <w:rPr>
                <w:rFonts w:ascii="Calibri" w:hAnsi="Calibri"/>
                <w:b/>
                <w:i w:val="0"/>
                <w:color w:val="FFFFFF"/>
                <w:sz w:val="19"/>
              </w:rPr>
              <w:t>Recommended component</w:t>
            </w:r>
          </w:p>
        </w:tc>
      </w:tr>
      <w:tr>
        <w:tc>
          <w:tcPr>
            <w:tcW w:type="dxa" w:w="1500"/>
            <w:vAlign w:val="center"/>
            <w:tcMar>
              <w:top w:w="100" w:type="dxa"/>
              <w:start w:w="120" w:type="dxa"/>
              <w:bottom w:w="100" w:type="dxa"/>
              <w:end w:w="120" w:type="dxa"/>
            </w:tcMar>
          </w:tcPr>
          <w:p>
            <w:pPr>
              <w:spacing w:after="0" w:line="259" w:lineRule="auto"/>
            </w:pPr>
            <w:r>
              <w:rPr>
                <w:rFonts w:ascii="Calibri" w:hAnsi="Calibri"/>
                <w:b w:val="0"/>
                <w:i w:val="0"/>
                <w:color w:val="20252B"/>
                <w:sz w:val="19"/>
              </w:rPr>
              <w:t>Team interface</w:t>
            </w:r>
          </w:p>
        </w:tc>
        <w:tc>
          <w:tcPr>
            <w:tcW w:type="dxa" w:w="3220"/>
            <w:vAlign w:val="center"/>
            <w:tcMar>
              <w:top w:w="100" w:type="dxa"/>
              <w:start w:w="120" w:type="dxa"/>
              <w:bottom w:w="100" w:type="dxa"/>
              <w:end w:w="120" w:type="dxa"/>
            </w:tcMar>
          </w:tcPr>
          <w:p>
            <w:pPr>
              <w:spacing w:after="0" w:line="259" w:lineRule="auto"/>
            </w:pPr>
            <w:r>
              <w:rPr>
                <w:rFonts w:ascii="Calibri" w:hAnsi="Calibri"/>
                <w:b w:val="0"/>
                <w:i w:val="0"/>
                <w:color w:val="20252B"/>
                <w:sz w:val="19"/>
              </w:rPr>
              <w:t>Where users upload, monitor and review</w:t>
            </w:r>
          </w:p>
        </w:tc>
        <w:tc>
          <w:tcPr>
            <w:tcW w:type="dxa" w:w="4640"/>
            <w:vAlign w:val="center"/>
            <w:tcMar>
              <w:top w:w="100" w:type="dxa"/>
              <w:start w:w="120" w:type="dxa"/>
              <w:bottom w:w="100" w:type="dxa"/>
              <w:end w:w="120" w:type="dxa"/>
            </w:tcMar>
          </w:tcPr>
          <w:p>
            <w:pPr>
              <w:spacing w:after="0" w:line="259" w:lineRule="auto"/>
            </w:pPr>
            <w:r>
              <w:rPr>
                <w:rFonts w:ascii="Calibri" w:hAnsi="Calibri"/>
                <w:b w:val="0"/>
                <w:i w:val="0"/>
                <w:color w:val="20252B"/>
                <w:sz w:val="19"/>
              </w:rPr>
              <w:t>Next.js on Vercel</w:t>
            </w:r>
          </w:p>
        </w:tc>
      </w:tr>
      <w:tr>
        <w:tc>
          <w:tcPr>
            <w:tcW w:type="dxa" w:w="150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Secure entry</w:t>
            </w:r>
          </w:p>
        </w:tc>
        <w:tc>
          <w:tcPr>
            <w:tcW w:type="dxa" w:w="322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HTTPS, request limits and controlled access</w:t>
            </w:r>
          </w:p>
        </w:tc>
        <w:tc>
          <w:tcPr>
            <w:tcW w:type="dxa" w:w="464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Caddy or managed load balancer</w:t>
            </w:r>
          </w:p>
        </w:tc>
      </w:tr>
      <w:tr>
        <w:tc>
          <w:tcPr>
            <w:tcW w:type="dxa" w:w="1500"/>
            <w:vAlign w:val="center"/>
            <w:tcMar>
              <w:top w:w="100" w:type="dxa"/>
              <w:start w:w="120" w:type="dxa"/>
              <w:bottom w:w="100" w:type="dxa"/>
              <w:end w:w="120" w:type="dxa"/>
            </w:tcMar>
          </w:tcPr>
          <w:p>
            <w:pPr>
              <w:spacing w:after="0" w:line="259" w:lineRule="auto"/>
            </w:pPr>
            <w:r>
              <w:rPr>
                <w:rFonts w:ascii="Calibri" w:hAnsi="Calibri"/>
                <w:b w:val="0"/>
                <w:i w:val="0"/>
                <w:color w:val="20252B"/>
                <w:sz w:val="19"/>
              </w:rPr>
              <w:t>Application API</w:t>
            </w:r>
          </w:p>
        </w:tc>
        <w:tc>
          <w:tcPr>
            <w:tcW w:type="dxa" w:w="3220"/>
            <w:vAlign w:val="center"/>
            <w:tcMar>
              <w:top w:w="100" w:type="dxa"/>
              <w:start w:w="120" w:type="dxa"/>
              <w:bottom w:w="100" w:type="dxa"/>
              <w:end w:w="120" w:type="dxa"/>
            </w:tcMar>
          </w:tcPr>
          <w:p>
            <w:pPr>
              <w:spacing w:after="0" w:line="259" w:lineRule="auto"/>
            </w:pPr>
            <w:r>
              <w:rPr>
                <w:rFonts w:ascii="Calibri" w:hAnsi="Calibri"/>
                <w:b w:val="0"/>
                <w:i w:val="0"/>
                <w:color w:val="20252B"/>
                <w:sz w:val="19"/>
              </w:rPr>
              <w:t>Accepts jobs and serves results</w:t>
            </w:r>
          </w:p>
        </w:tc>
        <w:tc>
          <w:tcPr>
            <w:tcW w:type="dxa" w:w="4640"/>
            <w:vAlign w:val="center"/>
            <w:tcMar>
              <w:top w:w="100" w:type="dxa"/>
              <w:start w:w="120" w:type="dxa"/>
              <w:bottom w:w="100" w:type="dxa"/>
              <w:end w:w="120" w:type="dxa"/>
            </w:tcMar>
          </w:tcPr>
          <w:p>
            <w:pPr>
              <w:spacing w:after="0" w:line="259" w:lineRule="auto"/>
            </w:pPr>
            <w:r>
              <w:rPr>
                <w:rFonts w:ascii="Calibri" w:hAnsi="Calibri"/>
                <w:b w:val="0"/>
                <w:i w:val="0"/>
                <w:color w:val="20252B"/>
                <w:sz w:val="19"/>
              </w:rPr>
              <w:t>FastAPI in Docker</w:t>
            </w:r>
          </w:p>
        </w:tc>
      </w:tr>
      <w:tr>
        <w:tc>
          <w:tcPr>
            <w:tcW w:type="dxa" w:w="150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Background workers</w:t>
            </w:r>
          </w:p>
        </w:tc>
        <w:tc>
          <w:tcPr>
            <w:tcW w:type="dxa" w:w="322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Stream, decompress and aggregate logs</w:t>
            </w:r>
          </w:p>
        </w:tc>
        <w:tc>
          <w:tcPr>
            <w:tcW w:type="dxa" w:w="464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Python workers in Docker</w:t>
            </w:r>
          </w:p>
        </w:tc>
      </w:tr>
      <w:tr>
        <w:tc>
          <w:tcPr>
            <w:tcW w:type="dxa" w:w="1500"/>
            <w:vAlign w:val="center"/>
            <w:tcMar>
              <w:top w:w="100" w:type="dxa"/>
              <w:start w:w="120" w:type="dxa"/>
              <w:bottom w:w="100" w:type="dxa"/>
              <w:end w:w="120" w:type="dxa"/>
            </w:tcMar>
          </w:tcPr>
          <w:p>
            <w:pPr>
              <w:spacing w:after="0" w:line="259" w:lineRule="auto"/>
            </w:pPr>
            <w:r>
              <w:rPr>
                <w:rFonts w:ascii="Calibri" w:hAnsi="Calibri"/>
                <w:b w:val="0"/>
                <w:i w:val="0"/>
                <w:color w:val="20252B"/>
                <w:sz w:val="19"/>
              </w:rPr>
              <w:t>Job coordination</w:t>
            </w:r>
          </w:p>
        </w:tc>
        <w:tc>
          <w:tcPr>
            <w:tcW w:type="dxa" w:w="3220"/>
            <w:vAlign w:val="center"/>
            <w:tcMar>
              <w:top w:w="100" w:type="dxa"/>
              <w:start w:w="120" w:type="dxa"/>
              <w:bottom w:w="100" w:type="dxa"/>
              <w:end w:w="120" w:type="dxa"/>
            </w:tcMar>
          </w:tcPr>
          <w:p>
            <w:pPr>
              <w:spacing w:after="0" w:line="259" w:lineRule="auto"/>
            </w:pPr>
            <w:r>
              <w:rPr>
                <w:rFonts w:ascii="Calibri" w:hAnsi="Calibri"/>
                <w:b w:val="0"/>
                <w:i w:val="0"/>
                <w:color w:val="20252B"/>
                <w:sz w:val="19"/>
              </w:rPr>
              <w:t>Durable queue and progress state</w:t>
            </w:r>
          </w:p>
        </w:tc>
        <w:tc>
          <w:tcPr>
            <w:tcW w:type="dxa" w:w="4640"/>
            <w:vAlign w:val="center"/>
            <w:tcMar>
              <w:top w:w="100" w:type="dxa"/>
              <w:start w:w="120" w:type="dxa"/>
              <w:bottom w:w="100" w:type="dxa"/>
              <w:end w:w="120" w:type="dxa"/>
            </w:tcMar>
          </w:tcPr>
          <w:p>
            <w:pPr>
              <w:spacing w:after="0" w:line="259" w:lineRule="auto"/>
            </w:pPr>
            <w:r>
              <w:rPr>
                <w:rFonts w:ascii="Calibri" w:hAnsi="Calibri"/>
                <w:b w:val="0"/>
                <w:i w:val="0"/>
                <w:color w:val="20252B"/>
                <w:sz w:val="19"/>
              </w:rPr>
              <w:t>Redis with persistence</w:t>
            </w:r>
          </w:p>
        </w:tc>
      </w:tr>
      <w:tr>
        <w:tc>
          <w:tcPr>
            <w:tcW w:type="dxa" w:w="150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Product database</w:t>
            </w:r>
          </w:p>
        </w:tc>
        <w:tc>
          <w:tcPr>
            <w:tcW w:type="dxa" w:w="322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Runs, metrics, evidence and audit history</w:t>
            </w:r>
          </w:p>
        </w:tc>
        <w:tc>
          <w:tcPr>
            <w:tcW w:type="dxa" w:w="464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PostgreSQL</w:t>
            </w:r>
          </w:p>
        </w:tc>
      </w:tr>
      <w:tr>
        <w:tc>
          <w:tcPr>
            <w:tcW w:type="dxa" w:w="1500"/>
            <w:vAlign w:val="center"/>
            <w:tcMar>
              <w:top w:w="100" w:type="dxa"/>
              <w:start w:w="120" w:type="dxa"/>
              <w:bottom w:w="100" w:type="dxa"/>
              <w:end w:w="120" w:type="dxa"/>
            </w:tcMar>
          </w:tcPr>
          <w:p>
            <w:pPr>
              <w:spacing w:after="0" w:line="259" w:lineRule="auto"/>
            </w:pPr>
            <w:r>
              <w:rPr>
                <w:rFonts w:ascii="Calibri" w:hAnsi="Calibri"/>
                <w:b w:val="0"/>
                <w:i w:val="0"/>
                <w:color w:val="20252B"/>
                <w:sz w:val="19"/>
              </w:rPr>
              <w:t>Active file storage</w:t>
            </w:r>
          </w:p>
        </w:tc>
        <w:tc>
          <w:tcPr>
            <w:tcW w:type="dxa" w:w="3220"/>
            <w:vAlign w:val="center"/>
            <w:tcMar>
              <w:top w:w="100" w:type="dxa"/>
              <w:start w:w="120" w:type="dxa"/>
              <w:bottom w:w="100" w:type="dxa"/>
              <w:end w:w="120" w:type="dxa"/>
            </w:tcMar>
          </w:tcPr>
          <w:p>
            <w:pPr>
              <w:spacing w:after="0" w:line="259" w:lineRule="auto"/>
            </w:pPr>
            <w:r>
              <w:rPr>
                <w:rFonts w:ascii="Calibri" w:hAnsi="Calibri"/>
                <w:b w:val="0"/>
                <w:i w:val="0"/>
                <w:color w:val="20252B"/>
                <w:sz w:val="19"/>
              </w:rPr>
              <w:t>Raw files and working data</w:t>
            </w:r>
          </w:p>
        </w:tc>
        <w:tc>
          <w:tcPr>
            <w:tcW w:type="dxa" w:w="4640"/>
            <w:vAlign w:val="center"/>
            <w:tcMar>
              <w:top w:w="100" w:type="dxa"/>
              <w:start w:w="120" w:type="dxa"/>
              <w:bottom w:w="100" w:type="dxa"/>
              <w:end w:w="120" w:type="dxa"/>
            </w:tcMar>
          </w:tcPr>
          <w:p>
            <w:pPr>
              <w:spacing w:after="0" w:line="259" w:lineRule="auto"/>
            </w:pPr>
            <w:r>
              <w:rPr>
                <w:rFonts w:ascii="Calibri" w:hAnsi="Calibri"/>
                <w:b w:val="0"/>
                <w:i w:val="0"/>
                <w:color w:val="20252B"/>
                <w:sz w:val="19"/>
              </w:rPr>
              <w:t>Encrypted NVMe volume</w:t>
            </w:r>
          </w:p>
        </w:tc>
      </w:tr>
      <w:tr>
        <w:tc>
          <w:tcPr>
            <w:tcW w:type="dxa" w:w="150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Backup/archive</w:t>
            </w:r>
          </w:p>
        </w:tc>
        <w:tc>
          <w:tcPr>
            <w:tcW w:type="dxa" w:w="322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Recovery and retention</w:t>
            </w:r>
          </w:p>
        </w:tc>
        <w:tc>
          <w:tcPr>
            <w:tcW w:type="dxa" w:w="464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Separate encrypted disk or India-region object storage</w:t>
            </w:r>
          </w:p>
        </w:tc>
      </w:tr>
      <w:tr>
        <w:tc>
          <w:tcPr>
            <w:tcW w:type="dxa" w:w="1500"/>
            <w:vAlign w:val="center"/>
            <w:tcMar>
              <w:top w:w="100" w:type="dxa"/>
              <w:start w:w="120" w:type="dxa"/>
              <w:bottom w:w="100" w:type="dxa"/>
              <w:end w:w="120" w:type="dxa"/>
            </w:tcMar>
          </w:tcPr>
          <w:p>
            <w:pPr>
              <w:spacing w:after="0" w:line="259" w:lineRule="auto"/>
            </w:pPr>
            <w:r>
              <w:rPr>
                <w:rFonts w:ascii="Calibri" w:hAnsi="Calibri"/>
                <w:b w:val="0"/>
                <w:i w:val="0"/>
                <w:color w:val="20252B"/>
                <w:sz w:val="19"/>
              </w:rPr>
              <w:t>Operations</w:t>
            </w:r>
          </w:p>
        </w:tc>
        <w:tc>
          <w:tcPr>
            <w:tcW w:type="dxa" w:w="3220"/>
            <w:vAlign w:val="center"/>
            <w:tcMar>
              <w:top w:w="100" w:type="dxa"/>
              <w:start w:w="120" w:type="dxa"/>
              <w:bottom w:w="100" w:type="dxa"/>
              <w:end w:w="120" w:type="dxa"/>
            </w:tcMar>
          </w:tcPr>
          <w:p>
            <w:pPr>
              <w:spacing w:after="0" w:line="259" w:lineRule="auto"/>
            </w:pPr>
            <w:r>
              <w:rPr>
                <w:rFonts w:ascii="Calibri" w:hAnsi="Calibri"/>
                <w:b w:val="0"/>
                <w:i w:val="0"/>
                <w:color w:val="20252B"/>
                <w:sz w:val="19"/>
              </w:rPr>
              <w:t>Health, capacity, errors and alerts</w:t>
            </w:r>
          </w:p>
        </w:tc>
        <w:tc>
          <w:tcPr>
            <w:tcW w:type="dxa" w:w="4640"/>
            <w:vAlign w:val="center"/>
            <w:tcMar>
              <w:top w:w="100" w:type="dxa"/>
              <w:start w:w="120" w:type="dxa"/>
              <w:bottom w:w="100" w:type="dxa"/>
              <w:end w:w="120" w:type="dxa"/>
            </w:tcMar>
          </w:tcPr>
          <w:p>
            <w:pPr>
              <w:spacing w:after="0" w:line="259" w:lineRule="auto"/>
            </w:pPr>
            <w:r>
              <w:rPr>
                <w:rFonts w:ascii="Calibri" w:hAnsi="Calibri"/>
                <w:b w:val="0"/>
                <w:i w:val="0"/>
                <w:color w:val="20252B"/>
                <w:sz w:val="19"/>
              </w:rPr>
              <w:t>Metrics, logs, alerts and daily backup checks</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E8EEF5"/>
          </w:tcPr>
          <w:p>
            <w:pPr>
              <w:spacing w:after="40"/>
            </w:pPr>
            <w:r>
              <w:rPr>
                <w:rFonts w:ascii="Calibri" w:hAnsi="Calibri"/>
                <w:b/>
                <w:i w:val="0"/>
                <w:color w:val="0B2545"/>
                <w:sz w:val="20"/>
              </w:rPr>
              <w:t xml:space="preserve">DATA PATH  </w:t>
            </w:r>
            <w:r>
              <w:rPr>
                <w:rFonts w:ascii="Calibri" w:hAnsi="Calibri"/>
                <w:b w:val="0"/>
                <w:i w:val="0"/>
                <w:color w:val="20252B"/>
                <w:sz w:val="21"/>
              </w:rPr>
              <w:t>User -&gt; Vercel interface -&gt; HTTPS API -&gt; persistent storage -&gt; worker -&gt; PostgreSQL evidence -&gt; results dashboard. The worker reads streams; it must not load the whole file into memory.</w:t>
            </w:r>
          </w:p>
        </w:tc>
      </w:tr>
    </w:tbl>
    <w:p>
      <w:pPr>
        <w:spacing w:after="20"/>
      </w:pPr>
    </w:p>
    <w:p>
      <w:pPr>
        <w:pStyle w:val="Heading2"/>
      </w:pPr>
      <w:r>
        <w:t>Why these parts are separate</w:t>
      </w:r>
    </w:p>
    <w:p>
      <w:pPr>
        <w:pStyle w:val="ListBullet"/>
        <w:spacing w:after="80" w:line="300" w:lineRule="auto"/>
      </w:pPr>
      <w:r>
        <w:rPr>
          <w:rFonts w:ascii="Calibri" w:hAnsi="Calibri"/>
          <w:b w:val="0"/>
          <w:i w:val="0"/>
          <w:color w:val="20252B"/>
          <w:sz w:val="22"/>
        </w:rPr>
        <w:t>Compute can be increased without moving the interface.</w:t>
      </w:r>
    </w:p>
    <w:p>
      <w:pPr>
        <w:pStyle w:val="ListBullet"/>
        <w:spacing w:after="80" w:line="300" w:lineRule="auto"/>
      </w:pPr>
      <w:r>
        <w:rPr>
          <w:rFonts w:ascii="Calibri" w:hAnsi="Calibri"/>
          <w:b w:val="0"/>
          <w:i w:val="0"/>
          <w:color w:val="20252B"/>
          <w:sz w:val="22"/>
        </w:rPr>
        <w:t>Storage can grow without redesigning the entire application.</w:t>
      </w:r>
    </w:p>
    <w:p>
      <w:pPr>
        <w:pStyle w:val="ListBullet"/>
        <w:spacing w:after="80" w:line="300" w:lineRule="auto"/>
      </w:pPr>
      <w:r>
        <w:rPr>
          <w:rFonts w:ascii="Calibri" w:hAnsi="Calibri"/>
          <w:b w:val="0"/>
          <w:i w:val="0"/>
          <w:color w:val="20252B"/>
          <w:sz w:val="22"/>
        </w:rPr>
        <w:t>A failed browser session does not cancel a background job.</w:t>
      </w:r>
    </w:p>
    <w:p>
      <w:pPr>
        <w:pStyle w:val="ListBullet"/>
        <w:spacing w:after="80" w:line="300" w:lineRule="auto"/>
      </w:pPr>
      <w:r>
        <w:rPr>
          <w:rFonts w:ascii="Calibri" w:hAnsi="Calibri"/>
          <w:b w:val="0"/>
          <w:i w:val="0"/>
          <w:color w:val="20252B"/>
          <w:sz w:val="22"/>
        </w:rPr>
        <w:t>The database stores durable evidence, while Redis coordinates temporary work.</w:t>
      </w:r>
    </w:p>
    <w:p>
      <w:r>
        <w:br w:type="page"/>
      </w:r>
    </w:p>
    <w:p>
      <w:pPr>
        <w:pStyle w:val="Heading1"/>
      </w:pPr>
      <w:r>
        <w:t>2. Capacity required for heavy daily files</w:t>
      </w:r>
    </w:p>
    <w:tbl>
      <w:tblPr>
        <w:tblStyle w:val="TableGrid"/>
        <w:tblW w:type="dxa" w:w="9360"/>
        <w:jc w:val="left"/>
        <w:tblLayout w:type="fixed"/>
        <w:tblLook w:firstColumn="1" w:firstRow="1" w:lastColumn="0" w:lastRow="0" w:noHBand="0" w:noVBand="1" w:val="04A0"/>
        <w:tblInd w:w="120" w:type="dxa"/>
      </w:tblPr>
      <w:tblGrid>
        <w:gridCol w:w="1720"/>
        <w:gridCol w:w="2420"/>
        <w:gridCol w:w="2280"/>
        <w:gridCol w:w="2940"/>
      </w:tblGrid>
      <w:tr>
        <w:trPr>
          <w:tblHeader w:val="true"/>
        </w:trPr>
        <w:tc>
          <w:tcPr>
            <w:tcW w:type="dxa" w:w="1720"/>
            <w:shd w:fill="0B2545"/>
            <w:vAlign w:val="center"/>
            <w:tcMar>
              <w:top w:w="100" w:type="dxa"/>
              <w:start w:w="120" w:type="dxa"/>
              <w:bottom w:w="100" w:type="dxa"/>
              <w:end w:w="120" w:type="dxa"/>
            </w:tcMar>
          </w:tcPr>
          <w:p>
            <w:pPr>
              <w:jc w:val="left"/>
            </w:pPr>
            <w:r>
              <w:rPr>
                <w:rFonts w:ascii="Calibri" w:hAnsi="Calibri"/>
                <w:b/>
                <w:i w:val="0"/>
                <w:color w:val="FFFFFF"/>
                <w:sz w:val="19"/>
              </w:rPr>
              <w:t>Operating tier</w:t>
            </w:r>
          </w:p>
        </w:tc>
        <w:tc>
          <w:tcPr>
            <w:tcW w:type="dxa" w:w="2420"/>
            <w:shd w:fill="0B2545"/>
            <w:vAlign w:val="center"/>
            <w:tcMar>
              <w:top w:w="100" w:type="dxa"/>
              <w:start w:w="120" w:type="dxa"/>
              <w:bottom w:w="100" w:type="dxa"/>
              <w:end w:w="120" w:type="dxa"/>
            </w:tcMar>
          </w:tcPr>
          <w:p>
            <w:pPr>
              <w:jc w:val="left"/>
            </w:pPr>
            <w:r>
              <w:rPr>
                <w:rFonts w:ascii="Calibri" w:hAnsi="Calibri"/>
                <w:b/>
                <w:i w:val="0"/>
                <w:color w:val="FFFFFF"/>
                <w:sz w:val="19"/>
              </w:rPr>
              <w:t>Compute</w:t>
            </w:r>
          </w:p>
        </w:tc>
        <w:tc>
          <w:tcPr>
            <w:tcW w:type="dxa" w:w="2280"/>
            <w:shd w:fill="0B2545"/>
            <w:vAlign w:val="center"/>
            <w:tcMar>
              <w:top w:w="100" w:type="dxa"/>
              <w:start w:w="120" w:type="dxa"/>
              <w:bottom w:w="100" w:type="dxa"/>
              <w:end w:w="120" w:type="dxa"/>
            </w:tcMar>
          </w:tcPr>
          <w:p>
            <w:pPr>
              <w:jc w:val="left"/>
            </w:pPr>
            <w:r>
              <w:rPr>
                <w:rFonts w:ascii="Calibri" w:hAnsi="Calibri"/>
                <w:b/>
                <w:i w:val="0"/>
                <w:color w:val="FFFFFF"/>
                <w:sz w:val="19"/>
              </w:rPr>
              <w:t>Active storage</w:t>
            </w:r>
          </w:p>
        </w:tc>
        <w:tc>
          <w:tcPr>
            <w:tcW w:type="dxa" w:w="2940"/>
            <w:shd w:fill="0B2545"/>
            <w:vAlign w:val="center"/>
            <w:tcMar>
              <w:top w:w="100" w:type="dxa"/>
              <w:start w:w="120" w:type="dxa"/>
              <w:bottom w:w="100" w:type="dxa"/>
              <w:end w:w="120" w:type="dxa"/>
            </w:tcMar>
          </w:tcPr>
          <w:p>
            <w:pPr>
              <w:jc w:val="left"/>
            </w:pPr>
            <w:r>
              <w:rPr>
                <w:rFonts w:ascii="Calibri" w:hAnsi="Calibri"/>
                <w:b/>
                <w:i w:val="0"/>
                <w:color w:val="FFFFFF"/>
                <w:sz w:val="19"/>
              </w:rPr>
              <w:t>Best use</w:t>
            </w:r>
          </w:p>
        </w:tc>
      </w:tr>
      <w:tr>
        <w:tc>
          <w:tcPr>
            <w:tcW w:type="dxa" w:w="1720"/>
            <w:vAlign w:val="center"/>
            <w:tcMar>
              <w:top w:w="100" w:type="dxa"/>
              <w:start w:w="120" w:type="dxa"/>
              <w:bottom w:w="100" w:type="dxa"/>
              <w:end w:w="120" w:type="dxa"/>
            </w:tcMar>
          </w:tcPr>
          <w:p>
            <w:pPr>
              <w:spacing w:after="0" w:line="259" w:lineRule="auto"/>
            </w:pPr>
            <w:r>
              <w:rPr>
                <w:rFonts w:ascii="Calibri" w:hAnsi="Calibri"/>
                <w:b w:val="0"/>
                <w:i w:val="0"/>
                <w:color w:val="20252B"/>
                <w:sz w:val="19"/>
              </w:rPr>
              <w:t>Pilot: up to 25 GB</w:t>
            </w:r>
          </w:p>
        </w:tc>
        <w:tc>
          <w:tcPr>
            <w:tcW w:type="dxa" w:w="2420"/>
            <w:vAlign w:val="center"/>
            <w:tcMar>
              <w:top w:w="100" w:type="dxa"/>
              <w:start w:w="120" w:type="dxa"/>
              <w:bottom w:w="100" w:type="dxa"/>
              <w:end w:w="120" w:type="dxa"/>
            </w:tcMar>
          </w:tcPr>
          <w:p>
            <w:pPr>
              <w:spacing w:after="0" w:line="259" w:lineRule="auto"/>
            </w:pPr>
            <w:r>
              <w:rPr>
                <w:rFonts w:ascii="Calibri" w:hAnsi="Calibri"/>
                <w:b w:val="0"/>
                <w:i w:val="0"/>
                <w:color w:val="20252B"/>
                <w:sz w:val="19"/>
              </w:rPr>
              <w:t>8-16 CPU cores, 32 GB RAM</w:t>
            </w:r>
          </w:p>
        </w:tc>
        <w:tc>
          <w:tcPr>
            <w:tcW w:type="dxa" w:w="2280"/>
            <w:vAlign w:val="center"/>
            <w:tcMar>
              <w:top w:w="100" w:type="dxa"/>
              <w:start w:w="120" w:type="dxa"/>
              <w:bottom w:w="100" w:type="dxa"/>
              <w:end w:w="120" w:type="dxa"/>
            </w:tcMar>
          </w:tcPr>
          <w:p>
            <w:pPr>
              <w:spacing w:after="0" w:line="259" w:lineRule="auto"/>
            </w:pPr>
            <w:r>
              <w:rPr>
                <w:rFonts w:ascii="Calibri" w:hAnsi="Calibri"/>
                <w:b w:val="0"/>
                <w:i w:val="0"/>
                <w:color w:val="20252B"/>
                <w:sz w:val="19"/>
              </w:rPr>
              <w:t>500 GB NVMe</w:t>
            </w:r>
          </w:p>
        </w:tc>
        <w:tc>
          <w:tcPr>
            <w:tcW w:type="dxa" w:w="2940"/>
            <w:vAlign w:val="center"/>
            <w:tcMar>
              <w:top w:w="100" w:type="dxa"/>
              <w:start w:w="120" w:type="dxa"/>
              <w:bottom w:w="100" w:type="dxa"/>
              <w:end w:w="120" w:type="dxa"/>
            </w:tcMar>
          </w:tcPr>
          <w:p>
            <w:pPr>
              <w:spacing w:after="0" w:line="259" w:lineRule="auto"/>
            </w:pPr>
            <w:r>
              <w:rPr>
                <w:rFonts w:ascii="Calibri" w:hAnsi="Calibri"/>
                <w:b w:val="0"/>
                <w:i w:val="0"/>
                <w:color w:val="20252B"/>
                <w:sz w:val="19"/>
              </w:rPr>
              <w:t>Parser validation and team workflow</w:t>
            </w:r>
          </w:p>
        </w:tc>
      </w:tr>
      <w:tr>
        <w:tc>
          <w:tcPr>
            <w:tcW w:type="dxa" w:w="172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Standard: up to 100 GB</w:t>
            </w:r>
          </w:p>
        </w:tc>
        <w:tc>
          <w:tcPr>
            <w:tcW w:type="dxa" w:w="242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16-32 cores, 64 GB RAM</w:t>
            </w:r>
          </w:p>
        </w:tc>
        <w:tc>
          <w:tcPr>
            <w:tcW w:type="dxa" w:w="228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1 TB NVMe</w:t>
            </w:r>
          </w:p>
        </w:tc>
        <w:tc>
          <w:tcPr>
            <w:tcW w:type="dxa" w:w="294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Regular production with one large job</w:t>
            </w:r>
          </w:p>
        </w:tc>
      </w:tr>
      <w:tr>
        <w:tc>
          <w:tcPr>
            <w:tcW w:type="dxa" w:w="1720"/>
            <w:vAlign w:val="center"/>
            <w:tcMar>
              <w:top w:w="100" w:type="dxa"/>
              <w:start w:w="120" w:type="dxa"/>
              <w:bottom w:w="100" w:type="dxa"/>
              <w:end w:w="120" w:type="dxa"/>
            </w:tcMar>
          </w:tcPr>
          <w:p>
            <w:pPr>
              <w:spacing w:after="0" w:line="259" w:lineRule="auto"/>
            </w:pPr>
            <w:r>
              <w:rPr>
                <w:rFonts w:ascii="Calibri" w:hAnsi="Calibri"/>
                <w:b w:val="0"/>
                <w:i w:val="0"/>
                <w:color w:val="20252B"/>
                <w:sz w:val="19"/>
              </w:rPr>
              <w:t>Heavy: up to 500 GB</w:t>
            </w:r>
          </w:p>
        </w:tc>
        <w:tc>
          <w:tcPr>
            <w:tcW w:type="dxa" w:w="2420"/>
            <w:vAlign w:val="center"/>
            <w:tcMar>
              <w:top w:w="100" w:type="dxa"/>
              <w:start w:w="120" w:type="dxa"/>
              <w:bottom w:w="100" w:type="dxa"/>
              <w:end w:w="120" w:type="dxa"/>
            </w:tcMar>
          </w:tcPr>
          <w:p>
            <w:pPr>
              <w:spacing w:after="0" w:line="259" w:lineRule="auto"/>
            </w:pPr>
            <w:r>
              <w:rPr>
                <w:rFonts w:ascii="Calibri" w:hAnsi="Calibri"/>
                <w:b w:val="0"/>
                <w:i w:val="0"/>
                <w:color w:val="20252B"/>
                <w:sz w:val="19"/>
              </w:rPr>
              <w:t>32-64 cores, 128 GB RAM</w:t>
            </w:r>
          </w:p>
        </w:tc>
        <w:tc>
          <w:tcPr>
            <w:tcW w:type="dxa" w:w="2280"/>
            <w:vAlign w:val="center"/>
            <w:tcMar>
              <w:top w:w="100" w:type="dxa"/>
              <w:start w:w="120" w:type="dxa"/>
              <w:bottom w:w="100" w:type="dxa"/>
              <w:end w:w="120" w:type="dxa"/>
            </w:tcMar>
          </w:tcPr>
          <w:p>
            <w:pPr>
              <w:spacing w:after="0" w:line="259" w:lineRule="auto"/>
            </w:pPr>
            <w:r>
              <w:rPr>
                <w:rFonts w:ascii="Calibri" w:hAnsi="Calibri"/>
                <w:b w:val="0"/>
                <w:i w:val="0"/>
                <w:color w:val="20252B"/>
                <w:sz w:val="19"/>
              </w:rPr>
              <w:t>2 TB+ NVMe</w:t>
            </w:r>
          </w:p>
        </w:tc>
        <w:tc>
          <w:tcPr>
            <w:tcW w:type="dxa" w:w="2940"/>
            <w:vAlign w:val="center"/>
            <w:tcMar>
              <w:top w:w="100" w:type="dxa"/>
              <w:start w:w="120" w:type="dxa"/>
              <w:bottom w:w="100" w:type="dxa"/>
              <w:end w:w="120" w:type="dxa"/>
            </w:tcMar>
          </w:tcPr>
          <w:p>
            <w:pPr>
              <w:spacing w:after="0" w:line="259" w:lineRule="auto"/>
            </w:pPr>
            <w:r>
              <w:rPr>
                <w:rFonts w:ascii="Calibri" w:hAnsi="Calibri"/>
                <w:b w:val="0"/>
                <w:i w:val="0"/>
                <w:color w:val="20252B"/>
                <w:sz w:val="19"/>
              </w:rPr>
              <w:t>Controlled 500 GB runs after load testing</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FFF3D6"/>
          </w:tcPr>
          <w:p>
            <w:pPr>
              <w:spacing w:after="40"/>
            </w:pPr>
            <w:r>
              <w:rPr>
                <w:rFonts w:ascii="Calibri" w:hAnsi="Calibri"/>
                <w:b/>
                <w:i w:val="0"/>
                <w:color w:val="0B2545"/>
                <w:sz w:val="20"/>
              </w:rPr>
              <w:t xml:space="preserve">STORAGE RULE  </w:t>
            </w:r>
            <w:r>
              <w:rPr>
                <w:rFonts w:ascii="Calibri" w:hAnsi="Calibri"/>
                <w:b w:val="0"/>
                <w:i w:val="0"/>
                <w:color w:val="20252B"/>
                <w:sz w:val="21"/>
              </w:rPr>
              <w:t>Reserve space for the source file, temporary working data, database growth and recovery. A 500 GB input does not fit safely on a disk with only 500 GB free. Begin with at least 2 TB active NVMe and monitor the actual expansion ratio.</w:t>
            </w:r>
          </w:p>
        </w:tc>
      </w:tr>
    </w:tbl>
    <w:p>
      <w:pPr>
        <w:spacing w:after="20"/>
      </w:pPr>
    </w:p>
    <w:p>
      <w:pPr>
        <w:pStyle w:val="Heading2"/>
      </w:pPr>
      <w:r>
        <w:t>Minimum guardrails</w:t>
      </w:r>
    </w:p>
    <w:p>
      <w:pPr>
        <w:pStyle w:val="ListBullet"/>
        <w:spacing w:after="80" w:line="300" w:lineRule="auto"/>
      </w:pPr>
      <w:r>
        <w:rPr>
          <w:rFonts w:ascii="Calibri" w:hAnsi="Calibri"/>
          <w:b w:val="0"/>
          <w:i w:val="0"/>
          <w:color w:val="20252B"/>
          <w:sz w:val="22"/>
        </w:rPr>
        <w:t>One active upload per user; cap total active uploads for the server.</w:t>
      </w:r>
    </w:p>
    <w:p>
      <w:pPr>
        <w:pStyle w:val="ListBullet"/>
        <w:spacing w:after="80" w:line="300" w:lineRule="auto"/>
      </w:pPr>
      <w:r>
        <w:rPr>
          <w:rFonts w:ascii="Calibri" w:hAnsi="Calibri"/>
          <w:b w:val="0"/>
          <w:i w:val="0"/>
          <w:color w:val="20252B"/>
          <w:sz w:val="22"/>
        </w:rPr>
        <w:t>Reject a job before upload when free space is below the configured reserve.</w:t>
      </w:r>
    </w:p>
    <w:p>
      <w:pPr>
        <w:pStyle w:val="ListBullet"/>
        <w:spacing w:after="80" w:line="300" w:lineRule="auto"/>
      </w:pPr>
      <w:r>
        <w:rPr>
          <w:rFonts w:ascii="Calibri" w:hAnsi="Calibri"/>
          <w:b w:val="0"/>
          <w:i w:val="0"/>
          <w:color w:val="20252B"/>
          <w:sz w:val="22"/>
        </w:rPr>
        <w:t>Chunked, resumable uploads with checksums and clear retry status.</w:t>
      </w:r>
    </w:p>
    <w:p>
      <w:pPr>
        <w:pStyle w:val="ListBullet"/>
        <w:spacing w:after="80" w:line="300" w:lineRule="auto"/>
      </w:pPr>
      <w:r>
        <w:rPr>
          <w:rFonts w:ascii="Calibri" w:hAnsi="Calibri"/>
          <w:b w:val="0"/>
          <w:i w:val="0"/>
          <w:color w:val="20252B"/>
          <w:sz w:val="22"/>
        </w:rPr>
        <w:t>Stream ZIP members and reject unsafe paths, excessive member counts and extreme expansion ratios.</w:t>
      </w:r>
    </w:p>
    <w:p>
      <w:pPr>
        <w:pStyle w:val="ListBullet"/>
        <w:spacing w:after="80" w:line="300" w:lineRule="auto"/>
      </w:pPr>
      <w:r>
        <w:rPr>
          <w:rFonts w:ascii="Calibri" w:hAnsi="Calibri"/>
          <w:b w:val="0"/>
          <w:i w:val="0"/>
          <w:color w:val="20252B"/>
          <w:sz w:val="22"/>
        </w:rPr>
        <w:t>Bound worker concurrency so CPU, memory, disk and PostgreSQL remain responsive.</w:t>
      </w:r>
    </w:p>
    <w:p>
      <w:pPr>
        <w:pStyle w:val="ListBullet"/>
        <w:spacing w:after="80" w:line="300" w:lineRule="auto"/>
      </w:pPr>
      <w:r>
        <w:rPr>
          <w:rFonts w:ascii="Calibri" w:hAnsi="Calibri"/>
          <w:b w:val="0"/>
          <w:i w:val="0"/>
          <w:color w:val="20252B"/>
          <w:sz w:val="22"/>
        </w:rPr>
        <w:t>Keep raw files, scratch data, PostgreSQL and backups on deliberate persistent volumes.</w:t>
      </w:r>
    </w:p>
    <w:p>
      <w:pPr>
        <w:pStyle w:val="Heading2"/>
      </w:pPr>
      <w:r>
        <w:t>Retention questions management must decide</w:t>
      </w:r>
    </w:p>
    <w:p>
      <w:pPr>
        <w:pStyle w:val="ListBullet"/>
        <w:spacing w:after="80" w:line="300" w:lineRule="auto"/>
      </w:pPr>
      <w:r>
        <w:rPr>
          <w:rFonts w:ascii="Calibri" w:hAnsi="Calibri"/>
          <w:b w:val="0"/>
          <w:i w:val="0"/>
          <w:color w:val="20252B"/>
          <w:sz w:val="22"/>
        </w:rPr>
        <w:t>How many days are raw CDN and origin files retained?</w:t>
      </w:r>
    </w:p>
    <w:p>
      <w:pPr>
        <w:pStyle w:val="ListBullet"/>
        <w:spacing w:after="80" w:line="300" w:lineRule="auto"/>
      </w:pPr>
      <w:r>
        <w:rPr>
          <w:rFonts w:ascii="Calibri" w:hAnsi="Calibri"/>
          <w:b w:val="0"/>
          <w:i w:val="0"/>
          <w:color w:val="20252B"/>
          <w:sz w:val="22"/>
        </w:rPr>
        <w:t>How many completed result sets remain online?</w:t>
      </w:r>
    </w:p>
    <w:p>
      <w:pPr>
        <w:pStyle w:val="ListBullet"/>
        <w:spacing w:after="80" w:line="300" w:lineRule="auto"/>
      </w:pPr>
      <w:r>
        <w:rPr>
          <w:rFonts w:ascii="Calibri" w:hAnsi="Calibri"/>
          <w:b w:val="0"/>
          <w:i w:val="0"/>
          <w:color w:val="20252B"/>
          <w:sz w:val="22"/>
        </w:rPr>
        <w:t>Who can delete a source file or analysis result?</w:t>
      </w:r>
    </w:p>
    <w:p>
      <w:pPr>
        <w:pStyle w:val="ListBullet"/>
        <w:spacing w:after="80" w:line="300" w:lineRule="auto"/>
      </w:pPr>
      <w:r>
        <w:rPr>
          <w:rFonts w:ascii="Calibri" w:hAnsi="Calibri"/>
          <w:b w:val="0"/>
          <w:i w:val="0"/>
          <w:color w:val="20252B"/>
          <w:sz w:val="22"/>
        </w:rPr>
        <w:t>Is archive storage required in India, and what recovery time is acceptable?</w:t>
      </w:r>
    </w:p>
    <w:p>
      <w:r>
        <w:br w:type="page"/>
      </w:r>
    </w:p>
    <w:p>
      <w:pPr>
        <w:pStyle w:val="Heading1"/>
      </w:pPr>
      <w:r>
        <w:t>3. Deployment choices and cost categories</w:t>
      </w:r>
    </w:p>
    <w:tbl>
      <w:tblPr>
        <w:tblStyle w:val="TableGrid"/>
        <w:tblW w:type="dxa" w:w="9360"/>
        <w:jc w:val="left"/>
        <w:tblLayout w:type="fixed"/>
        <w:tblLook w:firstColumn="1" w:firstRow="1" w:lastColumn="0" w:lastRow="0" w:noHBand="0" w:noVBand="1" w:val="04A0"/>
        <w:tblInd w:w="120" w:type="dxa"/>
      </w:tblPr>
      <w:tblGrid>
        <w:gridCol w:w="1940"/>
        <w:gridCol w:w="3620"/>
        <w:gridCol w:w="3800"/>
      </w:tblGrid>
      <w:tr>
        <w:trPr>
          <w:tblHeader w:val="true"/>
        </w:trPr>
        <w:tc>
          <w:tcPr>
            <w:tcW w:type="dxa" w:w="1940"/>
            <w:shd w:fill="0B2545"/>
            <w:vAlign w:val="center"/>
            <w:tcMar>
              <w:top w:w="100" w:type="dxa"/>
              <w:start w:w="120" w:type="dxa"/>
              <w:bottom w:w="100" w:type="dxa"/>
              <w:end w:w="120" w:type="dxa"/>
            </w:tcMar>
          </w:tcPr>
          <w:p>
            <w:pPr>
              <w:jc w:val="left"/>
            </w:pPr>
            <w:r>
              <w:rPr>
                <w:rFonts w:ascii="Calibri" w:hAnsi="Calibri"/>
                <w:b/>
                <w:i w:val="0"/>
                <w:color w:val="FFFFFF"/>
                <w:sz w:val="19"/>
              </w:rPr>
              <w:t>Option</w:t>
            </w:r>
          </w:p>
        </w:tc>
        <w:tc>
          <w:tcPr>
            <w:tcW w:type="dxa" w:w="3620"/>
            <w:shd w:fill="0B2545"/>
            <w:vAlign w:val="center"/>
            <w:tcMar>
              <w:top w:w="100" w:type="dxa"/>
              <w:start w:w="120" w:type="dxa"/>
              <w:bottom w:w="100" w:type="dxa"/>
              <w:end w:w="120" w:type="dxa"/>
            </w:tcMar>
          </w:tcPr>
          <w:p>
            <w:pPr>
              <w:jc w:val="left"/>
            </w:pPr>
            <w:r>
              <w:rPr>
                <w:rFonts w:ascii="Calibri" w:hAnsi="Calibri"/>
                <w:b/>
                <w:i w:val="0"/>
                <w:color w:val="FFFFFF"/>
                <w:sz w:val="19"/>
              </w:rPr>
              <w:t>Advantages</w:t>
            </w:r>
          </w:p>
        </w:tc>
        <w:tc>
          <w:tcPr>
            <w:tcW w:type="dxa" w:w="3800"/>
            <w:shd w:fill="0B2545"/>
            <w:vAlign w:val="center"/>
            <w:tcMar>
              <w:top w:w="100" w:type="dxa"/>
              <w:start w:w="120" w:type="dxa"/>
              <w:bottom w:w="100" w:type="dxa"/>
              <w:end w:w="120" w:type="dxa"/>
            </w:tcMar>
          </w:tcPr>
          <w:p>
            <w:pPr>
              <w:jc w:val="left"/>
            </w:pPr>
            <w:r>
              <w:rPr>
                <w:rFonts w:ascii="Calibri" w:hAnsi="Calibri"/>
                <w:b/>
                <w:i w:val="0"/>
                <w:color w:val="FFFFFF"/>
                <w:sz w:val="19"/>
              </w:rPr>
              <w:t>Trade-offs</w:t>
            </w:r>
          </w:p>
        </w:tc>
      </w:tr>
      <w:tr>
        <w:tc>
          <w:tcPr>
            <w:tcW w:type="dxa" w:w="1940"/>
            <w:vAlign w:val="center"/>
            <w:tcMar>
              <w:top w:w="100" w:type="dxa"/>
              <w:start w:w="120" w:type="dxa"/>
              <w:bottom w:w="100" w:type="dxa"/>
              <w:end w:w="120" w:type="dxa"/>
            </w:tcMar>
          </w:tcPr>
          <w:p>
            <w:pPr>
              <w:spacing w:after="0" w:line="259" w:lineRule="auto"/>
            </w:pPr>
            <w:r>
              <w:rPr>
                <w:rFonts w:ascii="Calibri" w:hAnsi="Calibri"/>
                <w:b w:val="0"/>
                <w:i w:val="0"/>
                <w:color w:val="20252B"/>
                <w:sz w:val="19"/>
              </w:rPr>
              <w:t>Company server / data centre</w:t>
            </w:r>
          </w:p>
        </w:tc>
        <w:tc>
          <w:tcPr>
            <w:tcW w:type="dxa" w:w="3620"/>
            <w:vAlign w:val="center"/>
            <w:tcMar>
              <w:top w:w="100" w:type="dxa"/>
              <w:start w:w="120" w:type="dxa"/>
              <w:bottom w:w="100" w:type="dxa"/>
              <w:end w:w="120" w:type="dxa"/>
            </w:tcMar>
          </w:tcPr>
          <w:p>
            <w:pPr>
              <w:spacing w:after="0" w:line="259" w:lineRule="auto"/>
            </w:pPr>
            <w:r>
              <w:rPr>
                <w:rFonts w:ascii="Calibri" w:hAnsi="Calibri"/>
                <w:b w:val="0"/>
                <w:i w:val="0"/>
                <w:color w:val="20252B"/>
                <w:sz w:val="19"/>
              </w:rPr>
              <w:t>Maximum control; predictable local storage; no public raw-data transfer</w:t>
            </w:r>
          </w:p>
        </w:tc>
        <w:tc>
          <w:tcPr>
            <w:tcW w:type="dxa" w:w="3800"/>
            <w:vAlign w:val="center"/>
            <w:tcMar>
              <w:top w:w="100" w:type="dxa"/>
              <w:start w:w="120" w:type="dxa"/>
              <w:bottom w:w="100" w:type="dxa"/>
              <w:end w:w="120" w:type="dxa"/>
            </w:tcMar>
          </w:tcPr>
          <w:p>
            <w:pPr>
              <w:spacing w:after="0" w:line="259" w:lineRule="auto"/>
            </w:pPr>
            <w:r>
              <w:rPr>
                <w:rFonts w:ascii="Calibri" w:hAnsi="Calibri"/>
                <w:b w:val="0"/>
                <w:i w:val="0"/>
                <w:color w:val="20252B"/>
                <w:sz w:val="19"/>
              </w:rPr>
              <w:t>Company must operate hardware, power, backups, patching and remote access</w:t>
            </w:r>
          </w:p>
        </w:tc>
      </w:tr>
      <w:tr>
        <w:tc>
          <w:tcPr>
            <w:tcW w:type="dxa" w:w="194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India-region cloud VM</w:t>
            </w:r>
          </w:p>
        </w:tc>
        <w:tc>
          <w:tcPr>
            <w:tcW w:type="dxa" w:w="362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Fastest shared rollout; easier resizing; managed network controls</w:t>
            </w:r>
          </w:p>
        </w:tc>
        <w:tc>
          <w:tcPr>
            <w:tcW w:type="dxa" w:w="380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Monthly compute, disk, backup and outbound-transfer charges</w:t>
            </w:r>
          </w:p>
        </w:tc>
      </w:tr>
      <w:tr>
        <w:tc>
          <w:tcPr>
            <w:tcW w:type="dxa" w:w="1940"/>
            <w:vAlign w:val="center"/>
            <w:tcMar>
              <w:top w:w="100" w:type="dxa"/>
              <w:start w:w="120" w:type="dxa"/>
              <w:bottom w:w="100" w:type="dxa"/>
              <w:end w:w="120" w:type="dxa"/>
            </w:tcMar>
          </w:tcPr>
          <w:p>
            <w:pPr>
              <w:spacing w:after="0" w:line="259" w:lineRule="auto"/>
            </w:pPr>
            <w:r>
              <w:rPr>
                <w:rFonts w:ascii="Calibri" w:hAnsi="Calibri"/>
                <w:b w:val="0"/>
                <w:i w:val="0"/>
                <w:color w:val="20252B"/>
                <w:sz w:val="19"/>
              </w:rPr>
              <w:t>Hybrid: Vercel + private backend</w:t>
            </w:r>
          </w:p>
        </w:tc>
        <w:tc>
          <w:tcPr>
            <w:tcW w:type="dxa" w:w="3620"/>
            <w:vAlign w:val="center"/>
            <w:tcMar>
              <w:top w:w="100" w:type="dxa"/>
              <w:start w:w="120" w:type="dxa"/>
              <w:bottom w:w="100" w:type="dxa"/>
              <w:end w:w="120" w:type="dxa"/>
            </w:tcMar>
          </w:tcPr>
          <w:p>
            <w:pPr>
              <w:spacing w:after="0" w:line="259" w:lineRule="auto"/>
            </w:pPr>
            <w:r>
              <w:rPr>
                <w:rFonts w:ascii="Calibri" w:hAnsi="Calibri"/>
                <w:b w:val="0"/>
                <w:i w:val="0"/>
                <w:color w:val="20252B"/>
                <w:sz w:val="19"/>
              </w:rPr>
              <w:t>Simple team URL; independent backend scaling; recommended architecture</w:t>
            </w:r>
          </w:p>
        </w:tc>
        <w:tc>
          <w:tcPr>
            <w:tcW w:type="dxa" w:w="3800"/>
            <w:vAlign w:val="center"/>
            <w:tcMar>
              <w:top w:w="100" w:type="dxa"/>
              <w:start w:w="120" w:type="dxa"/>
              <w:bottom w:w="100" w:type="dxa"/>
              <w:end w:w="120" w:type="dxa"/>
            </w:tcMar>
          </w:tcPr>
          <w:p>
            <w:pPr>
              <w:spacing w:after="0" w:line="259" w:lineRule="auto"/>
            </w:pPr>
            <w:r>
              <w:rPr>
                <w:rFonts w:ascii="Calibri" w:hAnsi="Calibri"/>
                <w:b w:val="0"/>
                <w:i w:val="0"/>
                <w:color w:val="20252B"/>
                <w:sz w:val="19"/>
              </w:rPr>
              <w:t>Requires secure HTTPS connection and operational ownership</w:t>
            </w:r>
          </w:p>
        </w:tc>
      </w:tr>
    </w:tbl>
    <w:p>
      <w:pPr>
        <w:spacing w:after="40"/>
      </w:pPr>
    </w:p>
    <w:p>
      <w:pPr>
        <w:pStyle w:val="Heading2"/>
      </w:pPr>
      <w:r>
        <w:t>Budget categories</w:t>
      </w:r>
    </w:p>
    <w:p>
      <w:pPr>
        <w:pStyle w:val="ListBullet"/>
        <w:spacing w:after="80" w:line="300" w:lineRule="auto"/>
      </w:pPr>
      <w:r>
        <w:rPr>
          <w:rFonts w:ascii="Calibri" w:hAnsi="Calibri"/>
          <w:b/>
          <w:i w:val="0"/>
          <w:color w:val="20252B"/>
          <w:sz w:val="22"/>
        </w:rPr>
        <w:t>Compute:</w:t>
      </w:r>
      <w:r>
        <w:rPr>
          <w:rFonts w:ascii="Calibri" w:hAnsi="Calibri"/>
          <w:b w:val="0"/>
          <w:i w:val="0"/>
          <w:color w:val="20252B"/>
          <w:sz w:val="22"/>
        </w:rPr>
        <w:t xml:space="preserve"> API, workers and database CPU/RAM.</w:t>
      </w:r>
    </w:p>
    <w:p>
      <w:pPr>
        <w:pStyle w:val="ListBullet"/>
        <w:spacing w:after="80" w:line="300" w:lineRule="auto"/>
      </w:pPr>
      <w:r>
        <w:rPr>
          <w:rFonts w:ascii="Calibri" w:hAnsi="Calibri"/>
          <w:b/>
          <w:i w:val="0"/>
          <w:color w:val="20252B"/>
          <w:sz w:val="22"/>
        </w:rPr>
        <w:t>Storage:</w:t>
      </w:r>
      <w:r>
        <w:rPr>
          <w:rFonts w:ascii="Calibri" w:hAnsi="Calibri"/>
          <w:b w:val="0"/>
          <w:i w:val="0"/>
          <w:color w:val="20252B"/>
          <w:sz w:val="22"/>
        </w:rPr>
        <w:t xml:space="preserve"> active NVMe, database volume, snapshots and archive retention.</w:t>
      </w:r>
    </w:p>
    <w:p>
      <w:pPr>
        <w:pStyle w:val="ListBullet"/>
        <w:spacing w:after="80" w:line="300" w:lineRule="auto"/>
      </w:pPr>
      <w:r>
        <w:rPr>
          <w:rFonts w:ascii="Calibri" w:hAnsi="Calibri"/>
          <w:b/>
          <w:i w:val="0"/>
          <w:color w:val="20252B"/>
          <w:sz w:val="22"/>
        </w:rPr>
        <w:t>Network:</w:t>
      </w:r>
      <w:r>
        <w:rPr>
          <w:rFonts w:ascii="Calibri" w:hAnsi="Calibri"/>
          <w:b w:val="0"/>
          <w:i w:val="0"/>
          <w:color w:val="20252B"/>
          <w:sz w:val="22"/>
        </w:rPr>
        <w:t xml:space="preserve"> large-file ingress, result access and any outbound transfer.</w:t>
      </w:r>
    </w:p>
    <w:p>
      <w:pPr>
        <w:pStyle w:val="ListBullet"/>
        <w:spacing w:after="80" w:line="300" w:lineRule="auto"/>
      </w:pPr>
      <w:r>
        <w:rPr>
          <w:rFonts w:ascii="Calibri" w:hAnsi="Calibri"/>
          <w:b/>
          <w:i w:val="0"/>
          <w:color w:val="20252B"/>
          <w:sz w:val="22"/>
        </w:rPr>
        <w:t>Reliability:</w:t>
      </w:r>
      <w:r>
        <w:rPr>
          <w:rFonts w:ascii="Calibri" w:hAnsi="Calibri"/>
          <w:b w:val="0"/>
          <w:i w:val="0"/>
          <w:color w:val="20252B"/>
          <w:sz w:val="22"/>
        </w:rPr>
        <w:t xml:space="preserve"> monitoring, backup verification and replacement capacity.</w:t>
      </w:r>
    </w:p>
    <w:p>
      <w:pPr>
        <w:pStyle w:val="ListBullet"/>
        <w:spacing w:after="80" w:line="300" w:lineRule="auto"/>
      </w:pPr>
      <w:r>
        <w:rPr>
          <w:rFonts w:ascii="Calibri" w:hAnsi="Calibri"/>
          <w:b/>
          <w:i w:val="0"/>
          <w:color w:val="20252B"/>
          <w:sz w:val="22"/>
        </w:rPr>
        <w:t>Security:</w:t>
      </w:r>
      <w:r>
        <w:rPr>
          <w:rFonts w:ascii="Calibri" w:hAnsi="Calibri"/>
          <w:b w:val="0"/>
          <w:i w:val="0"/>
          <w:color w:val="20252B"/>
          <w:sz w:val="22"/>
        </w:rPr>
        <w:t xml:space="preserve"> access controls, vulnerability patching, secrets and audit review.</w:t>
      </w:r>
    </w:p>
    <w:p>
      <w:pPr>
        <w:pStyle w:val="ListBullet"/>
        <w:spacing w:after="80" w:line="300" w:lineRule="auto"/>
      </w:pPr>
      <w:r>
        <w:rPr>
          <w:rFonts w:ascii="Calibri" w:hAnsi="Calibri"/>
          <w:b/>
          <w:i w:val="0"/>
          <w:color w:val="20252B"/>
          <w:sz w:val="22"/>
        </w:rPr>
        <w:t>People:</w:t>
      </w:r>
      <w:r>
        <w:rPr>
          <w:rFonts w:ascii="Calibri" w:hAnsi="Calibri"/>
          <w:b w:val="0"/>
          <w:i w:val="0"/>
          <w:color w:val="20252B"/>
          <w:sz w:val="22"/>
        </w:rPr>
        <w:t xml:space="preserve"> an infrastructure owner and an application owner.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E8EEF5"/>
          </w:tcPr>
          <w:p>
            <w:pPr>
              <w:spacing w:after="40"/>
            </w:pPr>
            <w:r>
              <w:rPr>
                <w:rFonts w:ascii="Calibri" w:hAnsi="Calibri"/>
                <w:b/>
                <w:i w:val="0"/>
                <w:color w:val="0B2545"/>
                <w:sz w:val="20"/>
              </w:rPr>
              <w:t xml:space="preserve">FREE SOFTWARE IS NOT FREE INFRASTRUCTURE  </w:t>
            </w:r>
            <w:r>
              <w:rPr>
                <w:rFonts w:ascii="Calibri" w:hAnsi="Calibri"/>
                <w:b w:val="0"/>
                <w:i w:val="0"/>
                <w:color w:val="20252B"/>
                <w:sz w:val="21"/>
              </w:rPr>
              <w:t>Docker, PostgreSQL, Redis, FastAPI and Caddy have open-source editions. Reliable 500 GB daily processing still needs paid or company-owned compute, storage, backup and operations.</w:t>
            </w:r>
          </w:p>
        </w:tc>
      </w:tr>
    </w:tbl>
    <w:p>
      <w:pPr>
        <w:spacing w:after="20"/>
      </w:pPr>
    </w:p>
    <w:p>
      <w:pPr>
        <w:pStyle w:val="Heading2"/>
      </w:pPr>
      <w:r>
        <w:t>Procurement request</w:t>
      </w:r>
    </w:p>
    <w:p>
      <w:pPr>
        <w:pStyle w:val="ListBullet"/>
        <w:spacing w:after="80" w:line="300" w:lineRule="auto"/>
      </w:pPr>
      <w:r>
        <w:rPr>
          <w:rFonts w:ascii="Calibri" w:hAnsi="Calibri"/>
          <w:b w:val="0"/>
          <w:i w:val="0"/>
          <w:color w:val="20252B"/>
          <w:sz w:val="22"/>
        </w:rPr>
        <w:t>Ask vendors for India-region pricing using 2 TB active NVMe, 64-128 GB RAM and separate backups.</w:t>
      </w:r>
    </w:p>
    <w:p>
      <w:pPr>
        <w:pStyle w:val="ListBullet"/>
        <w:spacing w:after="80" w:line="300" w:lineRule="auto"/>
      </w:pPr>
      <w:r>
        <w:rPr>
          <w:rFonts w:ascii="Calibri" w:hAnsi="Calibri"/>
          <w:b w:val="0"/>
          <w:i w:val="0"/>
          <w:color w:val="20252B"/>
          <w:sz w:val="22"/>
        </w:rPr>
        <w:t>Request monthly estimates at pilot, 100 GB and 500 GB tiers.</w:t>
      </w:r>
    </w:p>
    <w:p>
      <w:pPr>
        <w:pStyle w:val="ListBullet"/>
        <w:spacing w:after="80" w:line="300" w:lineRule="auto"/>
      </w:pPr>
      <w:r>
        <w:rPr>
          <w:rFonts w:ascii="Calibri" w:hAnsi="Calibri"/>
          <w:b w:val="0"/>
          <w:i w:val="0"/>
          <w:color w:val="20252B"/>
          <w:sz w:val="22"/>
        </w:rPr>
        <w:t>Do not select solely on headline VM cost; include disk performance, snapshots and data transfer.</w:t>
      </w:r>
    </w:p>
    <w:p>
      <w:r>
        <w:br w:type="page"/>
      </w:r>
    </w:p>
    <w:p>
      <w:pPr>
        <w:pStyle w:val="Heading1"/>
      </w:pPr>
      <w:r>
        <w:t>4. Security and team access</w:t>
      </w:r>
    </w:p>
    <w:p>
      <w:pPr>
        <w:pStyle w:val="Heading2"/>
      </w:pPr>
      <w:r>
        <w:t>Required before external team use</w:t>
      </w:r>
    </w:p>
    <w:p>
      <w:pPr>
        <w:pStyle w:val="ListBullet"/>
        <w:spacing w:after="80" w:line="300" w:lineRule="auto"/>
      </w:pPr>
      <w:r>
        <w:rPr>
          <w:rFonts w:ascii="Calibri" w:hAnsi="Calibri"/>
          <w:b w:val="0"/>
          <w:i w:val="0"/>
          <w:color w:val="20252B"/>
          <w:sz w:val="22"/>
        </w:rPr>
        <w:t>Use HTTPS only; never expose PostgreSQL or Redis to the public internet.</w:t>
      </w:r>
    </w:p>
    <w:p>
      <w:pPr>
        <w:pStyle w:val="ListBullet"/>
        <w:spacing w:after="80" w:line="300" w:lineRule="auto"/>
      </w:pPr>
      <w:r>
        <w:rPr>
          <w:rFonts w:ascii="Calibri" w:hAnsi="Calibri"/>
          <w:b w:val="0"/>
          <w:i w:val="0"/>
          <w:color w:val="20252B"/>
          <w:sz w:val="22"/>
        </w:rPr>
        <w:t>Give every user an individual identity. Remove access immediately when a person leaves the team.</w:t>
      </w:r>
    </w:p>
    <w:p>
      <w:pPr>
        <w:pStyle w:val="ListBullet"/>
        <w:spacing w:after="80" w:line="300" w:lineRule="auto"/>
      </w:pPr>
      <w:r>
        <w:rPr>
          <w:rFonts w:ascii="Calibri" w:hAnsi="Calibri"/>
          <w:b w:val="0"/>
          <w:i w:val="0"/>
          <w:color w:val="20252B"/>
          <w:sz w:val="22"/>
        </w:rPr>
        <w:t>Restrict uploads by size, type, rate and concurrent-job capacity.</w:t>
      </w:r>
    </w:p>
    <w:p>
      <w:pPr>
        <w:pStyle w:val="ListBullet"/>
        <w:spacing w:after="80" w:line="300" w:lineRule="auto"/>
      </w:pPr>
      <w:r>
        <w:rPr>
          <w:rFonts w:ascii="Calibri" w:hAnsi="Calibri"/>
          <w:b w:val="0"/>
          <w:i w:val="0"/>
          <w:color w:val="20252B"/>
          <w:sz w:val="22"/>
        </w:rPr>
        <w:t>Store passwords, database URLs and service credentials outside Git.</w:t>
      </w:r>
    </w:p>
    <w:p>
      <w:pPr>
        <w:pStyle w:val="ListBullet"/>
        <w:spacing w:after="80" w:line="300" w:lineRule="auto"/>
      </w:pPr>
      <w:r>
        <w:rPr>
          <w:rFonts w:ascii="Calibri" w:hAnsi="Calibri"/>
          <w:b w:val="0"/>
          <w:i w:val="0"/>
          <w:color w:val="20252B"/>
          <w:sz w:val="22"/>
        </w:rPr>
        <w:t>Encrypt disks and backups; limit filesystem access to the application services.</w:t>
      </w:r>
    </w:p>
    <w:p>
      <w:pPr>
        <w:pStyle w:val="ListBullet"/>
        <w:spacing w:after="80" w:line="300" w:lineRule="auto"/>
      </w:pPr>
      <w:r>
        <w:rPr>
          <w:rFonts w:ascii="Calibri" w:hAnsi="Calibri"/>
          <w:b w:val="0"/>
          <w:i w:val="0"/>
          <w:color w:val="20252B"/>
          <w:sz w:val="22"/>
        </w:rPr>
        <w:t>Record uploads, job starts, exports, failures and administrative changes in an audit trail.</w:t>
      </w:r>
    </w:p>
    <w:p>
      <w:pPr>
        <w:pStyle w:val="ListBullet"/>
        <w:spacing w:after="80" w:line="300" w:lineRule="auto"/>
      </w:pPr>
      <w:r>
        <w:rPr>
          <w:rFonts w:ascii="Calibri" w:hAnsi="Calibri"/>
          <w:b w:val="0"/>
          <w:i w:val="0"/>
          <w:color w:val="20252B"/>
          <w:sz w:val="22"/>
        </w:rPr>
        <w:t>Patch base images and dependencies on a defined schedule; scan releases before production.</w:t>
      </w:r>
    </w:p>
    <w:p>
      <w:pPr>
        <w:pStyle w:val="ListBullet"/>
        <w:spacing w:after="80" w:line="300" w:lineRule="auto"/>
      </w:pPr>
      <w:r>
        <w:rPr>
          <w:rFonts w:ascii="Calibri" w:hAnsi="Calibri"/>
          <w:b w:val="0"/>
          <w:i w:val="0"/>
          <w:color w:val="20252B"/>
          <w:sz w:val="22"/>
        </w:rPr>
        <w:t>Test backup restore, not only backup creation.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E8EEF5"/>
          </w:tcPr>
          <w:p>
            <w:pPr>
              <w:spacing w:after="40"/>
            </w:pPr>
            <w:r>
              <w:rPr>
                <w:rFonts w:ascii="Calibri" w:hAnsi="Calibri"/>
                <w:b/>
                <w:i w:val="0"/>
                <w:color w:val="0B2545"/>
                <w:sz w:val="20"/>
              </w:rPr>
              <w:t xml:space="preserve">PRIVACY BOUNDARY  </w:t>
            </w:r>
            <w:r>
              <w:rPr>
                <w:rFonts w:ascii="Calibri" w:hAnsi="Calibri"/>
                <w:b w:val="0"/>
                <w:i w:val="0"/>
                <w:color w:val="20252B"/>
                <w:sz w:val="21"/>
              </w:rPr>
              <w:t>Vercel should host interface assets and browser code. Raw logs should travel only to the approved private backend and remain in company-controlled storage.</w:t>
            </w:r>
          </w:p>
        </w:tc>
      </w:tr>
    </w:tbl>
    <w:p>
      <w:pPr>
        <w:spacing w:after="20"/>
      </w:pPr>
    </w:p>
    <w:p>
      <w:pPr>
        <w:pStyle w:val="Heading2"/>
      </w:pPr>
      <w:r>
        <w:t>Suggested access levels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0B2545"/>
            <w:vAlign w:val="center"/>
            <w:tcMar>
              <w:top w:w="100" w:type="dxa"/>
              <w:start w:w="120" w:type="dxa"/>
              <w:bottom w:w="100" w:type="dxa"/>
              <w:end w:w="120" w:type="dxa"/>
            </w:tcMar>
          </w:tcPr>
          <w:p>
            <w:pPr>
              <w:jc w:val="left"/>
            </w:pPr>
            <w:r>
              <w:rPr>
                <w:rFonts w:ascii="Calibri" w:hAnsi="Calibri"/>
                <w:b/>
                <w:i w:val="0"/>
                <w:color w:val="FFFFFF"/>
                <w:sz w:val="19"/>
              </w:rPr>
              <w:t>Access</w:t>
            </w:r>
          </w:p>
        </w:tc>
        <w:tc>
          <w:tcPr>
            <w:tcW w:type="dxa" w:w="7460"/>
            <w:shd w:fill="0B2545"/>
            <w:vAlign w:val="center"/>
            <w:tcMar>
              <w:top w:w="100" w:type="dxa"/>
              <w:start w:w="120" w:type="dxa"/>
              <w:bottom w:w="100" w:type="dxa"/>
              <w:end w:w="120" w:type="dxa"/>
            </w:tcMar>
          </w:tcPr>
          <w:p>
            <w:pPr>
              <w:jc w:val="left"/>
            </w:pPr>
            <w:r>
              <w:rPr>
                <w:rFonts w:ascii="Calibri" w:hAnsi="Calibri"/>
                <w:b/>
                <w:i w:val="0"/>
                <w:color w:val="FFFFFF"/>
                <w:sz w:val="19"/>
              </w:rPr>
              <w:t>Can do</w:t>
            </w:r>
          </w:p>
        </w:tc>
      </w:tr>
      <w:tr>
        <w:tc>
          <w:tcPr>
            <w:tcW w:type="dxa" w:w="1900"/>
            <w:vAlign w:val="center"/>
            <w:tcMar>
              <w:top w:w="100" w:type="dxa"/>
              <w:start w:w="120" w:type="dxa"/>
              <w:bottom w:w="100" w:type="dxa"/>
              <w:end w:w="120" w:type="dxa"/>
            </w:tcMar>
          </w:tcPr>
          <w:p>
            <w:pPr>
              <w:spacing w:after="0" w:line="259" w:lineRule="auto"/>
            </w:pPr>
            <w:r>
              <w:rPr>
                <w:rFonts w:ascii="Calibri" w:hAnsi="Calibri"/>
                <w:b w:val="0"/>
                <w:i w:val="0"/>
                <w:color w:val="20252B"/>
                <w:sz w:val="19"/>
              </w:rPr>
              <w:t>Analyst</w:t>
            </w:r>
          </w:p>
        </w:tc>
        <w:tc>
          <w:tcPr>
            <w:tcW w:type="dxa" w:w="7460"/>
            <w:vAlign w:val="center"/>
            <w:tcMar>
              <w:top w:w="100" w:type="dxa"/>
              <w:start w:w="120" w:type="dxa"/>
              <w:bottom w:w="100" w:type="dxa"/>
              <w:end w:w="120" w:type="dxa"/>
            </w:tcMar>
          </w:tcPr>
          <w:p>
            <w:pPr>
              <w:spacing w:after="0" w:line="259" w:lineRule="auto"/>
            </w:pPr>
            <w:r>
              <w:rPr>
                <w:rFonts w:ascii="Calibri" w:hAnsi="Calibri"/>
                <w:b w:val="0"/>
                <w:i w:val="0"/>
                <w:color w:val="20252B"/>
                <w:sz w:val="19"/>
              </w:rPr>
              <w:t>Upload approved files, start analysis, view and export permitted results</w:t>
            </w:r>
          </w:p>
        </w:tc>
      </w:tr>
      <w:tr>
        <w:tc>
          <w:tcPr>
            <w:tcW w:type="dxa" w:w="190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Operator</w:t>
            </w:r>
          </w:p>
        </w:tc>
        <w:tc>
          <w:tcPr>
            <w:tcW w:type="dxa" w:w="746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Manage queues, retry failed jobs, check storage and perform recovery</w:t>
            </w:r>
          </w:p>
        </w:tc>
      </w:tr>
      <w:tr>
        <w:tc>
          <w:tcPr>
            <w:tcW w:type="dxa" w:w="1900"/>
            <w:vAlign w:val="center"/>
            <w:tcMar>
              <w:top w:w="100" w:type="dxa"/>
              <w:start w:w="120" w:type="dxa"/>
              <w:bottom w:w="100" w:type="dxa"/>
              <w:end w:w="120" w:type="dxa"/>
            </w:tcMar>
          </w:tcPr>
          <w:p>
            <w:pPr>
              <w:spacing w:after="0" w:line="259" w:lineRule="auto"/>
            </w:pPr>
            <w:r>
              <w:rPr>
                <w:rFonts w:ascii="Calibri" w:hAnsi="Calibri"/>
                <w:b w:val="0"/>
                <w:i w:val="0"/>
                <w:color w:val="20252B"/>
                <w:sz w:val="19"/>
              </w:rPr>
              <w:t>Administrator</w:t>
            </w:r>
          </w:p>
        </w:tc>
        <w:tc>
          <w:tcPr>
            <w:tcW w:type="dxa" w:w="7460"/>
            <w:vAlign w:val="center"/>
            <w:tcMar>
              <w:top w:w="100" w:type="dxa"/>
              <w:start w:w="120" w:type="dxa"/>
              <w:bottom w:w="100" w:type="dxa"/>
              <w:end w:w="120" w:type="dxa"/>
            </w:tcMar>
          </w:tcPr>
          <w:p>
            <w:pPr>
              <w:spacing w:after="0" w:line="259" w:lineRule="auto"/>
            </w:pPr>
            <w:r>
              <w:rPr>
                <w:rFonts w:ascii="Calibri" w:hAnsi="Calibri"/>
                <w:b w:val="0"/>
                <w:i w:val="0"/>
                <w:color w:val="20252B"/>
                <w:sz w:val="19"/>
              </w:rPr>
              <w:t>Manage users, configuration, retention and audit review</w:t>
            </w:r>
          </w:p>
        </w:tc>
      </w:tr>
    </w:tbl>
    <w:p>
      <w:pPr>
        <w:spacing w:after="40"/>
      </w:pPr>
    </w:p>
    <w:p>
      <w:pPr>
        <w:pStyle w:val="Heading2"/>
      </w:pPr>
      <w:r>
        <w:t>Incident basics</w:t>
      </w:r>
    </w:p>
    <w:p>
      <w:pPr>
        <w:pStyle w:val="ListBullet"/>
        <w:spacing w:after="80" w:line="300" w:lineRule="auto"/>
      </w:pPr>
      <w:r>
        <w:rPr>
          <w:rFonts w:ascii="Calibri" w:hAnsi="Calibri"/>
          <w:b w:val="0"/>
          <w:i w:val="0"/>
          <w:color w:val="20252B"/>
          <w:sz w:val="22"/>
        </w:rPr>
        <w:t>Pause new uploads when disk reserve, database health or error thresholds fail.</w:t>
      </w:r>
    </w:p>
    <w:p>
      <w:pPr>
        <w:pStyle w:val="ListBullet"/>
        <w:spacing w:after="80" w:line="300" w:lineRule="auto"/>
      </w:pPr>
      <w:r>
        <w:rPr>
          <w:rFonts w:ascii="Calibri" w:hAnsi="Calibri"/>
          <w:b w:val="0"/>
          <w:i w:val="0"/>
          <w:color w:val="20252B"/>
          <w:sz w:val="22"/>
        </w:rPr>
        <w:t>Preserve logs and audit events; do not overwrite evidence during investigation.</w:t>
      </w:r>
    </w:p>
    <w:p>
      <w:pPr>
        <w:pStyle w:val="ListBullet"/>
        <w:spacing w:after="80" w:line="300" w:lineRule="auto"/>
      </w:pPr>
      <w:r>
        <w:rPr>
          <w:rFonts w:ascii="Calibri" w:hAnsi="Calibri"/>
          <w:b w:val="0"/>
          <w:i w:val="0"/>
          <w:color w:val="20252B"/>
          <w:sz w:val="22"/>
        </w:rPr>
        <w:t>Rotate affected credentials and document the recovery decision.</w:t>
      </w:r>
    </w:p>
    <w:p>
      <w:r>
        <w:br w:type="page"/>
      </w:r>
    </w:p>
    <w:p>
      <w:pPr>
        <w:pStyle w:val="Heading1"/>
      </w:pPr>
      <w:r>
        <w:t>5. Performance expectations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FFF3D6"/>
          </w:tcPr>
          <w:p>
            <w:pPr>
              <w:spacing w:after="40"/>
            </w:pPr>
            <w:r>
              <w:rPr>
                <w:rFonts w:ascii="Calibri" w:hAnsi="Calibri"/>
                <w:b/>
                <w:i w:val="0"/>
                <w:color w:val="0B2545"/>
                <w:sz w:val="20"/>
              </w:rPr>
              <w:t xml:space="preserve">NO FIXED PROMISE BEFORE TESTING  </w:t>
            </w:r>
            <w:r>
              <w:rPr>
                <w:rFonts w:ascii="Calibri" w:hAnsi="Calibri"/>
                <w:b w:val="0"/>
                <w:i w:val="0"/>
                <w:color w:val="20252B"/>
                <w:sz w:val="21"/>
              </w:rPr>
              <w:t>Processing time depends on compressed size, expanded size, record count, parser acceptance, URL cardinality, disk speed and worker concurrency. The product should show an estimate range and confidence level after sampling the uploaded file.</w:t>
            </w:r>
          </w:p>
        </w:tc>
      </w:tr>
    </w:tbl>
    <w:p>
      <w:pPr>
        <w:spacing w:after="20"/>
      </w:pPr>
    </w:p>
    <w:p>
      <w:pPr>
        <w:pStyle w:val="Heading2"/>
      </w:pPr>
      <w:r>
        <w:t>What the user should see before starting</w:t>
      </w:r>
    </w:p>
    <w:p>
      <w:pPr>
        <w:pStyle w:val="ListBullet"/>
        <w:spacing w:after="80" w:line="300" w:lineRule="auto"/>
      </w:pPr>
      <w:r>
        <w:rPr>
          <w:rFonts w:ascii="Calibri" w:hAnsi="Calibri"/>
          <w:b w:val="0"/>
          <w:i w:val="0"/>
          <w:color w:val="20252B"/>
          <w:sz w:val="22"/>
        </w:rPr>
        <w:t>Selected analysis amount: sample rows, file percentage, exact GB limit or full file.</w:t>
      </w:r>
    </w:p>
    <w:p>
      <w:pPr>
        <w:pStyle w:val="ListBullet"/>
        <w:spacing w:after="80" w:line="300" w:lineRule="auto"/>
      </w:pPr>
      <w:r>
        <w:rPr>
          <w:rFonts w:ascii="Calibri" w:hAnsi="Calibri"/>
          <w:b w:val="0"/>
          <w:i w:val="0"/>
          <w:color w:val="20252B"/>
          <w:sz w:val="22"/>
        </w:rPr>
        <w:t>Estimated records and expanded bytes based on preflight sampling.</w:t>
      </w:r>
    </w:p>
    <w:p>
      <w:pPr>
        <w:pStyle w:val="ListBullet"/>
        <w:spacing w:after="80" w:line="300" w:lineRule="auto"/>
      </w:pPr>
      <w:r>
        <w:rPr>
          <w:rFonts w:ascii="Calibri" w:hAnsi="Calibri"/>
          <w:b w:val="0"/>
          <w:i w:val="0"/>
          <w:color w:val="20252B"/>
          <w:sz w:val="22"/>
        </w:rPr>
        <w:t>Estimated completion range, for example 2-4 hours, not a false exact minute.</w:t>
      </w:r>
    </w:p>
    <w:p>
      <w:pPr>
        <w:pStyle w:val="ListBullet"/>
        <w:spacing w:after="80" w:line="300" w:lineRule="auto"/>
      </w:pPr>
      <w:r>
        <w:rPr>
          <w:rFonts w:ascii="Calibri" w:hAnsi="Calibri"/>
          <w:b w:val="0"/>
          <w:i w:val="0"/>
          <w:color w:val="20252B"/>
          <w:sz w:val="22"/>
        </w:rPr>
        <w:t>Estimate confidence: low, medium or high, with the assumptions shown.</w:t>
      </w:r>
    </w:p>
    <w:p>
      <w:pPr>
        <w:pStyle w:val="ListBullet"/>
        <w:spacing w:after="80" w:line="300" w:lineRule="auto"/>
      </w:pPr>
      <w:r>
        <w:rPr>
          <w:rFonts w:ascii="Calibri" w:hAnsi="Calibri"/>
          <w:b w:val="0"/>
          <w:i w:val="0"/>
          <w:color w:val="20252B"/>
          <w:sz w:val="22"/>
        </w:rPr>
        <w:t>Required free storage and current free storage.</w:t>
      </w:r>
    </w:p>
    <w:p>
      <w:pPr>
        <w:pStyle w:val="ListBullet"/>
        <w:spacing w:after="80" w:line="300" w:lineRule="auto"/>
      </w:pPr>
      <w:r>
        <w:rPr>
          <w:rFonts w:ascii="Calibri" w:hAnsi="Calibri"/>
          <w:b w:val="0"/>
          <w:i w:val="0"/>
          <w:color w:val="20252B"/>
          <w:sz w:val="22"/>
        </w:rPr>
        <w:t>A warning when the estimate exceeds the normal operating window.</w:t>
      </w:r>
    </w:p>
    <w:p>
      <w:pPr>
        <w:pStyle w:val="Heading2"/>
      </w:pPr>
      <w:r>
        <w:t>How estimates become reliable</w:t>
      </w:r>
    </w:p>
    <w:p>
      <w:pPr>
        <w:pStyle w:val="ListNumber"/>
        <w:spacing w:after="80" w:line="300" w:lineRule="auto"/>
      </w:pPr>
      <w:r>
        <w:rPr>
          <w:rFonts w:ascii="Calibri" w:hAnsi="Calibri"/>
          <w:b w:val="0"/>
          <w:i w:val="0"/>
          <w:color w:val="20252B"/>
          <w:sz w:val="22"/>
        </w:rPr>
        <w:t>Measure sample throughput for reading, decompression, parsing and aggregation.</w:t>
      </w:r>
    </w:p>
    <w:p>
      <w:pPr>
        <w:pStyle w:val="ListNumber"/>
        <w:spacing w:after="80" w:line="300" w:lineRule="auto"/>
      </w:pPr>
      <w:r>
        <w:rPr>
          <w:rFonts w:ascii="Calibri" w:hAnsi="Calibri"/>
          <w:b w:val="0"/>
          <w:i w:val="0"/>
          <w:color w:val="20252B"/>
          <w:sz w:val="22"/>
        </w:rPr>
        <w:t>Use recent completed runs with the same source type and similar hardware.</w:t>
      </w:r>
    </w:p>
    <w:p>
      <w:pPr>
        <w:pStyle w:val="ListNumber"/>
        <w:spacing w:after="80" w:line="300" w:lineRule="auto"/>
      </w:pPr>
      <w:r>
        <w:rPr>
          <w:rFonts w:ascii="Calibri" w:hAnsi="Calibri"/>
          <w:b w:val="0"/>
          <w:i w:val="0"/>
          <w:color w:val="20252B"/>
          <w:sz w:val="22"/>
        </w:rPr>
        <w:t>Update the remaining-time range while the job runs.</w:t>
      </w:r>
    </w:p>
    <w:p>
      <w:pPr>
        <w:pStyle w:val="ListNumber"/>
        <w:spacing w:after="80" w:line="300" w:lineRule="auto"/>
      </w:pPr>
      <w:r>
        <w:rPr>
          <w:rFonts w:ascii="Calibri" w:hAnsi="Calibri"/>
          <w:b w:val="0"/>
          <w:i w:val="0"/>
          <w:color w:val="20252B"/>
          <w:sz w:val="22"/>
        </w:rPr>
        <w:t>Keep a visible difference between upload progress and analysis progress.</w:t>
      </w:r>
    </w:p>
    <w:p>
      <w:pPr>
        <w:pStyle w:val="Heading2"/>
      </w:pPr>
      <w:r>
        <w:t>Acceptance targets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0B2545"/>
            <w:vAlign w:val="center"/>
            <w:tcMar>
              <w:top w:w="100" w:type="dxa"/>
              <w:start w:w="120" w:type="dxa"/>
              <w:bottom w:w="100" w:type="dxa"/>
              <w:end w:w="120" w:type="dxa"/>
            </w:tcMar>
          </w:tcPr>
          <w:p>
            <w:pPr>
              <w:jc w:val="left"/>
            </w:pPr>
            <w:r>
              <w:rPr>
                <w:rFonts w:ascii="Calibri" w:hAnsi="Calibri"/>
                <w:b/>
                <w:i w:val="0"/>
                <w:color w:val="FFFFFF"/>
                <w:sz w:val="19"/>
              </w:rPr>
              <w:t>Test</w:t>
            </w:r>
          </w:p>
        </w:tc>
        <w:tc>
          <w:tcPr>
            <w:tcW w:type="dxa" w:w="7460"/>
            <w:shd w:fill="0B2545"/>
            <w:vAlign w:val="center"/>
            <w:tcMar>
              <w:top w:w="100" w:type="dxa"/>
              <w:start w:w="120" w:type="dxa"/>
              <w:bottom w:w="100" w:type="dxa"/>
              <w:end w:w="120" w:type="dxa"/>
            </w:tcMar>
          </w:tcPr>
          <w:p>
            <w:pPr>
              <w:jc w:val="left"/>
            </w:pPr>
            <w:r>
              <w:rPr>
                <w:rFonts w:ascii="Calibri" w:hAnsi="Calibri"/>
                <w:b/>
                <w:i w:val="0"/>
                <w:color w:val="FFFFFF"/>
                <w:sz w:val="19"/>
              </w:rPr>
              <w:t>Pass condition</w:t>
            </w:r>
          </w:p>
        </w:tc>
      </w:tr>
      <w:tr>
        <w:tc>
          <w:tcPr>
            <w:tcW w:type="dxa" w:w="1900"/>
            <w:vAlign w:val="center"/>
            <w:tcMar>
              <w:top w:w="100" w:type="dxa"/>
              <w:start w:w="120" w:type="dxa"/>
              <w:bottom w:w="100" w:type="dxa"/>
              <w:end w:w="120" w:type="dxa"/>
            </w:tcMar>
          </w:tcPr>
          <w:p>
            <w:pPr>
              <w:spacing w:after="0" w:line="259" w:lineRule="auto"/>
            </w:pPr>
            <w:r>
              <w:rPr>
                <w:rFonts w:ascii="Calibri" w:hAnsi="Calibri"/>
                <w:b w:val="0"/>
                <w:i w:val="0"/>
                <w:color w:val="20252B"/>
                <w:sz w:val="19"/>
              </w:rPr>
              <w:t>Recovery</w:t>
            </w:r>
          </w:p>
        </w:tc>
        <w:tc>
          <w:tcPr>
            <w:tcW w:type="dxa" w:w="7460"/>
            <w:vAlign w:val="center"/>
            <w:tcMar>
              <w:top w:w="100" w:type="dxa"/>
              <w:start w:w="120" w:type="dxa"/>
              <w:bottom w:w="100" w:type="dxa"/>
              <w:end w:w="120" w:type="dxa"/>
            </w:tcMar>
          </w:tcPr>
          <w:p>
            <w:pPr>
              <w:spacing w:after="0" w:line="259" w:lineRule="auto"/>
            </w:pPr>
            <w:r>
              <w:rPr>
                <w:rFonts w:ascii="Calibri" w:hAnsi="Calibri"/>
                <w:b w:val="0"/>
                <w:i w:val="0"/>
                <w:color w:val="20252B"/>
                <w:sz w:val="19"/>
              </w:rPr>
              <w:t>Restart services during a job; it resumes or safely retries without duplicate results</w:t>
            </w:r>
          </w:p>
        </w:tc>
      </w:tr>
      <w:tr>
        <w:tc>
          <w:tcPr>
            <w:tcW w:type="dxa" w:w="190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Capacity</w:t>
            </w:r>
          </w:p>
        </w:tc>
        <w:tc>
          <w:tcPr>
            <w:tcW w:type="dxa" w:w="746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Disk reserve is enforced before and during upload</w:t>
            </w:r>
          </w:p>
        </w:tc>
      </w:tr>
      <w:tr>
        <w:tc>
          <w:tcPr>
            <w:tcW w:type="dxa" w:w="1900"/>
            <w:vAlign w:val="center"/>
            <w:tcMar>
              <w:top w:w="100" w:type="dxa"/>
              <w:start w:w="120" w:type="dxa"/>
              <w:bottom w:w="100" w:type="dxa"/>
              <w:end w:w="120" w:type="dxa"/>
            </w:tcMar>
          </w:tcPr>
          <w:p>
            <w:pPr>
              <w:spacing w:after="0" w:line="259" w:lineRule="auto"/>
            </w:pPr>
            <w:r>
              <w:rPr>
                <w:rFonts w:ascii="Calibri" w:hAnsi="Calibri"/>
                <w:b w:val="0"/>
                <w:i w:val="0"/>
                <w:color w:val="20252B"/>
                <w:sz w:val="19"/>
              </w:rPr>
              <w:t>Correctness</w:t>
            </w:r>
          </w:p>
        </w:tc>
        <w:tc>
          <w:tcPr>
            <w:tcW w:type="dxa" w:w="7460"/>
            <w:vAlign w:val="center"/>
            <w:tcMar>
              <w:top w:w="100" w:type="dxa"/>
              <w:start w:w="120" w:type="dxa"/>
              <w:bottom w:w="100" w:type="dxa"/>
              <w:end w:w="120" w:type="dxa"/>
            </w:tcMar>
          </w:tcPr>
          <w:p>
            <w:pPr>
              <w:spacing w:after="0" w:line="259" w:lineRule="auto"/>
            </w:pPr>
            <w:r>
              <w:rPr>
                <w:rFonts w:ascii="Calibri" w:hAnsi="Calibri"/>
                <w:b w:val="0"/>
                <w:i w:val="0"/>
                <w:color w:val="20252B"/>
                <w:sz w:val="19"/>
              </w:rPr>
              <w:t>Processed + rejected counts reconcile with source evidence</w:t>
            </w:r>
          </w:p>
        </w:tc>
      </w:tr>
      <w:tr>
        <w:tc>
          <w:tcPr>
            <w:tcW w:type="dxa" w:w="190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Performance</w:t>
            </w:r>
          </w:p>
        </w:tc>
        <w:tc>
          <w:tcPr>
            <w:tcW w:type="dxa" w:w="746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25 GB, 100 GB and 500 GB benchmarks meet an agreed operating window</w:t>
            </w:r>
          </w:p>
        </w:tc>
      </w:tr>
      <w:tr>
        <w:tc>
          <w:tcPr>
            <w:tcW w:type="dxa" w:w="1900"/>
            <w:vAlign w:val="center"/>
            <w:tcMar>
              <w:top w:w="100" w:type="dxa"/>
              <w:start w:w="120" w:type="dxa"/>
              <w:bottom w:w="100" w:type="dxa"/>
              <w:end w:w="120" w:type="dxa"/>
            </w:tcMar>
          </w:tcPr>
          <w:p>
            <w:pPr>
              <w:spacing w:after="0" w:line="259" w:lineRule="auto"/>
            </w:pPr>
            <w:r>
              <w:rPr>
                <w:rFonts w:ascii="Calibri" w:hAnsi="Calibri"/>
                <w:b w:val="0"/>
                <w:i w:val="0"/>
                <w:color w:val="20252B"/>
                <w:sz w:val="19"/>
              </w:rPr>
              <w:t>Usability</w:t>
            </w:r>
          </w:p>
        </w:tc>
        <w:tc>
          <w:tcPr>
            <w:tcW w:type="dxa" w:w="7460"/>
            <w:vAlign w:val="center"/>
            <w:tcMar>
              <w:top w:w="100" w:type="dxa"/>
              <w:start w:w="120" w:type="dxa"/>
              <w:bottom w:w="100" w:type="dxa"/>
              <w:end w:w="120" w:type="dxa"/>
            </w:tcMar>
          </w:tcPr>
          <w:p>
            <w:pPr>
              <w:spacing w:after="0" w:line="259" w:lineRule="auto"/>
            </w:pPr>
            <w:r>
              <w:rPr>
                <w:rFonts w:ascii="Calibri" w:hAnsi="Calibri"/>
                <w:b w:val="0"/>
                <w:i w:val="0"/>
                <w:color w:val="20252B"/>
                <w:sz w:val="19"/>
              </w:rPr>
              <w:t>Users understand selected scope, estimate, progress, failure and next action</w:t>
            </w:r>
          </w:p>
        </w:tc>
      </w:tr>
    </w:tbl>
    <w:p>
      <w:pPr>
        <w:spacing w:after="40"/>
      </w:pPr>
    </w:p>
    <w:p>
      <w:r>
        <w:br w:type="page"/>
      </w:r>
    </w:p>
    <w:p>
      <w:pPr>
        <w:pStyle w:val="Heading1"/>
      </w:pPr>
      <w:r>
        <w:t>6. Operating checklist</w:t>
      </w:r>
    </w:p>
    <w:p>
      <w:pPr>
        <w:pStyle w:val="Heading2"/>
      </w:pPr>
      <w:r>
        <w:t>Before launch</w:t>
      </w:r>
    </w:p>
    <w:p>
      <w:pPr>
        <w:pStyle w:val="ListBullet"/>
        <w:spacing w:after="80" w:line="300" w:lineRule="auto"/>
      </w:pPr>
      <w:r>
        <w:rPr>
          <w:rFonts w:ascii="Calibri" w:hAnsi="Calibri"/>
          <w:b w:val="0"/>
          <w:i w:val="0"/>
          <w:color w:val="20252B"/>
          <w:sz w:val="22"/>
        </w:rPr>
        <w:t>Approve hosting location, retention period, owners and recovery objective.</w:t>
      </w:r>
    </w:p>
    <w:p>
      <w:pPr>
        <w:pStyle w:val="ListBullet"/>
        <w:spacing w:after="80" w:line="300" w:lineRule="auto"/>
      </w:pPr>
      <w:r>
        <w:rPr>
          <w:rFonts w:ascii="Calibri" w:hAnsi="Calibri"/>
          <w:b w:val="0"/>
          <w:i w:val="0"/>
          <w:color w:val="20252B"/>
          <w:sz w:val="22"/>
        </w:rPr>
        <w:t>Provision HTTPS, private networking, encrypted volumes and separate backups.</w:t>
      </w:r>
    </w:p>
    <w:p>
      <w:pPr>
        <w:pStyle w:val="ListBullet"/>
        <w:spacing w:after="80" w:line="300" w:lineRule="auto"/>
      </w:pPr>
      <w:r>
        <w:rPr>
          <w:rFonts w:ascii="Calibri" w:hAnsi="Calibri"/>
          <w:b w:val="0"/>
          <w:i w:val="0"/>
          <w:color w:val="20252B"/>
          <w:sz w:val="22"/>
        </w:rPr>
        <w:t>Run 25 GB and 100 GB load tests; tune worker and database limits.</w:t>
      </w:r>
    </w:p>
    <w:p>
      <w:pPr>
        <w:pStyle w:val="ListBullet"/>
        <w:spacing w:after="80" w:line="300" w:lineRule="auto"/>
      </w:pPr>
      <w:r>
        <w:rPr>
          <w:rFonts w:ascii="Calibri" w:hAnsi="Calibri"/>
          <w:b w:val="0"/>
          <w:i w:val="0"/>
          <w:color w:val="20252B"/>
          <w:sz w:val="22"/>
        </w:rPr>
        <w:t>Run the 500 GB test using representative CDN and origin archives.</w:t>
      </w:r>
    </w:p>
    <w:p>
      <w:pPr>
        <w:pStyle w:val="ListBullet"/>
        <w:spacing w:after="80" w:line="300" w:lineRule="auto"/>
      </w:pPr>
      <w:r>
        <w:rPr>
          <w:rFonts w:ascii="Calibri" w:hAnsi="Calibri"/>
          <w:b w:val="0"/>
          <w:i w:val="0"/>
          <w:color w:val="20252B"/>
          <w:sz w:val="22"/>
        </w:rPr>
        <w:t>Verify restore, restart, duplicate prevention and low-disk behaviour.</w:t>
      </w:r>
    </w:p>
    <w:p>
      <w:pPr>
        <w:pStyle w:val="ListBullet"/>
        <w:spacing w:after="80" w:line="300" w:lineRule="auto"/>
      </w:pPr>
      <w:r>
        <w:rPr>
          <w:rFonts w:ascii="Calibri" w:hAnsi="Calibri"/>
          <w:b w:val="0"/>
          <w:i w:val="0"/>
          <w:color w:val="20252B"/>
          <w:sz w:val="22"/>
        </w:rPr>
        <w:t>Publish a user guide and an escalation contact.</w:t>
      </w:r>
    </w:p>
    <w:p>
      <w:pPr>
        <w:pStyle w:val="Heading2"/>
      </w:pPr>
      <w:r>
        <w:t>Every day</w:t>
      </w:r>
    </w:p>
    <w:p>
      <w:pPr>
        <w:pStyle w:val="ListBullet"/>
        <w:spacing w:after="80" w:line="300" w:lineRule="auto"/>
      </w:pPr>
      <w:r>
        <w:rPr>
          <w:rFonts w:ascii="Calibri" w:hAnsi="Calibri"/>
          <w:b w:val="0"/>
          <w:i w:val="0"/>
          <w:color w:val="20252B"/>
          <w:sz w:val="22"/>
        </w:rPr>
        <w:t>Check API, worker, PostgreSQL and Redis health.</w:t>
      </w:r>
    </w:p>
    <w:p>
      <w:pPr>
        <w:pStyle w:val="ListBullet"/>
        <w:spacing w:after="80" w:line="300" w:lineRule="auto"/>
      </w:pPr>
      <w:r>
        <w:rPr>
          <w:rFonts w:ascii="Calibri" w:hAnsi="Calibri"/>
          <w:b w:val="0"/>
          <w:i w:val="0"/>
          <w:color w:val="20252B"/>
          <w:sz w:val="22"/>
        </w:rPr>
        <w:t>Check active-storage free space and backup completion.</w:t>
      </w:r>
    </w:p>
    <w:p>
      <w:pPr>
        <w:pStyle w:val="ListBullet"/>
        <w:spacing w:after="80" w:line="300" w:lineRule="auto"/>
      </w:pPr>
      <w:r>
        <w:rPr>
          <w:rFonts w:ascii="Calibri" w:hAnsi="Calibri"/>
          <w:b w:val="0"/>
          <w:i w:val="0"/>
          <w:color w:val="20252B"/>
          <w:sz w:val="22"/>
        </w:rPr>
        <w:t>Review stuck, failed or unusually slow runs.</w:t>
      </w:r>
    </w:p>
    <w:p>
      <w:pPr>
        <w:pStyle w:val="ListBullet"/>
        <w:spacing w:after="80" w:line="300" w:lineRule="auto"/>
      </w:pPr>
      <w:r>
        <w:rPr>
          <w:rFonts w:ascii="Calibri" w:hAnsi="Calibri"/>
          <w:b w:val="0"/>
          <w:i w:val="0"/>
          <w:color w:val="20252B"/>
          <w:sz w:val="22"/>
        </w:rPr>
        <w:t>Confirm completed results are visible after browser or system restart.</w:t>
      </w:r>
    </w:p>
    <w:p>
      <w:pPr>
        <w:pStyle w:val="Heading2"/>
      </w:pPr>
      <w:r>
        <w:t>Every week</w:t>
      </w:r>
    </w:p>
    <w:p>
      <w:pPr>
        <w:pStyle w:val="ListBullet"/>
        <w:spacing w:after="80" w:line="300" w:lineRule="auto"/>
      </w:pPr>
      <w:r>
        <w:rPr>
          <w:rFonts w:ascii="Calibri" w:hAnsi="Calibri"/>
          <w:b w:val="0"/>
          <w:i w:val="0"/>
          <w:color w:val="20252B"/>
          <w:sz w:val="22"/>
        </w:rPr>
        <w:t>Review throughput trends, rejected rows and estimate accuracy.</w:t>
      </w:r>
    </w:p>
    <w:p>
      <w:pPr>
        <w:pStyle w:val="ListBullet"/>
        <w:spacing w:after="80" w:line="300" w:lineRule="auto"/>
      </w:pPr>
      <w:r>
        <w:rPr>
          <w:rFonts w:ascii="Calibri" w:hAnsi="Calibri"/>
          <w:b w:val="0"/>
          <w:i w:val="0"/>
          <w:color w:val="20252B"/>
          <w:sz w:val="22"/>
        </w:rPr>
        <w:t>Apply approved security updates and review audit events.</w:t>
      </w:r>
    </w:p>
    <w:p>
      <w:pPr>
        <w:pStyle w:val="ListBullet"/>
        <w:spacing w:after="80" w:line="300" w:lineRule="auto"/>
      </w:pPr>
      <w:r>
        <w:rPr>
          <w:rFonts w:ascii="Calibri" w:hAnsi="Calibri"/>
          <w:b w:val="0"/>
          <w:i w:val="0"/>
          <w:color w:val="20252B"/>
          <w:sz w:val="22"/>
        </w:rPr>
        <w:t>Delete or archive data according to retention policy.</w:t>
      </w:r>
    </w:p>
    <w:p>
      <w:pPr>
        <w:pStyle w:val="Heading2"/>
      </w:pPr>
      <w:r>
        <w:t>Management approval checklist</w:t>
      </w:r>
    </w:p>
    <w:tbl>
      <w:tblPr>
        <w:tblStyle w:val="TableGrid"/>
        <w:tblW w:type="dxa" w:w="9360"/>
        <w:jc w:val="left"/>
        <w:tblLayout w:type="fixed"/>
        <w:tblLook w:firstColumn="1" w:firstRow="1" w:lastColumn="0" w:lastRow="0" w:noHBand="0" w:noVBand="1" w:val="04A0"/>
        <w:tblInd w:w="120" w:type="dxa"/>
      </w:tblPr>
      <w:tblGrid>
        <w:gridCol w:w="5200"/>
        <w:gridCol w:w="4160"/>
      </w:tblGrid>
      <w:tr>
        <w:trPr>
          <w:tblHeader w:val="true"/>
        </w:trPr>
        <w:tc>
          <w:tcPr>
            <w:tcW w:type="dxa" w:w="5200"/>
            <w:shd w:fill="0B2545"/>
            <w:vAlign w:val="center"/>
            <w:tcMar>
              <w:top w:w="100" w:type="dxa"/>
              <w:start w:w="120" w:type="dxa"/>
              <w:bottom w:w="100" w:type="dxa"/>
              <w:end w:w="120" w:type="dxa"/>
            </w:tcMar>
          </w:tcPr>
          <w:p>
            <w:pPr>
              <w:jc w:val="left"/>
            </w:pPr>
            <w:r>
              <w:rPr>
                <w:rFonts w:ascii="Calibri" w:hAnsi="Calibri"/>
                <w:b/>
                <w:i w:val="0"/>
                <w:color w:val="FFFFFF"/>
                <w:sz w:val="19"/>
              </w:rPr>
              <w:t>Approval</w:t>
            </w:r>
          </w:p>
        </w:tc>
        <w:tc>
          <w:tcPr>
            <w:tcW w:type="dxa" w:w="4160"/>
            <w:shd w:fill="0B2545"/>
            <w:vAlign w:val="center"/>
            <w:tcMar>
              <w:top w:w="100" w:type="dxa"/>
              <w:start w:w="120" w:type="dxa"/>
              <w:bottom w:w="100" w:type="dxa"/>
              <w:end w:w="120" w:type="dxa"/>
            </w:tcMar>
          </w:tcPr>
          <w:p>
            <w:pPr>
              <w:jc w:val="left"/>
            </w:pPr>
            <w:r>
              <w:rPr>
                <w:rFonts w:ascii="Calibri" w:hAnsi="Calibri"/>
                <w:b/>
                <w:i w:val="0"/>
                <w:color w:val="FFFFFF"/>
                <w:sz w:val="19"/>
              </w:rPr>
              <w:t>Owner / status</w:t>
            </w:r>
          </w:p>
        </w:tc>
      </w:tr>
      <w:tr>
        <w:tc>
          <w:tcPr>
            <w:tcW w:type="dxa" w:w="5200"/>
            <w:vAlign w:val="center"/>
            <w:tcMar>
              <w:top w:w="100" w:type="dxa"/>
              <w:start w:w="120" w:type="dxa"/>
              <w:bottom w:w="100" w:type="dxa"/>
              <w:end w:w="120" w:type="dxa"/>
            </w:tcMar>
          </w:tcPr>
          <w:p>
            <w:pPr>
              <w:spacing w:after="0" w:line="259" w:lineRule="auto"/>
            </w:pPr>
            <w:r>
              <w:rPr>
                <w:rFonts w:ascii="Calibri" w:hAnsi="Calibri"/>
                <w:b w:val="0"/>
                <w:i w:val="0"/>
                <w:color w:val="20252B"/>
                <w:sz w:val="19"/>
              </w:rPr>
              <w:t>India-region hosting and budget</w:t>
            </w:r>
          </w:p>
        </w:tc>
        <w:tc>
          <w:tcPr>
            <w:tcW w:type="dxa" w:w="4160"/>
            <w:vAlign w:val="center"/>
            <w:tcMar>
              <w:top w:w="100" w:type="dxa"/>
              <w:start w:w="120" w:type="dxa"/>
              <w:bottom w:w="100" w:type="dxa"/>
              <w:end w:w="120" w:type="dxa"/>
            </w:tcMar>
          </w:tcPr>
          <w:p>
            <w:pPr>
              <w:spacing w:after="0" w:line="259" w:lineRule="auto"/>
            </w:pPr>
            <w:r>
              <w:rPr>
                <w:rFonts w:ascii="Calibri" w:hAnsi="Calibri"/>
                <w:b w:val="0"/>
                <w:i w:val="0"/>
                <w:color w:val="20252B"/>
                <w:sz w:val="19"/>
              </w:rPr>
              <w:t>____________________________</w:t>
            </w:r>
          </w:p>
        </w:tc>
      </w:tr>
      <w:tr>
        <w:tc>
          <w:tcPr>
            <w:tcW w:type="dxa" w:w="520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Raw-log retention and deletion policy</w:t>
            </w:r>
          </w:p>
        </w:tc>
        <w:tc>
          <w:tcPr>
            <w:tcW w:type="dxa" w:w="416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____________________________</w:t>
            </w:r>
          </w:p>
        </w:tc>
      </w:tr>
      <w:tr>
        <w:tc>
          <w:tcPr>
            <w:tcW w:type="dxa" w:w="5200"/>
            <w:vAlign w:val="center"/>
            <w:tcMar>
              <w:top w:w="100" w:type="dxa"/>
              <w:start w:w="120" w:type="dxa"/>
              <w:bottom w:w="100" w:type="dxa"/>
              <w:end w:w="120" w:type="dxa"/>
            </w:tcMar>
          </w:tcPr>
          <w:p>
            <w:pPr>
              <w:spacing w:after="0" w:line="259" w:lineRule="auto"/>
            </w:pPr>
            <w:r>
              <w:rPr>
                <w:rFonts w:ascii="Calibri" w:hAnsi="Calibri"/>
                <w:b w:val="0"/>
                <w:i w:val="0"/>
                <w:color w:val="20252B"/>
                <w:sz w:val="19"/>
              </w:rPr>
              <w:t>Security and access model</w:t>
            </w:r>
          </w:p>
        </w:tc>
        <w:tc>
          <w:tcPr>
            <w:tcW w:type="dxa" w:w="4160"/>
            <w:vAlign w:val="center"/>
            <w:tcMar>
              <w:top w:w="100" w:type="dxa"/>
              <w:start w:w="120" w:type="dxa"/>
              <w:bottom w:w="100" w:type="dxa"/>
              <w:end w:w="120" w:type="dxa"/>
            </w:tcMar>
          </w:tcPr>
          <w:p>
            <w:pPr>
              <w:spacing w:after="0" w:line="259" w:lineRule="auto"/>
            </w:pPr>
            <w:r>
              <w:rPr>
                <w:rFonts w:ascii="Calibri" w:hAnsi="Calibri"/>
                <w:b w:val="0"/>
                <w:i w:val="0"/>
                <w:color w:val="20252B"/>
                <w:sz w:val="19"/>
              </w:rPr>
              <w:t>____________________________</w:t>
            </w:r>
          </w:p>
        </w:tc>
      </w:tr>
      <w:tr>
        <w:tc>
          <w:tcPr>
            <w:tcW w:type="dxa" w:w="520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Backup and recovery target</w:t>
            </w:r>
          </w:p>
        </w:tc>
        <w:tc>
          <w:tcPr>
            <w:tcW w:type="dxa" w:w="416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____________________________</w:t>
            </w:r>
          </w:p>
        </w:tc>
      </w:tr>
      <w:tr>
        <w:tc>
          <w:tcPr>
            <w:tcW w:type="dxa" w:w="5200"/>
            <w:vAlign w:val="center"/>
            <w:tcMar>
              <w:top w:w="100" w:type="dxa"/>
              <w:start w:w="120" w:type="dxa"/>
              <w:bottom w:w="100" w:type="dxa"/>
              <w:end w:w="120" w:type="dxa"/>
            </w:tcMar>
          </w:tcPr>
          <w:p>
            <w:pPr>
              <w:spacing w:after="0" w:line="259" w:lineRule="auto"/>
            </w:pPr>
            <w:r>
              <w:rPr>
                <w:rFonts w:ascii="Calibri" w:hAnsi="Calibri"/>
                <w:b w:val="0"/>
                <w:i w:val="0"/>
                <w:color w:val="20252B"/>
                <w:sz w:val="19"/>
              </w:rPr>
              <w:t>500 GB performance acceptance window</w:t>
            </w:r>
          </w:p>
        </w:tc>
        <w:tc>
          <w:tcPr>
            <w:tcW w:type="dxa" w:w="4160"/>
            <w:vAlign w:val="center"/>
            <w:tcMar>
              <w:top w:w="100" w:type="dxa"/>
              <w:start w:w="120" w:type="dxa"/>
              <w:bottom w:w="100" w:type="dxa"/>
              <w:end w:w="120" w:type="dxa"/>
            </w:tcMar>
          </w:tcPr>
          <w:p>
            <w:pPr>
              <w:spacing w:after="0" w:line="259" w:lineRule="auto"/>
            </w:pPr>
            <w:r>
              <w:rPr>
                <w:rFonts w:ascii="Calibri" w:hAnsi="Calibri"/>
                <w:b w:val="0"/>
                <w:i w:val="0"/>
                <w:color w:val="20252B"/>
                <w:sz w:val="19"/>
              </w:rPr>
              <w:t>____________________________</w:t>
            </w:r>
          </w:p>
        </w:tc>
      </w:tr>
      <w:tr>
        <w:tc>
          <w:tcPr>
            <w:tcW w:type="dxa" w:w="520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Production owner and support contact</w:t>
            </w:r>
          </w:p>
        </w:tc>
        <w:tc>
          <w:tcPr>
            <w:tcW w:type="dxa" w:w="4160"/>
            <w:shd w:fill="F2F4F7"/>
            <w:vAlign w:val="center"/>
            <w:tcMar>
              <w:top w:w="100" w:type="dxa"/>
              <w:start w:w="120" w:type="dxa"/>
              <w:bottom w:w="100" w:type="dxa"/>
              <w:end w:w="120" w:type="dxa"/>
            </w:tcMar>
          </w:tcPr>
          <w:p>
            <w:pPr>
              <w:spacing w:after="0" w:line="259" w:lineRule="auto"/>
            </w:pPr>
            <w:r>
              <w:rPr>
                <w:rFonts w:ascii="Calibri" w:hAnsi="Calibri"/>
                <w:b w:val="0"/>
                <w:i w:val="0"/>
                <w:color w:val="20252B"/>
                <w:sz w:val="19"/>
              </w:rPr>
              <w:t>____________________________</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E8EEF5"/>
          </w:tcPr>
          <w:p>
            <w:pPr>
              <w:spacing w:after="40"/>
            </w:pPr>
            <w:r>
              <w:rPr>
                <w:rFonts w:ascii="Calibri" w:hAnsi="Calibri"/>
                <w:b/>
                <w:i w:val="0"/>
                <w:color w:val="0B2545"/>
                <w:sz w:val="20"/>
              </w:rPr>
              <w:t xml:space="preserve">RECOMMENDED NEXT DECISION  </w:t>
            </w:r>
            <w:r>
              <w:rPr>
                <w:rFonts w:ascii="Calibri" w:hAnsi="Calibri"/>
                <w:b w:val="0"/>
                <w:i w:val="0"/>
                <w:color w:val="20252B"/>
                <w:sz w:val="21"/>
              </w:rPr>
              <w:t>Approve the hybrid architecture and a staged capacity test. Treat 500 GB as a verified production tier only after the representative benchmark, restart and recovery checks pass.</w:t>
            </w:r>
          </w:p>
        </w:tc>
      </w:tr>
    </w:tbl>
    <w:p>
      <w:pPr>
        <w:spacing w:after="20"/>
      </w:pPr>
    </w:p>
    <w:sectPr w:rsidR="00FC693F" w:rsidRPr="0006063C" w:rsidSect="00034616">
      <w:headerReference w:type="default" r:id="rId9"/>
      <w:footerReference w:type="default" r:id="rId10"/>
      <w:pgSz w:w="12240" w:h="15840"/>
      <w:pgMar w:top="1123" w:right="1440" w:bottom="1037"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8717D"/>
        <w:sz w:val="17"/>
      </w:rPr>
      <w:t xml:space="preserve">Internal planning  |  25 August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8717D"/>
        <w:sz w:val="17"/>
      </w:rPr>
      <w:t>EXPRESS INTELLIGENCE OS  |  MANAGEMENT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Express Intelligence OS - 500 GB Management Brief</dc:title>
  <dc:subject>Infrastructure, security and operations for heavy daily log analysis</dc:subject>
  <dc:creator>Express Intelligence OS</dc:creator>
  <cp:keywords>log analysis, 500 GB, infrastructure, security, operations</cp:keywords>
  <dc:description>generated by python-docx</dc:description>
  <cp:lastModifiedBy/>
  <cp:revision>1</cp:revision>
  <dcterms:created xsi:type="dcterms:W3CDTF">2013-12-23T23:15:00Z</dcterms:created>
  <dcterms:modified xsi:type="dcterms:W3CDTF">2013-12-23T23:15:00Z</dcterms:modified>
  <cp:category/>
</cp:coreProperties>
</file>