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</w:pPr>
      <w:r>
        <w:rPr>
          <w:b/>
          <w:bCs/>
          <w:color w:val="5C1A33"/>
          <w:sz w:val="44"/>
          <w:szCs w:val="44"/>
        </w:rPr>
        <w:t xml:space="preserve">F4 — Study Library</w:t>
      </w:r>
    </w:p>
    <w:p>
      <w:pPr>
        <w:spacing w:after="160"/>
      </w:pPr>
      <w:r>
        <w:rPr>
          <w:color w:val="A21D52"/>
          <w:sz w:val="24"/>
          <w:szCs w:val="24"/>
        </w:rPr>
        <w:t xml:space="preserve">Curated deep-dive references · docs · papers · courses · tools</w:t>
      </w:r>
    </w:p>
    <w:p>
      <w:pPr>
        <w:spacing w:after="600"/>
      </w:pPr>
      <w:r>
        <w:rPr>
          <w:i/>
          <w:iCs/>
          <w:color w:val="6B5560"/>
          <w:sz w:val="20"/>
          <w:szCs w:val="20"/>
        </w:rPr>
        <w:t xml:space="preserve">Every entry is annotated with a one-line WHY-READ so you can prioritise.</w:t>
      </w:r>
    </w:p>
    <w:p>
      <w:pPr>
        <w:pStyle w:val="Heading1"/>
        <w:spacing w:after="200" w:before="360"/>
      </w:pPr>
      <w:r>
        <w:rPr>
          <w:b/>
          <w:bCs/>
          <w:color w:val="5C1A33"/>
        </w:rPr>
        <w:t xml:space="preserve">How to use this library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'Tier 1 — must read this month' items are your floor; everything else is depth-on-demand.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RAG tooling moves fast. Prefer official docs over blog posts for anything version-specific.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4-week deepening plan at the end sequences the highest-value items — and has you rebuild each lab with a real dense embedder and vector DB.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When a link 404s, search the title — docs reorganise, but the canonical guides persist.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C1A33"/>
        </w:rPr>
        <w:t xml:space="preserve">Official docs — Tier 1 (must read this month)</w:t>
      </w:r>
    </w:p>
    <w:p>
      <w:pPr>
        <w:spacing w:after="120" w:line="300"/>
      </w:pPr>
      <w:r>
        <w:rPr>
          <w:i/>
          <w:iCs/>
          <w:color w:val="6B5560"/>
        </w:rPr>
        <w:t xml:space="preserve">Keep these open whenever you build. For a fast-moving stack, the official docs are the most reliable source.</w:t>
      </w:r>
    </w:p>
    <w:p>
      <w:pPr>
        <w:pStyle w:val="Heading2"/>
        <w:spacing w:after="140" w:before="280"/>
      </w:pPr>
      <w:r>
        <w:rPr>
          <w:b/>
          <w:bCs/>
          <w:color w:val="A21D52"/>
        </w:rPr>
        <w:t xml:space="preserve">RAG pipelines &amp; frameworks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LangChain — Retrieval (RAG) how-to</w:t>
      </w:r>
      <w:r>
        <w:rPr>
          <w:color w:val="6B5560"/>
          <w:sz w:val="20"/>
          <w:szCs w:val="20"/>
        </w:rPr>
        <w:t xml:space="preserve">  ·  python.langchain.com</w:t>
      </w:r>
      <w:r>
        <w:t xml:space="preserve">  </w:t>
      </w:r>
      <w:r>
        <w:rPr>
          <w:color w:val="A21D52"/>
          <w:sz w:val="20"/>
          <w:szCs w:val="20"/>
        </w:rPr>
        <w:t xml:space="preserve">python.langchain.com/docs/tutorials/rag/</w:t>
      </w:r>
      <w:r>
        <w:t xml:space="preserve">  </w:t>
      </w:r>
      <w:r>
        <w:rPr>
          <w:i/>
          <w:iCs/>
          <w:sz w:val="20"/>
          <w:szCs w:val="20"/>
        </w:rPr>
        <w:t xml:space="preserve">The end-to-end RAG tutorial: load, split, embed, store, retrieve, generate. Mirrors this whole module.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LangChain — Text splitters</w:t>
      </w:r>
      <w:r>
        <w:rPr>
          <w:color w:val="6B5560"/>
          <w:sz w:val="20"/>
          <w:szCs w:val="20"/>
        </w:rPr>
        <w:t xml:space="preserve">  ·  python.langchain.com</w:t>
      </w:r>
      <w:r>
        <w:t xml:space="preserve">  </w:t>
      </w:r>
      <w:r>
        <w:rPr>
          <w:color w:val="A21D52"/>
          <w:sz w:val="20"/>
          <w:szCs w:val="20"/>
        </w:rPr>
        <w:t xml:space="preserve">python.langchain.com/docs/concepts/text_splitters/</w:t>
      </w:r>
      <w:r>
        <w:t xml:space="preserve">  </w:t>
      </w:r>
      <w:r>
        <w:rPr>
          <w:i/>
          <w:iCs/>
          <w:sz w:val="20"/>
          <w:szCs w:val="20"/>
        </w:rPr>
        <w:t xml:space="preserve">The production version of Lab 1's chunker — RecursiveCharacterTextSplitter and friends.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LlamaIndex — Learn / RAG</w:t>
      </w:r>
      <w:r>
        <w:rPr>
          <w:color w:val="6B5560"/>
          <w:sz w:val="20"/>
          <w:szCs w:val="20"/>
        </w:rPr>
        <w:t xml:space="preserve">  ·  docs.llamaindex.ai</w:t>
      </w:r>
      <w:r>
        <w:t xml:space="preserve">  </w:t>
      </w:r>
      <w:r>
        <w:rPr>
          <w:color w:val="A21D52"/>
          <w:sz w:val="20"/>
          <w:szCs w:val="20"/>
        </w:rPr>
        <w:t xml:space="preserve">docs.llamaindex.ai/en/stable/understanding/</w:t>
      </w:r>
      <w:r>
        <w:t xml:space="preserve">  </w:t>
      </w:r>
      <w:r>
        <w:rPr>
          <w:i/>
          <w:iCs/>
          <w:sz w:val="20"/>
          <w:szCs w:val="20"/>
        </w:rPr>
        <w:t xml:space="preserve">The retrieval-first framework. Read its indexing and query-engine sections — strong on advanced retrieval.</w:t>
      </w:r>
    </w:p>
    <w:p>
      <w:pPr>
        <w:pStyle w:val="Heading2"/>
        <w:spacing w:after="140" w:before="280"/>
      </w:pPr>
      <w:r>
        <w:rPr>
          <w:b/>
          <w:bCs/>
          <w:color w:val="A21D52"/>
        </w:rPr>
        <w:t xml:space="preserve">Embeddings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OpenAI — Embeddings guide</w:t>
      </w:r>
      <w:r>
        <w:rPr>
          <w:color w:val="6B5560"/>
          <w:sz w:val="20"/>
          <w:szCs w:val="20"/>
        </w:rPr>
        <w:t xml:space="preserve">  ·  platform.openai.com</w:t>
      </w:r>
      <w:r>
        <w:t xml:space="preserve">  </w:t>
      </w:r>
      <w:r>
        <w:rPr>
          <w:color w:val="A21D52"/>
          <w:sz w:val="20"/>
          <w:szCs w:val="20"/>
        </w:rPr>
        <w:t xml:space="preserve">platform.openai.com/docs/guides/embeddings</w:t>
      </w:r>
      <w:r>
        <w:t xml:space="preserve">  </w:t>
      </w:r>
      <w:r>
        <w:rPr>
          <w:i/>
          <w:iCs/>
          <w:sz w:val="20"/>
          <w:szCs w:val="20"/>
        </w:rPr>
        <w:t xml:space="preserve">How dense embeddings work and how to use text-embedding-3. The production replacement for Lab 1's TF-IDF.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BGE / FlagEmbedding</w:t>
      </w:r>
      <w:r>
        <w:rPr>
          <w:color w:val="6B5560"/>
          <w:sz w:val="20"/>
          <w:szCs w:val="20"/>
        </w:rPr>
        <w:t xml:space="preserve">  ·  huggingface.co/BAAI</w:t>
      </w:r>
      <w:r>
        <w:t xml:space="preserve">  </w:t>
      </w:r>
      <w:r>
        <w:rPr>
          <w:color w:val="A21D52"/>
          <w:sz w:val="20"/>
          <w:szCs w:val="20"/>
        </w:rPr>
        <w:t xml:space="preserve">huggingface.co/BAAI/bge-m3</w:t>
      </w:r>
      <w:r>
        <w:t xml:space="preserve">  </w:t>
      </w:r>
      <w:r>
        <w:rPr>
          <w:i/>
          <w:iCs/>
          <w:sz w:val="20"/>
          <w:szCs w:val="20"/>
        </w:rPr>
        <w:t xml:space="preserve">Leading open-weight embedding models you can self-host. Read the model card for usage and dimensions.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MTEB — Massive Text Embedding Benchmark</w:t>
      </w:r>
      <w:r>
        <w:rPr>
          <w:color w:val="6B5560"/>
          <w:sz w:val="20"/>
          <w:szCs w:val="20"/>
        </w:rPr>
        <w:t xml:space="preserve">  ·  huggingface.co/spaces/mteb/leaderboard</w:t>
      </w:r>
      <w:r>
        <w:t xml:space="preserve">  </w:t>
      </w:r>
      <w:r>
        <w:rPr>
          <w:color w:val="A21D52"/>
          <w:sz w:val="20"/>
          <w:szCs w:val="20"/>
        </w:rPr>
        <w:t xml:space="preserve">huggingface.co/spaces/mteb/leaderboard</w:t>
      </w:r>
      <w:r>
        <w:t xml:space="preserve">  </w:t>
      </w:r>
      <w:r>
        <w:rPr>
          <w:i/>
          <w:iCs/>
          <w:sz w:val="20"/>
          <w:szCs w:val="20"/>
        </w:rPr>
        <w:t xml:space="preserve">The leaderboard for choosing an embedding model. Check retrieval-task scores, not just the average.</w:t>
      </w:r>
    </w:p>
    <w:p>
      <w:pPr>
        <w:pStyle w:val="Heading2"/>
        <w:spacing w:after="140" w:before="280"/>
      </w:pPr>
      <w:r>
        <w:rPr>
          <w:b/>
          <w:bCs/>
          <w:color w:val="A21D52"/>
        </w:rPr>
        <w:t xml:space="preserve">Vector stores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FAISS</w:t>
      </w:r>
      <w:r>
        <w:rPr>
          <w:color w:val="6B5560"/>
          <w:sz w:val="20"/>
          <w:szCs w:val="20"/>
        </w:rPr>
        <w:t xml:space="preserve">  ·  github.com/facebookresearch/faiss</w:t>
      </w:r>
      <w:r>
        <w:t xml:space="preserve">  </w:t>
      </w:r>
      <w:r>
        <w:rPr>
          <w:color w:val="A21D52"/>
          <w:sz w:val="20"/>
          <w:szCs w:val="20"/>
        </w:rPr>
        <w:t xml:space="preserve">github.com/facebookresearch/faiss/wiki</w:t>
      </w:r>
      <w:r>
        <w:t xml:space="preserve">  </w:t>
      </w:r>
      <w:r>
        <w:rPr>
          <w:i/>
          <w:iCs/>
          <w:sz w:val="20"/>
          <w:szCs w:val="20"/>
        </w:rPr>
        <w:t xml:space="preserve">The canonical similarity-search library. Read 'Getting started' and the index-type guide.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Chroma</w:t>
      </w:r>
      <w:r>
        <w:rPr>
          <w:color w:val="6B5560"/>
          <w:sz w:val="20"/>
          <w:szCs w:val="20"/>
        </w:rPr>
        <w:t xml:space="preserve">  ·  docs.trychroma.com</w:t>
      </w:r>
      <w:r>
        <w:t xml:space="preserve">  </w:t>
      </w:r>
      <w:r>
        <w:rPr>
          <w:color w:val="A21D52"/>
          <w:sz w:val="20"/>
          <w:szCs w:val="20"/>
        </w:rPr>
        <w:t xml:space="preserve">docs.trychroma.com</w:t>
      </w:r>
      <w:r>
        <w:t xml:space="preserve">  </w:t>
      </w:r>
      <w:r>
        <w:rPr>
          <w:i/>
          <w:iCs/>
          <w:sz w:val="20"/>
          <w:szCs w:val="20"/>
        </w:rPr>
        <w:t xml:space="preserve">The most beginner-friendly vector DB; the easiest upgrade from Lab 2's in-memory store.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pgvector</w:t>
      </w:r>
      <w:r>
        <w:rPr>
          <w:color w:val="6B5560"/>
          <w:sz w:val="20"/>
          <w:szCs w:val="20"/>
        </w:rPr>
        <w:t xml:space="preserve">  ·  github.com/pgvector/pgvector</w:t>
      </w:r>
      <w:r>
        <w:t xml:space="preserve">  </w:t>
      </w:r>
      <w:r>
        <w:rPr>
          <w:color w:val="A21D52"/>
          <w:sz w:val="20"/>
          <w:szCs w:val="20"/>
        </w:rPr>
        <w:t xml:space="preserve">github.com/pgvector/pgvector</w:t>
      </w:r>
      <w:r>
        <w:t xml:space="preserve">  </w:t>
      </w:r>
      <w:r>
        <w:rPr>
          <w:i/>
          <w:iCs/>
          <w:sz w:val="20"/>
          <w:szCs w:val="20"/>
        </w:rPr>
        <w:t xml:space="preserve">Vector search inside Postgres — often the pragmatic enterprise choice (no new datastore).</w:t>
      </w:r>
    </w:p>
    <w:p>
      <w:pPr>
        <w:pStyle w:val="Heading2"/>
        <w:spacing w:after="140" w:before="280"/>
      </w:pPr>
      <w:r>
        <w:rPr>
          <w:b/>
          <w:bCs/>
          <w:color w:val="A21D52"/>
        </w:rPr>
        <w:t xml:space="preserve">Evaluation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RAGAS — RAG evaluation</w:t>
      </w:r>
      <w:r>
        <w:rPr>
          <w:color w:val="6B5560"/>
          <w:sz w:val="20"/>
          <w:szCs w:val="20"/>
        </w:rPr>
        <w:t xml:space="preserve">  ·  docs.ragas.io</w:t>
      </w:r>
      <w:r>
        <w:t xml:space="preserve">  </w:t>
      </w:r>
      <w:r>
        <w:rPr>
          <w:color w:val="A21D52"/>
          <w:sz w:val="20"/>
          <w:szCs w:val="20"/>
        </w:rPr>
        <w:t xml:space="preserve">docs.ragas.io</w:t>
      </w:r>
      <w:r>
        <w:t xml:space="preserve">  </w:t>
      </w:r>
      <w:r>
        <w:rPr>
          <w:i/>
          <w:iCs/>
          <w:sz w:val="20"/>
          <w:szCs w:val="20"/>
        </w:rPr>
        <w:t xml:space="preserve">The production version of Lab 2/3's metrics: faithfulness, answer relevancy, context recall/precision.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LangSmith — RAG evaluation</w:t>
      </w:r>
      <w:r>
        <w:rPr>
          <w:color w:val="6B5560"/>
          <w:sz w:val="20"/>
          <w:szCs w:val="20"/>
        </w:rPr>
        <w:t xml:space="preserve">  ·  docs.smith.langchain.com</w:t>
      </w:r>
      <w:r>
        <w:t xml:space="preserve">  </w:t>
      </w:r>
      <w:r>
        <w:rPr>
          <w:color w:val="A21D52"/>
          <w:sz w:val="20"/>
          <w:szCs w:val="20"/>
        </w:rPr>
        <w:t xml:space="preserve">docs.smith.langchain.com/evaluation</w:t>
      </w:r>
      <w:r>
        <w:t xml:space="preserve">  </w:t>
      </w:r>
      <w:r>
        <w:rPr>
          <w:i/>
          <w:iCs/>
          <w:sz w:val="20"/>
          <w:szCs w:val="20"/>
        </w:rPr>
        <w:t xml:space="preserve">Wire retrieval + faithfulness evals into CI on a golden dataset. The bridge to F6.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C1A33"/>
        </w:rPr>
        <w:t xml:space="preserve">Papers — foundational to RAG</w:t>
      </w:r>
    </w:p>
    <w:p>
      <w:pPr>
        <w:spacing w:after="120" w:line="300"/>
      </w:pPr>
      <w:r>
        <w:rPr>
          <w:i/>
          <w:iCs/>
          <w:color w:val="6B5560"/>
        </w:rPr>
        <w:t xml:space="preserve">The research that defined retrieval-augmented generation and the retrieval methods under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Retrieval-Augmented Generation for Knowledge-Intensive NLP Tasks</w:t>
      </w:r>
      <w:r>
        <w:rPr>
          <w:color w:val="6B5560"/>
          <w:sz w:val="20"/>
          <w:szCs w:val="20"/>
        </w:rPr>
        <w:t xml:space="preserve">  ·  Lewis et al., NeurIPS 2020</w:t>
      </w:r>
      <w:r>
        <w:t xml:space="preserve">  </w:t>
      </w:r>
      <w:r>
        <w:rPr>
          <w:i/>
          <w:iCs/>
          <w:sz w:val="20"/>
          <w:szCs w:val="20"/>
        </w:rPr>
        <w:t xml:space="preserve">The paper that named RAG. Read it to understand why grounding in retrieved text beats parametric memory.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Dense Passage Retrieval for Open-Domain QA</w:t>
      </w:r>
      <w:r>
        <w:rPr>
          <w:color w:val="6B5560"/>
          <w:sz w:val="20"/>
          <w:szCs w:val="20"/>
        </w:rPr>
        <w:t xml:space="preserve">  ·  Karpukhin et al., EMNLP 2020</w:t>
      </w:r>
      <w:r>
        <w:t xml:space="preserve">  </w:t>
      </w:r>
      <w:r>
        <w:rPr>
          <w:i/>
          <w:iCs/>
          <w:sz w:val="20"/>
          <w:szCs w:val="20"/>
        </w:rPr>
        <w:t xml:space="preserve">Why dense (semantic) retrieval beats sparse (lexical) — exactly the gap Lab 2's residual miss illustrates.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Lost in the Middle: How Language Models Use Long Contexts</w:t>
      </w:r>
      <w:r>
        <w:rPr>
          <w:color w:val="6B5560"/>
          <w:sz w:val="20"/>
          <w:szCs w:val="20"/>
        </w:rPr>
        <w:t xml:space="preserve">  ·  Liu et al., TACL 2024</w:t>
      </w:r>
      <w:r>
        <w:t xml:space="preserve">  </w:t>
      </w:r>
      <w:r>
        <w:rPr>
          <w:i/>
          <w:iCs/>
          <w:sz w:val="20"/>
          <w:szCs w:val="20"/>
        </w:rPr>
        <w:t xml:space="preserve">The evidence that stuffing a long context degrades attention — the core argument for retrieving precisely.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REALM: Retrieval-Augmented Language Model Pre-Training</w:t>
      </w:r>
      <w:r>
        <w:rPr>
          <w:color w:val="6B5560"/>
          <w:sz w:val="20"/>
          <w:szCs w:val="20"/>
        </w:rPr>
        <w:t xml:space="preserve">  ·  Guu et al., ICML 2020</w:t>
      </w:r>
      <w:r>
        <w:t xml:space="preserve">  </w:t>
      </w:r>
      <w:r>
        <w:rPr>
          <w:i/>
          <w:iCs/>
          <w:sz w:val="20"/>
          <w:szCs w:val="20"/>
        </w:rPr>
        <w:t xml:space="preserve">An earlier, influential framing of learning to retrieve. Good background on retrieval-augmented training.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Precise Zero-Shot Dense Retrieval without Relevance Labels (HyDE)</w:t>
      </w:r>
      <w:r>
        <w:rPr>
          <w:color w:val="6B5560"/>
          <w:sz w:val="20"/>
          <w:szCs w:val="20"/>
        </w:rPr>
        <w:t xml:space="preserve">  ·  Gao et al., 2022</w:t>
      </w:r>
      <w:r>
        <w:t xml:space="preserve">  </w:t>
      </w:r>
      <w:r>
        <w:rPr>
          <w:i/>
          <w:iCs/>
          <w:sz w:val="20"/>
          <w:szCs w:val="20"/>
        </w:rPr>
        <w:t xml:space="preserve">A clever query-expansion trick: generate a hypothetical answer, embed that. A practical retrieval upgrade.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ColBERT: Efficient and Effective Passage Search via Late Interaction</w:t>
      </w:r>
      <w:r>
        <w:rPr>
          <w:color w:val="6B5560"/>
          <w:sz w:val="20"/>
          <w:szCs w:val="20"/>
        </w:rPr>
        <w:t xml:space="preserve">  ·  Khattab &amp; Zaharia, SIGIR 2020</w:t>
      </w:r>
      <w:r>
        <w:t xml:space="preserve">  </w:t>
      </w:r>
      <w:r>
        <w:rPr>
          <w:i/>
          <w:iCs/>
          <w:sz w:val="20"/>
          <w:szCs w:val="20"/>
        </w:rPr>
        <w:t xml:space="preserve">Token-level late-interaction retrieval — where to go when single-vector embeddings aren't precise enough.</w:t>
      </w:r>
    </w:p>
    <w:p>
      <w:pPr>
        <w:pStyle w:val="Heading1"/>
        <w:spacing w:after="200" w:before="360"/>
      </w:pPr>
      <w:r>
        <w:rPr>
          <w:b/>
          <w:bCs/>
          <w:color w:val="5C1A33"/>
        </w:rPr>
        <w:t xml:space="preserve">Books &amp; long-form</w:t>
      </w:r>
    </w:p>
    <w:p>
      <w:pPr>
        <w:pStyle w:val="Heading2"/>
        <w:spacing w:after="140" w:before="280"/>
      </w:pPr>
      <w:r>
        <w:rPr>
          <w:b/>
          <w:bCs/>
          <w:color w:val="A21D52"/>
        </w:rPr>
        <w:t xml:space="preserve">Tier 1 — most useful now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AI Engineering: Building Applications with Foundation Models</w:t>
      </w:r>
      <w:r>
        <w:rPr>
          <w:color w:val="6B5560"/>
          <w:sz w:val="20"/>
          <w:szCs w:val="20"/>
        </w:rPr>
        <w:t xml:space="preserve">  ·  Chip Huyen, O'Reilly 2025</w:t>
      </w:r>
      <w:r>
        <w:t xml:space="preserve">  </w:t>
      </w:r>
      <w:r>
        <w:rPr>
          <w:i/>
          <w:iCs/>
          <w:sz w:val="20"/>
          <w:szCs w:val="20"/>
        </w:rPr>
        <w:t xml:space="preserve">The closest thing to a textbook for this track; its RAG and evaluation chapters map directly onto F4.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Hands-On Large Language Models</w:t>
      </w:r>
      <w:r>
        <w:rPr>
          <w:color w:val="6B5560"/>
          <w:sz w:val="20"/>
          <w:szCs w:val="20"/>
        </w:rPr>
        <w:t xml:space="preserve">  ·  Alammar &amp; Grootendorst, O'Reilly 2024</w:t>
      </w:r>
      <w:r>
        <w:t xml:space="preserve">  </w:t>
      </w:r>
      <w:r>
        <w:rPr>
          <w:i/>
          <w:iCs/>
          <w:sz w:val="20"/>
          <w:szCs w:val="20"/>
        </w:rPr>
        <w:t xml:space="preserve">Visual, intuition-first treatment of embeddings and semantic search — the best build of Lab 1's intuition.</w:t>
      </w:r>
    </w:p>
    <w:p>
      <w:pPr>
        <w:pStyle w:val="Heading2"/>
        <w:spacing w:after="140" w:before="280"/>
      </w:pPr>
      <w:r>
        <w:rPr>
          <w:b/>
          <w:bCs/>
          <w:color w:val="A21D52"/>
        </w:rPr>
        <w:t xml:space="preserve">Tier 2 — depth on demand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Relevant Search</w:t>
      </w:r>
      <w:r>
        <w:rPr>
          <w:color w:val="6B5560"/>
          <w:sz w:val="20"/>
          <w:szCs w:val="20"/>
        </w:rPr>
        <w:t xml:space="preserve">  ·  Turnbull &amp; Berryman, Manning 2016</w:t>
      </w:r>
      <w:r>
        <w:t xml:space="preserve">  </w:t>
      </w:r>
      <w:r>
        <w:rPr>
          <w:i/>
          <w:iCs/>
          <w:sz w:val="20"/>
          <w:szCs w:val="20"/>
        </w:rPr>
        <w:t xml:space="preserve">Pre-LLM, but the definitive book on relevance, ranking, and evaluation — the foundations under hit@k.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Designing Machine Learning Systems</w:t>
      </w:r>
      <w:r>
        <w:rPr>
          <w:color w:val="6B5560"/>
          <w:sz w:val="20"/>
          <w:szCs w:val="20"/>
        </w:rPr>
        <w:t xml:space="preserve">  ·  Chip Huyen, O'Reilly 2022</w:t>
      </w:r>
      <w:r>
        <w:t xml:space="preserve">  </w:t>
      </w:r>
      <w:r>
        <w:rPr>
          <w:i/>
          <w:iCs/>
          <w:sz w:val="20"/>
          <w:szCs w:val="20"/>
        </w:rPr>
        <w:t xml:space="preserve">The production-systems backbone — data pipelines, freshness, monitoring — that a real RAG index lives in.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C1A33"/>
        </w:rPr>
        <w:t xml:space="preserve">Courses &amp; interactive learning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Building &amp; Evaluating Advanced RAG</w:t>
      </w:r>
      <w:r>
        <w:rPr>
          <w:color w:val="6B5560"/>
          <w:sz w:val="20"/>
          <w:szCs w:val="20"/>
        </w:rPr>
        <w:t xml:space="preserve">  ·  DeepLearning.AI × LlamaIndex/TruEra</w:t>
      </w:r>
      <w:r>
        <w:t xml:space="preserve">  </w:t>
      </w:r>
      <w:r>
        <w:rPr>
          <w:color w:val="A21D52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The single best short course for F4 — advanced retrieval plus the evaluation triad. Take this first.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LangChain: Chat with Your Data</w:t>
      </w:r>
      <w:r>
        <w:rPr>
          <w:color w:val="6B5560"/>
          <w:sz w:val="20"/>
          <w:szCs w:val="20"/>
        </w:rPr>
        <w:t xml:space="preserve">  ·  DeepLearning.AI × LangChain</w:t>
      </w:r>
      <w:r>
        <w:t xml:space="preserve">  </w:t>
      </w:r>
      <w:r>
        <w:rPr>
          <w:color w:val="A21D52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Document loading, splitting, embeddings, vector stores, retrieval — Labs 1–2 in course form.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Advanced Retrieval for AI with Chroma</w:t>
      </w:r>
      <w:r>
        <w:rPr>
          <w:color w:val="6B5560"/>
          <w:sz w:val="20"/>
          <w:szCs w:val="20"/>
        </w:rPr>
        <w:t xml:space="preserve">  ·  DeepLearning.AI × Chroma</w:t>
      </w:r>
      <w:r>
        <w:t xml:space="preserve">  </w:t>
      </w:r>
      <w:r>
        <w:rPr>
          <w:color w:val="A21D52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Query expansion, re-ranking, and retrieval failure analysis — exactly how to beat Lab 2's residual miss.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Knowledge Graphs for RAG</w:t>
      </w:r>
      <w:r>
        <w:rPr>
          <w:color w:val="6B5560"/>
          <w:sz w:val="20"/>
          <w:szCs w:val="20"/>
        </w:rPr>
        <w:t xml:space="preserve">  ·  DeepLearning.AI × Neo4j</w:t>
      </w:r>
      <w:r>
        <w:t xml:space="preserve">  </w:t>
      </w:r>
      <w:r>
        <w:rPr>
          <w:color w:val="A21D52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When flat vector retrieval isn't enough — graph-structured retrieval. A strong second-step topic.</w:t>
      </w:r>
    </w:p>
    <w:p>
      <w:pPr>
        <w:pStyle w:val="Heading1"/>
        <w:spacing w:after="200" w:before="360"/>
      </w:pPr>
      <w:r>
        <w:rPr>
          <w:b/>
          <w:bCs/>
          <w:color w:val="5C1A33"/>
        </w:rPr>
        <w:t xml:space="preserve">Tools &amp; live resources</w:t>
      </w:r>
    </w:p>
    <w:p>
      <w:pPr>
        <w:pStyle w:val="Heading2"/>
        <w:spacing w:after="140" w:before="280"/>
      </w:pPr>
      <w:r>
        <w:rPr>
          <w:b/>
          <w:bCs/>
          <w:color w:val="A21D52"/>
        </w:rPr>
        <w:t xml:space="preserve">The stack you'd use in production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sentence-transformers</w:t>
      </w:r>
      <w:r>
        <w:rPr>
          <w:color w:val="6B5560"/>
          <w:sz w:val="20"/>
          <w:szCs w:val="20"/>
        </w:rPr>
        <w:t xml:space="preserve">  ·  embedding inference</w:t>
      </w:r>
      <w:r>
        <w:t xml:space="preserve">  </w:t>
      </w:r>
      <w:r>
        <w:rPr>
          <w:color w:val="A21D52"/>
          <w:sz w:val="20"/>
          <w:szCs w:val="20"/>
        </w:rPr>
        <w:t xml:space="preserve">sbert.net</w:t>
      </w:r>
      <w:r>
        <w:t xml:space="preserve">  </w:t>
      </w:r>
      <w:r>
        <w:rPr>
          <w:i/>
          <w:iCs/>
          <w:sz w:val="20"/>
          <w:szCs w:val="20"/>
        </w:rPr>
        <w:t xml:space="preserve">The easiest way to run BGE/E5/MiniLM locally — the drop-in replacement for Lab 1's TfidfEmbedder.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Chroma / FAISS / pgvector</w:t>
      </w:r>
      <w:r>
        <w:rPr>
          <w:color w:val="6B5560"/>
          <w:sz w:val="20"/>
          <w:szCs w:val="20"/>
        </w:rPr>
        <w:t xml:space="preserve">  ·  vector stores</w:t>
      </w:r>
      <w:r>
        <w:t xml:space="preserve">  </w:t>
      </w:r>
      <w:r>
        <w:rPr>
          <w:color w:val="A21D52"/>
          <w:sz w:val="20"/>
          <w:szCs w:val="20"/>
        </w:rPr>
        <w:t xml:space="preserve">docs.trychroma.com</w:t>
      </w:r>
      <w:r>
        <w:t xml:space="preserve">  </w:t>
      </w:r>
      <w:r>
        <w:rPr>
          <w:i/>
          <w:iCs/>
          <w:sz w:val="20"/>
          <w:szCs w:val="20"/>
        </w:rPr>
        <w:t xml:space="preserve">Pick one to replace Lab 2's in-memory store. Chroma to learn, pgvector to ship on existing Postgres.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RAGAS</w:t>
      </w:r>
      <w:r>
        <w:rPr>
          <w:color w:val="6B5560"/>
          <w:sz w:val="20"/>
          <w:szCs w:val="20"/>
        </w:rPr>
        <w:t xml:space="preserve">  ·  RAG evaluation</w:t>
      </w:r>
      <w:r>
        <w:t xml:space="preserve">  </w:t>
      </w:r>
      <w:r>
        <w:rPr>
          <w:color w:val="A21D52"/>
          <w:sz w:val="20"/>
          <w:szCs w:val="20"/>
        </w:rPr>
        <w:t xml:space="preserve">docs.ragas.io</w:t>
      </w:r>
      <w:r>
        <w:t xml:space="preserve">  </w:t>
      </w:r>
      <w:r>
        <w:rPr>
          <w:i/>
          <w:iCs/>
          <w:sz w:val="20"/>
          <w:szCs w:val="20"/>
        </w:rPr>
        <w:t xml:space="preserve">Turn Lab 3's groundedness proxy into real faithfulness/relevance metrics on a dataset.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LlamaIndex / LangChain</w:t>
      </w:r>
      <w:r>
        <w:rPr>
          <w:color w:val="6B5560"/>
          <w:sz w:val="20"/>
          <w:szCs w:val="20"/>
        </w:rPr>
        <w:t xml:space="preserve">  ·  RAG orchestration</w:t>
      </w:r>
      <w:r>
        <w:t xml:space="preserve">  </w:t>
      </w:r>
      <w:r>
        <w:rPr>
          <w:color w:val="A21D52"/>
          <w:sz w:val="20"/>
          <w:szCs w:val="20"/>
        </w:rPr>
        <w:t xml:space="preserve">docs.llamaindex.ai</w:t>
      </w:r>
      <w:r>
        <w:t xml:space="preserve">  </w:t>
      </w:r>
      <w:r>
        <w:rPr>
          <w:i/>
          <w:iCs/>
          <w:sz w:val="20"/>
          <w:szCs w:val="20"/>
        </w:rPr>
        <w:t xml:space="preserve">The frameworks that assemble the whole pipeline — the F3 'rag' node, productionised.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Cohere Rerank / bge-reranker</w:t>
      </w:r>
      <w:r>
        <w:rPr>
          <w:color w:val="6B5560"/>
          <w:sz w:val="20"/>
          <w:szCs w:val="20"/>
        </w:rPr>
        <w:t xml:space="preserve">  ·  re-ranking</w:t>
      </w:r>
      <w:r>
        <w:t xml:space="preserve">  </w:t>
      </w:r>
      <w:r>
        <w:rPr>
          <w:color w:val="A21D52"/>
          <w:sz w:val="20"/>
          <w:szCs w:val="20"/>
        </w:rPr>
        <w:t xml:space="preserve">cohere.com/rerank</w:t>
      </w:r>
      <w:r>
        <w:t xml:space="preserve">  </w:t>
      </w:r>
      <w:r>
        <w:rPr>
          <w:i/>
          <w:iCs/>
          <w:sz w:val="20"/>
          <w:szCs w:val="20"/>
        </w:rPr>
        <w:t xml:space="preserve">A cheap precision boost: retrieve broadly, then re-rank the top candidates. Often the best ROI upgrade.</w:t>
      </w:r>
    </w:p>
    <w:p>
      <w:pPr>
        <w:pStyle w:val="Heading2"/>
        <w:spacing w:after="140" w:before="280"/>
      </w:pPr>
      <w:r>
        <w:rPr>
          <w:b/>
          <w:bCs/>
          <w:color w:val="A21D52"/>
        </w:rPr>
        <w:t xml:space="preserve">Staying current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Embedding &amp; RAG provider blogs</w:t>
      </w:r>
      <w:r>
        <w:rPr>
          <w:i/>
          <w:iCs/>
          <w:color w:val="6B5560"/>
          <w:sz w:val="20"/>
          <w:szCs w:val="20"/>
        </w:rPr>
        <w:t xml:space="preserve">  ·  OpenAI, Cohere, Voyage, and the LlamaIndex/LangChain blogs track new models and retrieval techniques.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141A"/>
        </w:rPr>
        <w:t xml:space="preserve">MTEB leaderboard</w:t>
      </w:r>
      <w:r>
        <w:rPr>
          <w:i/>
          <w:iCs/>
          <w:color w:val="6B5560"/>
          <w:sz w:val="20"/>
          <w:szCs w:val="20"/>
        </w:rPr>
        <w:t xml:space="preserve">  ·  re-check before committing to an embedding model; the ranking shifts often.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C1A33"/>
        </w:rPr>
        <w:t xml:space="preserve">Suggested 4-week deepening plan</w:t>
      </w:r>
    </w:p>
    <w:p>
      <w:pPr>
        <w:spacing w:after="120" w:line="300"/>
      </w:pPr>
      <w:r>
        <w:rPr>
          <w:i/>
          <w:iCs/>
          <w:color w:val="6B5560"/>
        </w:rPr>
        <w:t xml:space="preserve">Designed for ~6–8 hrs/week. Do not skip the hands-on column.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21D52" w:sz="12"/>
              <w:left w:val="single" w:color="E1D2DA" w:sz="4"/>
              <w:bottom w:val="single" w:color="E1D2DA" w:sz="4"/>
              <w:right w:val="single" w:color="E1D2DA" w:sz="4"/>
            </w:tcBorders>
            <w:shd w:fill="F6E9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A21D52"/>
                <w:spacing w:val="80"/>
                <w:sz w:val="18"/>
                <w:szCs w:val="18"/>
              </w:rPr>
              <w:t xml:space="preserve">WEEK 1</w:t>
            </w:r>
            <w:r>
              <w:t xml:space="preserve">    </w:t>
            </w:r>
            <w:r>
              <w:rPr>
                <w:b/>
                <w:bCs/>
                <w:color w:val="5C1A33"/>
                <w:sz w:val="22"/>
                <w:szCs w:val="22"/>
              </w:rPr>
              <w:t xml:space="preserve">Embeddings &amp; chunking, for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the OpenAI embeddings guide and skim the MTEB leaderboard.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Take 'LangChain: Chat with Your Data' (DeepLearning.AI).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Re-build Lab 1 with sentence-transformers (BGE or MiniLM) on your own documents.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compare your dense embedder vs the lab's TF-IDF on the same queries — note which misses each closes.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21D52" w:sz="12"/>
              <w:left w:val="single" w:color="E1D2DA" w:sz="4"/>
              <w:bottom w:val="single" w:color="E1D2DA" w:sz="4"/>
              <w:right w:val="single" w:color="E1D2DA" w:sz="4"/>
            </w:tcBorders>
            <w:shd w:fill="F6E9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A21D52"/>
                <w:spacing w:val="80"/>
                <w:sz w:val="18"/>
                <w:szCs w:val="18"/>
              </w:rPr>
              <w:t xml:space="preserve">WEEK 2</w:t>
            </w:r>
            <w:r>
              <w:t xml:space="preserve">    </w:t>
            </w:r>
            <w:r>
              <w:rPr>
                <w:b/>
                <w:bCs/>
                <w:color w:val="5C1A33"/>
                <w:sz w:val="22"/>
                <w:szCs w:val="22"/>
              </w:rPr>
              <w:t xml:space="preserve">Vector stores &amp; retrieval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the Chroma quickstart and the FAISS index-types guide.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Re-build Lab 2 with a real vector store; persist the index to disk.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Build a labelled query→document set for your corpus and measure hit@k and MRR.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tune chunk size AND embedding model; produce a small table showing what moved retrieval quality.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21D52" w:sz="12"/>
              <w:left w:val="single" w:color="E1D2DA" w:sz="4"/>
              <w:bottom w:val="single" w:color="E1D2DA" w:sz="4"/>
              <w:right w:val="single" w:color="E1D2DA" w:sz="4"/>
            </w:tcBorders>
            <w:shd w:fill="F6E9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A21D52"/>
                <w:spacing w:val="80"/>
                <w:sz w:val="18"/>
                <w:szCs w:val="18"/>
              </w:rPr>
              <w:t xml:space="preserve">WEEK 3</w:t>
            </w:r>
            <w:r>
              <w:t xml:space="preserve">    </w:t>
            </w:r>
            <w:r>
              <w:rPr>
                <w:b/>
                <w:bCs/>
                <w:color w:val="5C1A33"/>
                <w:sz w:val="22"/>
                <w:szCs w:val="22"/>
              </w:rPr>
              <w:t xml:space="preserve">Grounded generation &amp; evaluation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Take 'Building &amp; Evaluating Advanced RAG' (DeepLearning.AI).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Re-build Lab 3 with a real LLM and an explicit 'use only the context' prompt, returning citations.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Wire RAGAS: score faithfulness, answer relevancy, and context recall on your labelled 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report your RAG vs no-context faithfulness gap with real metrics, not token overlap.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21D52" w:sz="12"/>
              <w:left w:val="single" w:color="E1D2DA" w:sz="4"/>
              <w:bottom w:val="single" w:color="E1D2DA" w:sz="4"/>
              <w:right w:val="single" w:color="E1D2DA" w:sz="4"/>
            </w:tcBorders>
            <w:shd w:fill="F6E9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A21D52"/>
                <w:spacing w:val="80"/>
                <w:sz w:val="18"/>
                <w:szCs w:val="18"/>
              </w:rPr>
              <w:t xml:space="preserve">WEEK 4</w:t>
            </w:r>
            <w:r>
              <w:t xml:space="preserve">    </w:t>
            </w:r>
            <w:r>
              <w:rPr>
                <w:b/>
                <w:bCs/>
                <w:color w:val="5C1A33"/>
                <w:sz w:val="22"/>
                <w:szCs w:val="22"/>
              </w:rPr>
              <w:t xml:space="preserve">Advanced retrieval &amp; synthesis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Take 'Advanced Retrieval for AI with Chroma'; read the HyDE and ColBERT papers.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Add a re-ranker (Cohere Rerank or bge-reranker) on top of your retriever; re-measure.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Assemble the full pipeline as a LangChain/LangGraph RAG chain — the F3 'rag' node, productionised.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short design doc for a real use case — embedder, store, chunking, eval plan, and freshness strategy.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5C1A33"/>
        </w:rPr>
        <w:t xml:space="preserve">Closing note</w:t>
      </w:r>
    </w:p>
    <w:p>
      <w:pPr>
        <w:spacing w:after="120" w:line="300"/>
      </w:pPr>
      <w:r>
        <w:t xml:space="preserve">F4 grounds the model in your knowledge. The labs deliberately used pure-NumPy stand-ins so the pipeline was visible and reproducible; the reading above is how you make each stage production-grade — dense embeddings, a real vector store, an LLM generator, and proper evaluation. F5 (Fine-tuning) is the other lever: where RAG adds knowledge by updating documents, fine-tuning changes the model's behaviour. The strongest systems use both — retrieval for facts, fine-tuning for form. Pick F5 once the retrieval and evaluation items here feel comfortable.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5560"/>
        <w:sz w:val="16"/>
        <w:szCs w:val="16"/>
      </w:rPr>
      <w:t xml:space="preserve">Corporate AI Engineering Specialist Track</w:t>
    </w:r>
    <w:r>
      <w:rPr>
        <w:color w:val="6B5560"/>
        <w:sz w:val="16"/>
        <w:szCs w:val="16"/>
      </w:rPr>
      <w:t xml:space="preserve">	Page </w:t>
    </w:r>
    <w:r>
      <w:rPr>
        <w:color w:val="6B55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5560"/>
        <w:sz w:val="16"/>
        <w:szCs w:val="16"/>
      </w:rPr>
      <w:t xml:space="preserve"> of </w:t>
    </w:r>
    <w:r>
      <w:rPr>
        <w:color w:val="6B55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1A33" w:sz="4" w:space="4"/>
      </w:pBdr>
      <w:tabs>
        <w:tab w:val="right" w:pos="9360"/>
      </w:tabs>
      <w:spacing w:after="0"/>
    </w:pPr>
    <w:r>
      <w:rPr>
        <w:b/>
        <w:bCs/>
        <w:color w:val="5C1A33"/>
        <w:sz w:val="18"/>
        <w:szCs w:val="18"/>
      </w:rPr>
      <w:t xml:space="preserve">F4 · Retrieval-Augmented Generation</w:t>
    </w:r>
    <w:r>
      <w:rPr>
        <w:color w:val="6B5560"/>
        <w:sz w:val="18"/>
        <w:szCs w:val="18"/>
      </w:rPr>
      <w:t xml:space="preserve">	Study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C1A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A21D5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F4 Study Library</dc:title>
  <dc:creator>Corporate Training</dc:creator>
  <cp:lastModifiedBy>Un-named</cp:lastModifiedBy>
  <cp:revision>1</cp:revision>
  <dcterms:created xsi:type="dcterms:W3CDTF">2026-06-13T10:02:09.360Z</dcterms:created>
  <dcterms:modified xsi:type="dcterms:W3CDTF">2026-06-13T10:02:09.360Z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