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b/>
          <w:bCs/>
          <w:color w:val="0C2A33"/>
          <w:sz w:val="42"/>
          <w:szCs w:val="42"/>
        </w:rPr>
        <w:t xml:space="preserve">F6 + F7 — Study Library</w:t>
      </w:r>
    </w:p>
    <w:p>
      <w:pPr>
        <w:spacing w:after="160"/>
      </w:pPr>
      <w:r>
        <w:rPr>
          <w:color w:val="B71C1C"/>
          <w:sz w:val="22"/>
          <w:szCs w:val="22"/>
        </w:rPr>
        <w:t xml:space="preserve">Observability, Safety &amp; Guardrails · docs · papers · courses · tools</w:t>
      </w:r>
    </w:p>
    <w:p>
      <w:pPr>
        <w:spacing w:after="600"/>
      </w:pPr>
      <w:r>
        <w:rPr>
          <w:i/>
          <w:iCs/>
          <w:color w:val="566A70"/>
          <w:sz w:val="20"/>
          <w:szCs w:val="20"/>
        </w:rPr>
        <w:t xml:space="preserve">Every entry is annotated with a one-line WHY-READ so you can prioritise. Cyan = observe, red = defend; the safety entries are all defensive.</w:t>
      </w:r>
    </w:p>
    <w:p>
      <w:pPr>
        <w:pStyle w:val="Heading1"/>
        <w:spacing w:after="200" w:before="360"/>
      </w:pPr>
      <w:r>
        <w:rPr>
          <w:b/>
          <w:bCs/>
          <w:color w:val="0C2A33"/>
        </w:rPr>
        <w:t xml:space="preserve">How to use this library</w:t>
      </w:r>
    </w:p>
    <w:p>
      <w:pPr>
        <w:pStyle w:val="ListParagraph"/>
        <w:numPr>
          <w:ilvl w:val="0"/>
          <w:numId w:val="2"/>
        </w:numPr>
        <w:spacing w:after="90" w:line="280"/>
      </w:pPr>
      <w:r>
        <w:t xml:space="preserve">The 'Tier 1 — must read this month' items are your floor; everything else is depth-on-demand.</w:t>
      </w:r>
    </w:p>
    <w:p>
      <w:pPr>
        <w:pStyle w:val="ListParagraph"/>
        <w:numPr>
          <w:ilvl w:val="0"/>
          <w:numId w:val="2"/>
        </w:numPr>
        <w:spacing w:after="90" w:line="280"/>
      </w:pPr>
      <w:r>
        <w:t xml:space="preserve">This library merges the observability and safety stacks because in production they are one discipline. Prefer official docs and standards (OWASP, NIST, vendor docs) over blog posts for anything that must be current.</w:t>
      </w:r>
    </w:p>
    <w:p>
      <w:pPr>
        <w:pStyle w:val="ListParagraph"/>
        <w:numPr>
          <w:ilvl w:val="0"/>
          <w:numId w:val="2"/>
        </w:numPr>
        <w:spacing w:after="90" w:line="280"/>
      </w:pPr>
      <w:r>
        <w:t xml:space="preserve">The 4-week deepening plan at the end builds the full loop on a real app: tracing, an eval gate, input/output guards, drift monitoring, and a red-team harness.</w:t>
      </w:r>
    </w:p>
    <w:p>
      <w:pPr>
        <w:pStyle w:val="ListParagraph"/>
        <w:numPr>
          <w:ilvl w:val="0"/>
          <w:numId w:val="2"/>
        </w:numPr>
        <w:spacing w:after="90" w:line="280"/>
      </w:pPr>
      <w:r>
        <w:t xml:space="preserve">When a link 404s, search the title — these resources reorganise but persist.</w:t>
      </w:r>
    </w:p>
    <w:p>
      <w:r>
        <w:br w:type="page"/>
      </w:r>
    </w:p>
    <w:p>
      <w:pPr>
        <w:pStyle w:val="Heading1"/>
        <w:spacing w:after="200" w:before="360"/>
      </w:pPr>
      <w:r>
        <w:rPr>
          <w:b/>
          <w:bCs/>
          <w:color w:val="0C2A33"/>
        </w:rPr>
        <w:t xml:space="preserve">Observability — Tier 1 (read this month)</w:t>
      </w:r>
    </w:p>
    <w:p>
      <w:pPr>
        <w:pStyle w:val="Heading2"/>
        <w:spacing w:after="140" w:before="280"/>
      </w:pPr>
      <w:r>
        <w:rPr>
          <w:b/>
          <w:bCs/>
          <w:color w:val="0E7490"/>
        </w:rPr>
        <w:t xml:space="preserve">Tracing, evaluation &amp; drift</w:t>
      </w:r>
    </w:p>
    <w:p>
      <w:pPr>
        <w:pStyle w:val="ListParagraph"/>
        <w:numPr>
          <w:ilvl w:val="0"/>
          <w:numId w:val="2"/>
        </w:numPr>
        <w:spacing w:after="90" w:line="280"/>
      </w:pPr>
      <w:r>
        <w:rPr>
          <w:b/>
          <w:bCs/>
          <w:color w:val="243238"/>
        </w:rPr>
        <w:t xml:space="preserve">LangSmith — observability &amp; evaluation</w:t>
      </w:r>
      <w:r>
        <w:rPr>
          <w:color w:val="566A70"/>
          <w:sz w:val="20"/>
          <w:szCs w:val="20"/>
        </w:rPr>
        <w:t xml:space="preserve">  ·  docs.smith.langchain.com</w:t>
      </w:r>
      <w:r>
        <w:t xml:space="preserve">  </w:t>
      </w:r>
      <w:r>
        <w:rPr>
          <w:color w:val="0E7490"/>
          <w:sz w:val="20"/>
          <w:szCs w:val="20"/>
        </w:rPr>
        <w:t xml:space="preserve">docs.smith.langchain.com</w:t>
      </w:r>
      <w:r>
        <w:t xml:space="preserve">  </w:t>
      </w:r>
      <w:r>
        <w:rPr>
          <w:i/>
          <w:iCs/>
          <w:sz w:val="20"/>
          <w:szCs w:val="20"/>
        </w:rPr>
        <w:t xml:space="preserve">Traces, datasets, LLM-as-judge — the managed version of Labs 1 &amp; 2.</w:t>
      </w:r>
    </w:p>
    <w:p>
      <w:pPr>
        <w:pStyle w:val="ListParagraph"/>
        <w:numPr>
          <w:ilvl w:val="0"/>
          <w:numId w:val="2"/>
        </w:numPr>
        <w:spacing w:after="90" w:line="280"/>
      </w:pPr>
      <w:r>
        <w:rPr>
          <w:b/>
          <w:bCs/>
          <w:color w:val="243238"/>
        </w:rPr>
        <w:t xml:space="preserve">Langfuse — documentation</w:t>
      </w:r>
      <w:r>
        <w:rPr>
          <w:color w:val="566A70"/>
          <w:sz w:val="20"/>
          <w:szCs w:val="20"/>
        </w:rPr>
        <w:t xml:space="preserve">  ·  langfuse.com/docs</w:t>
      </w:r>
      <w:r>
        <w:t xml:space="preserve">  </w:t>
      </w:r>
      <w:r>
        <w:rPr>
          <w:color w:val="0E7490"/>
          <w:sz w:val="20"/>
          <w:szCs w:val="20"/>
        </w:rPr>
        <w:t xml:space="preserve">langfuse.com/docs</w:t>
      </w:r>
      <w:r>
        <w:t xml:space="preserve">  </w:t>
      </w:r>
      <w:r>
        <w:rPr>
          <w:i/>
          <w:iCs/>
          <w:sz w:val="20"/>
          <w:szCs w:val="20"/>
        </w:rPr>
        <w:t xml:space="preserve">Open-source, self-hostable traces, evals, and cost dashboards. The OSS path for the observe labs.</w:t>
      </w:r>
    </w:p>
    <w:p>
      <w:pPr>
        <w:pStyle w:val="ListParagraph"/>
        <w:numPr>
          <w:ilvl w:val="0"/>
          <w:numId w:val="2"/>
        </w:numPr>
        <w:spacing w:after="90" w:line="280"/>
      </w:pPr>
      <w:r>
        <w:rPr>
          <w:b/>
          <w:bCs/>
          <w:color w:val="243238"/>
        </w:rPr>
        <w:t xml:space="preserve">Arize Phoenix</w:t>
      </w:r>
      <w:r>
        <w:rPr>
          <w:color w:val="566A70"/>
          <w:sz w:val="20"/>
          <w:szCs w:val="20"/>
        </w:rPr>
        <w:t xml:space="preserve">  ·  docs.arize.com/phoenix</w:t>
      </w:r>
      <w:r>
        <w:t xml:space="preserve">  </w:t>
      </w:r>
      <w:r>
        <w:rPr>
          <w:color w:val="0E7490"/>
          <w:sz w:val="20"/>
          <w:szCs w:val="20"/>
        </w:rPr>
        <w:t xml:space="preserve">docs.arize.com/phoenix</w:t>
      </w:r>
      <w:r>
        <w:t xml:space="preserve">  </w:t>
      </w:r>
      <w:r>
        <w:rPr>
          <w:i/>
          <w:iCs/>
          <w:sz w:val="20"/>
          <w:szCs w:val="20"/>
        </w:rPr>
        <w:t xml:space="preserve">OpenTelemetry-based tracing plus eval and drift analysis — covers the observe labs in one OSS tool.</w:t>
      </w:r>
    </w:p>
    <w:p>
      <w:pPr>
        <w:pStyle w:val="ListParagraph"/>
        <w:numPr>
          <w:ilvl w:val="0"/>
          <w:numId w:val="2"/>
        </w:numPr>
        <w:spacing w:after="90" w:line="280"/>
      </w:pPr>
      <w:r>
        <w:rPr>
          <w:b/>
          <w:bCs/>
          <w:color w:val="243238"/>
        </w:rPr>
        <w:t xml:space="preserve">Evidently AI</w:t>
      </w:r>
      <w:r>
        <w:rPr>
          <w:color w:val="566A70"/>
          <w:sz w:val="20"/>
          <w:szCs w:val="20"/>
        </w:rPr>
        <w:t xml:space="preserve">  ·  docs.evidentlyai.com</w:t>
      </w:r>
      <w:r>
        <w:t xml:space="preserve">  </w:t>
      </w:r>
      <w:r>
        <w:rPr>
          <w:color w:val="0E7490"/>
          <w:sz w:val="20"/>
          <w:szCs w:val="20"/>
        </w:rPr>
        <w:t xml:space="preserve">docs.evidentlyai.com</w:t>
      </w:r>
      <w:r>
        <w:t xml:space="preserve">  </w:t>
      </w:r>
      <w:r>
        <w:rPr>
          <w:i/>
          <w:iCs/>
          <w:sz w:val="20"/>
          <w:szCs w:val="20"/>
        </w:rPr>
        <w:t xml:space="preserve">Open-source data &amp; ML monitoring: PSI/KS drift and quality dashboards — the production version of Lab 4's drift half.</w:t>
      </w:r>
    </w:p>
    <w:p>
      <w:pPr>
        <w:pStyle w:val="ListParagraph"/>
        <w:numPr>
          <w:ilvl w:val="0"/>
          <w:numId w:val="2"/>
        </w:numPr>
        <w:spacing w:after="90" w:line="280"/>
      </w:pPr>
      <w:r>
        <w:rPr>
          <w:b/>
          <w:bCs/>
          <w:color w:val="243238"/>
        </w:rPr>
        <w:t xml:space="preserve">Promptfoo</w:t>
      </w:r>
      <w:r>
        <w:rPr>
          <w:color w:val="566A70"/>
          <w:sz w:val="20"/>
          <w:szCs w:val="20"/>
        </w:rPr>
        <w:t xml:space="preserve">  ·  promptfoo.dev/docs</w:t>
      </w:r>
      <w:r>
        <w:t xml:space="preserve">  </w:t>
      </w:r>
      <w:r>
        <w:rPr>
          <w:color w:val="0E7490"/>
          <w:sz w:val="20"/>
          <w:szCs w:val="20"/>
        </w:rPr>
        <w:t xml:space="preserve">promptfoo.dev/docs</w:t>
      </w:r>
      <w:r>
        <w:t xml:space="preserve">  </w:t>
      </w:r>
      <w:r>
        <w:rPr>
          <w:i/>
          <w:iCs/>
          <w:sz w:val="20"/>
          <w:szCs w:val="20"/>
        </w:rPr>
        <w:t xml:space="preserve">Eval-as-CI: turn a golden set into a release gate, as Lab 2's slice-delta rule does.</w:t>
      </w:r>
    </w:p>
    <w:p>
      <w:pPr>
        <w:pStyle w:val="ListParagraph"/>
        <w:numPr>
          <w:ilvl w:val="0"/>
          <w:numId w:val="2"/>
        </w:numPr>
        <w:spacing w:after="90" w:line="280"/>
      </w:pPr>
      <w:r>
        <w:rPr>
          <w:b/>
          <w:bCs/>
          <w:color w:val="243238"/>
        </w:rPr>
        <w:t xml:space="preserve">OpenTelemetry — concepts</w:t>
      </w:r>
      <w:r>
        <w:rPr>
          <w:color w:val="566A70"/>
          <w:sz w:val="20"/>
          <w:szCs w:val="20"/>
        </w:rPr>
        <w:t xml:space="preserve">  ·  opentelemetry.io/docs</w:t>
      </w:r>
      <w:r>
        <w:t xml:space="preserve">  </w:t>
      </w:r>
      <w:r>
        <w:rPr>
          <w:color w:val="0E7490"/>
          <w:sz w:val="20"/>
          <w:szCs w:val="20"/>
        </w:rPr>
        <w:t xml:space="preserve">opentelemetry.io/docs/concepts/</w:t>
      </w:r>
      <w:r>
        <w:t xml:space="preserve">  </w:t>
      </w:r>
      <w:r>
        <w:rPr>
          <w:i/>
          <w:iCs/>
          <w:sz w:val="20"/>
          <w:szCs w:val="20"/>
        </w:rPr>
        <w:t xml:space="preserve">The vendor-neutral tracing standard under most LLM observability tools. Learn spans/traces once.</w:t>
      </w:r>
    </w:p>
    <w:p>
      <w:pPr>
        <w:pStyle w:val="Heading1"/>
        <w:spacing w:after="200" w:before="360"/>
      </w:pPr>
      <w:r>
        <w:rPr>
          <w:b/>
          <w:bCs/>
          <w:color w:val="0C2A33"/>
        </w:rPr>
        <w:t xml:space="preserve">Safety &amp; guardrails — Tier 1 (read this month)</w:t>
      </w:r>
    </w:p>
    <w:p>
      <w:pPr>
        <w:pStyle w:val="Heading2"/>
        <w:spacing w:after="140" w:before="280"/>
      </w:pPr>
      <w:r>
        <w:rPr>
          <w:b/>
          <w:bCs/>
          <w:color w:val="B71C1C"/>
        </w:rPr>
        <w:t xml:space="preserve">Standards &amp; frameworks</w:t>
      </w:r>
    </w:p>
    <w:p>
      <w:pPr>
        <w:pStyle w:val="ListParagraph"/>
        <w:numPr>
          <w:ilvl w:val="0"/>
          <w:numId w:val="2"/>
        </w:numPr>
        <w:spacing w:after="90" w:line="280"/>
      </w:pPr>
      <w:r>
        <w:rPr>
          <w:b/>
          <w:bCs/>
          <w:color w:val="243238"/>
        </w:rPr>
        <w:t xml:space="preserve">OWASP Top 10 for LLM Applications</w:t>
      </w:r>
      <w:r>
        <w:rPr>
          <w:color w:val="566A70"/>
          <w:sz w:val="20"/>
          <w:szCs w:val="20"/>
        </w:rPr>
        <w:t xml:space="preserve">  ·  owasp.org</w:t>
      </w:r>
      <w:r>
        <w:t xml:space="preserve">  </w:t>
      </w:r>
      <w:r>
        <w:rPr>
          <w:color w:val="0E7490"/>
          <w:sz w:val="20"/>
          <w:szCs w:val="20"/>
        </w:rPr>
        <w:t xml:space="preserve">owasp.org/www-project-top-10-for-large-language-model-applications/</w:t>
      </w:r>
      <w:r>
        <w:t xml:space="preserve">  </w:t>
      </w:r>
      <w:r>
        <w:rPr>
          <w:i/>
          <w:iCs/>
          <w:sz w:val="20"/>
          <w:szCs w:val="20"/>
        </w:rPr>
        <w:t xml:space="preserve">The canonical list of LLM risks — prompt injection, insecure output handling, data leakage. The field's shared language.</w:t>
      </w:r>
    </w:p>
    <w:p>
      <w:pPr>
        <w:pStyle w:val="ListParagraph"/>
        <w:numPr>
          <w:ilvl w:val="0"/>
          <w:numId w:val="2"/>
        </w:numPr>
        <w:spacing w:after="90" w:line="280"/>
      </w:pPr>
      <w:r>
        <w:rPr>
          <w:b/>
          <w:bCs/>
          <w:color w:val="243238"/>
        </w:rPr>
        <w:t xml:space="preserve">NIST AI Risk Management Framework</w:t>
      </w:r>
      <w:r>
        <w:rPr>
          <w:color w:val="566A70"/>
          <w:sz w:val="20"/>
          <w:szCs w:val="20"/>
        </w:rPr>
        <w:t xml:space="preserve">  ·  nist.gov</w:t>
      </w:r>
      <w:r>
        <w:t xml:space="preserve">  </w:t>
      </w:r>
      <w:r>
        <w:rPr>
          <w:color w:val="0E7490"/>
          <w:sz w:val="20"/>
          <w:szCs w:val="20"/>
        </w:rPr>
        <w:t xml:space="preserve">nist.gov/itl/ai-risk-management-framework</w:t>
      </w:r>
      <w:r>
        <w:t xml:space="preserve">  </w:t>
      </w:r>
      <w:r>
        <w:rPr>
          <w:i/>
          <w:iCs/>
          <w:sz w:val="20"/>
          <w:szCs w:val="20"/>
        </w:rPr>
        <w:t xml:space="preserve">The governance scaffolding auditors and enterprise risk teams expect you to map controls to.</w:t>
      </w:r>
    </w:p>
    <w:p>
      <w:pPr>
        <w:pStyle w:val="ListParagraph"/>
        <w:numPr>
          <w:ilvl w:val="0"/>
          <w:numId w:val="2"/>
        </w:numPr>
        <w:spacing w:after="90" w:line="280"/>
      </w:pPr>
      <w:r>
        <w:rPr>
          <w:b/>
          <w:bCs/>
          <w:color w:val="243238"/>
        </w:rPr>
        <w:t xml:space="preserve">MITRE ATLAS</w:t>
      </w:r>
      <w:r>
        <w:rPr>
          <w:color w:val="566A70"/>
          <w:sz w:val="20"/>
          <w:szCs w:val="20"/>
        </w:rPr>
        <w:t xml:space="preserve">  ·  atlas.mitre.org</w:t>
      </w:r>
      <w:r>
        <w:t xml:space="preserve">  </w:t>
      </w:r>
      <w:r>
        <w:rPr>
          <w:color w:val="0E7490"/>
          <w:sz w:val="20"/>
          <w:szCs w:val="20"/>
        </w:rPr>
        <w:t xml:space="preserve">atlas.mitre.org</w:t>
      </w:r>
      <w:r>
        <w:t xml:space="preserve">  </w:t>
      </w:r>
      <w:r>
        <w:rPr>
          <w:i/>
          <w:iCs/>
          <w:sz w:val="20"/>
          <w:szCs w:val="20"/>
        </w:rPr>
        <w:t xml:space="preserve">An adversarial-tactics knowledge base for ML — use it to structure the Lab 4 red-team suite.</w:t>
      </w:r>
    </w:p>
    <w:p>
      <w:pPr>
        <w:pStyle w:val="Heading2"/>
        <w:spacing w:after="140" w:before="280"/>
      </w:pPr>
      <w:r>
        <w:rPr>
          <w:b/>
          <w:bCs/>
          <w:color w:val="B71C1C"/>
        </w:rPr>
        <w:t xml:space="preserve">Guardrail tooling</w:t>
      </w:r>
    </w:p>
    <w:p>
      <w:pPr>
        <w:pStyle w:val="ListParagraph"/>
        <w:numPr>
          <w:ilvl w:val="0"/>
          <w:numId w:val="2"/>
        </w:numPr>
        <w:spacing w:after="90" w:line="280"/>
      </w:pPr>
      <w:r>
        <w:rPr>
          <w:b/>
          <w:bCs/>
          <w:color w:val="243238"/>
        </w:rPr>
        <w:t xml:space="preserve">Microsoft Presidio</w:t>
      </w:r>
      <w:r>
        <w:rPr>
          <w:color w:val="566A70"/>
          <w:sz w:val="20"/>
          <w:szCs w:val="20"/>
        </w:rPr>
        <w:t xml:space="preserve">  ·  microsoft.github.io/presidio</w:t>
      </w:r>
      <w:r>
        <w:t xml:space="preserve">  </w:t>
      </w:r>
      <w:r>
        <w:rPr>
          <w:color w:val="0E7490"/>
          <w:sz w:val="20"/>
          <w:szCs w:val="20"/>
        </w:rPr>
        <w:t xml:space="preserve">microsoft.github.io/presidio</w:t>
      </w:r>
      <w:r>
        <w:t xml:space="preserve">  </w:t>
      </w:r>
      <w:r>
        <w:rPr>
          <w:i/>
          <w:iCs/>
          <w:sz w:val="20"/>
          <w:szCs w:val="20"/>
        </w:rPr>
        <w:t xml:space="preserve">Production PII detection &amp; anonymisation — the real Lab 3 redactor, with NLP-backed entity detection.</w:t>
      </w:r>
    </w:p>
    <w:p>
      <w:pPr>
        <w:pStyle w:val="ListParagraph"/>
        <w:numPr>
          <w:ilvl w:val="0"/>
          <w:numId w:val="2"/>
        </w:numPr>
        <w:spacing w:after="90" w:line="280"/>
      </w:pPr>
      <w:r>
        <w:rPr>
          <w:b/>
          <w:bCs/>
          <w:color w:val="243238"/>
        </w:rPr>
        <w:t xml:space="preserve">Llama Guard / Prompt Guard (Meta)</w:t>
      </w:r>
      <w:r>
        <w:rPr>
          <w:color w:val="566A70"/>
          <w:sz w:val="20"/>
          <w:szCs w:val="20"/>
        </w:rPr>
        <w:t xml:space="preserve">  ·  huggingface.co/meta-llama</w:t>
      </w:r>
      <w:r>
        <w:t xml:space="preserve">  </w:t>
      </w:r>
      <w:r>
        <w:rPr>
          <w:color w:val="0E7490"/>
          <w:sz w:val="20"/>
          <w:szCs w:val="20"/>
        </w:rPr>
        <w:t xml:space="preserve">huggingface.co/meta-llama</w:t>
      </w:r>
      <w:r>
        <w:t xml:space="preserve">  </w:t>
      </w:r>
      <w:r>
        <w:rPr>
          <w:i/>
          <w:iCs/>
          <w:sz w:val="20"/>
          <w:szCs w:val="20"/>
        </w:rPr>
        <w:t xml:space="preserve">Open safety classifiers for input/output moderation and injection detection — the trained layer above Lab 3's signatures.</w:t>
      </w:r>
    </w:p>
    <w:p>
      <w:pPr>
        <w:pStyle w:val="ListParagraph"/>
        <w:numPr>
          <w:ilvl w:val="0"/>
          <w:numId w:val="2"/>
        </w:numPr>
        <w:spacing w:after="90" w:line="280"/>
      </w:pPr>
      <w:r>
        <w:rPr>
          <w:b/>
          <w:bCs/>
          <w:color w:val="243238"/>
        </w:rPr>
        <w:t xml:space="preserve">Guardrails AI / NeMo Guardrails</w:t>
      </w:r>
      <w:r>
        <w:rPr>
          <w:color w:val="566A70"/>
          <w:sz w:val="20"/>
          <w:szCs w:val="20"/>
        </w:rPr>
        <w:t xml:space="preserve">  ·  guardrailsai.com · docs.nvidia.com/nemo/guardrails</w:t>
      </w:r>
      <w:r>
        <w:t xml:space="preserve">  </w:t>
      </w:r>
      <w:r>
        <w:rPr>
          <w:color w:val="0E7490"/>
          <w:sz w:val="20"/>
          <w:szCs w:val="20"/>
        </w:rPr>
        <w:t xml:space="preserve">guardrailsai.com/docs</w:t>
      </w:r>
      <w:r>
        <w:t xml:space="preserve">  </w:t>
      </w:r>
      <w:r>
        <w:rPr>
          <w:i/>
          <w:iCs/>
          <w:sz w:val="20"/>
          <w:szCs w:val="20"/>
        </w:rPr>
        <w:t xml:space="preserve">Composable input/output validators and programmable rails — the Lab 3 guard as a real framework.</w:t>
      </w:r>
    </w:p>
    <w:p>
      <w:r>
        <w:br w:type="page"/>
      </w:r>
    </w:p>
    <w:p>
      <w:pPr>
        <w:pStyle w:val="Heading1"/>
        <w:spacing w:after="200" w:before="360"/>
      </w:pPr>
      <w:r>
        <w:rPr>
          <w:b/>
          <w:bCs/>
          <w:color w:val="0C2A33"/>
        </w:rPr>
        <w:t xml:space="preserve">Papers &amp; key research</w:t>
      </w:r>
    </w:p>
    <w:p>
      <w:pPr>
        <w:pStyle w:val="Heading2"/>
        <w:spacing w:after="140" w:before="280"/>
      </w:pPr>
      <w:r>
        <w:rPr>
          <w:b/>
          <w:bCs/>
          <w:color w:val="0E7490"/>
        </w:rPr>
        <w:t xml:space="preserve">Evaluation (observe)</w:t>
      </w:r>
    </w:p>
    <w:p>
      <w:pPr>
        <w:pStyle w:val="ListParagraph"/>
        <w:numPr>
          <w:ilvl w:val="0"/>
          <w:numId w:val="2"/>
        </w:numPr>
        <w:spacing w:after="90" w:line="280"/>
      </w:pPr>
      <w:r>
        <w:rPr>
          <w:b/>
          <w:bCs/>
          <w:color w:val="243238"/>
        </w:rPr>
        <w:t xml:space="preserve">Judging LLM-as-a-Judge with MT-Bench and Chatbot Arena</w:t>
      </w:r>
      <w:r>
        <w:rPr>
          <w:color w:val="566A70"/>
          <w:sz w:val="20"/>
          <w:szCs w:val="20"/>
        </w:rPr>
        <w:t xml:space="preserve">  ·  Zheng et al., NeurIPS 2023</w:t>
      </w:r>
      <w:r>
        <w:t xml:space="preserve">  </w:t>
      </w:r>
      <w:r>
        <w:rPr>
          <w:i/>
          <w:iCs/>
          <w:sz w:val="20"/>
          <w:szCs w:val="20"/>
        </w:rPr>
        <w:t xml:space="preserve">The reference work on LLM-as-judge and its biases (position, verbosity, self-preference). Read before trusting a judge.</w:t>
      </w:r>
    </w:p>
    <w:p>
      <w:pPr>
        <w:pStyle w:val="ListParagraph"/>
        <w:numPr>
          <w:ilvl w:val="0"/>
          <w:numId w:val="2"/>
        </w:numPr>
        <w:spacing w:after="90" w:line="280"/>
      </w:pPr>
      <w:r>
        <w:rPr>
          <w:b/>
          <w:bCs/>
          <w:color w:val="243238"/>
        </w:rPr>
        <w:t xml:space="preserve">G-Eval: NLG Evaluation using GPT-4 with Better Human Alignment</w:t>
      </w:r>
      <w:r>
        <w:rPr>
          <w:color w:val="566A70"/>
          <w:sz w:val="20"/>
          <w:szCs w:val="20"/>
        </w:rPr>
        <w:t xml:space="preserve">  ·  Liu et al., EMNLP 2023</w:t>
      </w:r>
      <w:r>
        <w:t xml:space="preserve">  </w:t>
      </w:r>
      <w:r>
        <w:rPr>
          <w:i/>
          <w:iCs/>
          <w:sz w:val="20"/>
          <w:szCs w:val="20"/>
        </w:rPr>
        <w:t xml:space="preserve">How to build a rubric-based judge that correlates with humans — the technique behind Lab 2's judge.</w:t>
      </w:r>
    </w:p>
    <w:p>
      <w:pPr>
        <w:pStyle w:val="Heading2"/>
        <w:spacing w:after="140" w:before="280"/>
      </w:pPr>
      <w:r>
        <w:rPr>
          <w:b/>
          <w:bCs/>
          <w:color w:val="B71C1C"/>
        </w:rPr>
        <w:t xml:space="preserve">Safety (defend)</w:t>
      </w:r>
    </w:p>
    <w:p>
      <w:pPr>
        <w:pStyle w:val="ListParagraph"/>
        <w:numPr>
          <w:ilvl w:val="0"/>
          <w:numId w:val="2"/>
        </w:numPr>
        <w:spacing w:after="90" w:line="280"/>
      </w:pPr>
      <w:r>
        <w:rPr>
          <w:b/>
          <w:bCs/>
          <w:color w:val="243238"/>
        </w:rPr>
        <w:t xml:space="preserve">Llama Guard: LLM-based Input-Output Safeguarding</w:t>
      </w:r>
      <w:r>
        <w:rPr>
          <w:color w:val="566A70"/>
          <w:sz w:val="20"/>
          <w:szCs w:val="20"/>
        </w:rPr>
        <w:t xml:space="preserve">  ·  Inan et al., Meta 2023</w:t>
      </w:r>
      <w:r>
        <w:t xml:space="preserve">  </w:t>
      </w:r>
      <w:r>
        <w:rPr>
          <w:i/>
          <w:iCs/>
          <w:sz w:val="20"/>
          <w:szCs w:val="20"/>
        </w:rPr>
        <w:t xml:space="preserve">How a model-based safety classifier is trained and used as an input/output guard — the upgrade from signatures.</w:t>
      </w:r>
    </w:p>
    <w:p>
      <w:pPr>
        <w:pStyle w:val="ListParagraph"/>
        <w:numPr>
          <w:ilvl w:val="0"/>
          <w:numId w:val="2"/>
        </w:numPr>
        <w:spacing w:after="90" w:line="280"/>
      </w:pPr>
      <w:r>
        <w:rPr>
          <w:b/>
          <w:bCs/>
          <w:color w:val="243238"/>
        </w:rPr>
        <w:t xml:space="preserve">Jailbroken: How Does LLM Safety Training Fail?</w:t>
      </w:r>
      <w:r>
        <w:rPr>
          <w:color w:val="566A70"/>
          <w:sz w:val="20"/>
          <w:szCs w:val="20"/>
        </w:rPr>
        <w:t xml:space="preserve">  ·  Wei et al., NeurIPS 2023</w:t>
      </w:r>
      <w:r>
        <w:t xml:space="preserve">  </w:t>
      </w:r>
      <w:r>
        <w:rPr>
          <w:i/>
          <w:iCs/>
          <w:sz w:val="20"/>
          <w:szCs w:val="20"/>
        </w:rPr>
        <w:t xml:space="preserve">A taxonomy of why jailbreaks work — sharpens the threat model behind Lab 4's evasion attacks.</w:t>
      </w:r>
    </w:p>
    <w:p>
      <w:pPr>
        <w:pStyle w:val="ListParagraph"/>
        <w:numPr>
          <w:ilvl w:val="0"/>
          <w:numId w:val="2"/>
        </w:numPr>
        <w:spacing w:after="90" w:line="280"/>
      </w:pPr>
      <w:r>
        <w:rPr>
          <w:b/>
          <w:bCs/>
          <w:color w:val="243238"/>
        </w:rPr>
        <w:t xml:space="preserve">Universal and Transferable Adversarial Attacks on Aligned LLMs</w:t>
      </w:r>
      <w:r>
        <w:rPr>
          <w:color w:val="566A70"/>
          <w:sz w:val="20"/>
          <w:szCs w:val="20"/>
        </w:rPr>
        <w:t xml:space="preserve">  ·  Zou et al., 2023</w:t>
      </w:r>
      <w:r>
        <w:t xml:space="preserve">  </w:t>
      </w:r>
      <w:r>
        <w:rPr>
          <w:i/>
          <w:iCs/>
          <w:sz w:val="20"/>
          <w:szCs w:val="20"/>
        </w:rPr>
        <w:t xml:space="preserve">Why surface-level filters fail and defence-in-depth is necessary — context for the evasion residual.</w:t>
      </w:r>
    </w:p>
    <w:p>
      <w:pPr>
        <w:pStyle w:val="ListParagraph"/>
        <w:numPr>
          <w:ilvl w:val="0"/>
          <w:numId w:val="2"/>
        </w:numPr>
        <w:spacing w:after="90" w:line="280"/>
      </w:pPr>
      <w:r>
        <w:rPr>
          <w:b/>
          <w:bCs/>
          <w:color w:val="243238"/>
        </w:rPr>
        <w:t xml:space="preserve">Population Stability Index — practitioner literature</w:t>
      </w:r>
      <w:r>
        <w:rPr>
          <w:color w:val="566A70"/>
          <w:sz w:val="20"/>
          <w:szCs w:val="20"/>
        </w:rPr>
        <w:t xml:space="preserve">  ·  MLOps / model-risk sources</w:t>
      </w:r>
      <w:r>
        <w:t xml:space="preserve">  </w:t>
      </w:r>
      <w:r>
        <w:rPr>
          <w:i/>
          <w:iCs/>
          <w:sz w:val="20"/>
          <w:szCs w:val="20"/>
        </w:rPr>
        <w:t xml:space="preserve">The PSI metric Lab 4 uses, with the standard &lt;0.1 / 0.1-0.25 / &gt;0.25 bands.</w:t>
      </w:r>
    </w:p>
    <w:p>
      <w:pPr>
        <w:pStyle w:val="Heading1"/>
        <w:spacing w:after="200" w:before="360"/>
      </w:pPr>
      <w:r>
        <w:rPr>
          <w:b/>
          <w:bCs/>
          <w:color w:val="0C2A33"/>
        </w:rPr>
        <w:t xml:space="preserve">Books &amp; long-form</w:t>
      </w:r>
    </w:p>
    <w:p>
      <w:pPr>
        <w:pStyle w:val="ListParagraph"/>
        <w:numPr>
          <w:ilvl w:val="0"/>
          <w:numId w:val="2"/>
        </w:numPr>
        <w:spacing w:after="90" w:line="280"/>
      </w:pPr>
      <w:r>
        <w:rPr>
          <w:b/>
          <w:bCs/>
          <w:color w:val="243238"/>
        </w:rPr>
        <w:t xml:space="preserve">AI Engineering: Building Applications with Foundation Models</w:t>
      </w:r>
      <w:r>
        <w:rPr>
          <w:color w:val="566A70"/>
          <w:sz w:val="20"/>
          <w:szCs w:val="20"/>
        </w:rPr>
        <w:t xml:space="preserve">  ·  Chip Huyen, O'Reilly 2025</w:t>
      </w:r>
      <w:r>
        <w:t xml:space="preserve">  </w:t>
      </w:r>
      <w:r>
        <w:rPr>
          <w:i/>
          <w:iCs/>
          <w:sz w:val="20"/>
          <w:szCs w:val="20"/>
        </w:rPr>
        <w:t xml:space="preserve">The clearest treatment of evaluation, observability, guardrails, and defensive design in print. The track's textbook.</w:t>
      </w:r>
    </w:p>
    <w:p>
      <w:pPr>
        <w:pStyle w:val="ListParagraph"/>
        <w:numPr>
          <w:ilvl w:val="0"/>
          <w:numId w:val="2"/>
        </w:numPr>
        <w:spacing w:after="90" w:line="280"/>
      </w:pPr>
      <w:r>
        <w:rPr>
          <w:b/>
          <w:bCs/>
          <w:color w:val="243238"/>
        </w:rPr>
        <w:t xml:space="preserve">The Developer's Playbook for Large Language Model Security</w:t>
      </w:r>
      <w:r>
        <w:rPr>
          <w:color w:val="566A70"/>
          <w:sz w:val="20"/>
          <w:szCs w:val="20"/>
        </w:rPr>
        <w:t xml:space="preserve">  ·  Steve Wilson, O'Reilly 2024</w:t>
      </w:r>
      <w:r>
        <w:t xml:space="preserve">  </w:t>
      </w:r>
      <w:r>
        <w:rPr>
          <w:i/>
          <w:iCs/>
          <w:sz w:val="20"/>
          <w:szCs w:val="20"/>
        </w:rPr>
        <w:t xml:space="preserve">Written around the OWASP LLM Top 10 by its lead — the most direct book match for the safety half.</w:t>
      </w:r>
    </w:p>
    <w:p>
      <w:pPr>
        <w:pStyle w:val="ListParagraph"/>
        <w:numPr>
          <w:ilvl w:val="0"/>
          <w:numId w:val="2"/>
        </w:numPr>
        <w:spacing w:after="90" w:line="280"/>
      </w:pPr>
      <w:r>
        <w:rPr>
          <w:b/>
          <w:bCs/>
          <w:color w:val="243238"/>
        </w:rPr>
        <w:t xml:space="preserve">Designing Machine Learning Systems</w:t>
      </w:r>
      <w:r>
        <w:rPr>
          <w:color w:val="566A70"/>
          <w:sz w:val="20"/>
          <w:szCs w:val="20"/>
        </w:rPr>
        <w:t xml:space="preserve">  ·  Chip Huyen, O'Reilly 2022</w:t>
      </w:r>
      <w:r>
        <w:t xml:space="preserve">  </w:t>
      </w:r>
      <w:r>
        <w:rPr>
          <w:i/>
          <w:iCs/>
          <w:sz w:val="20"/>
          <w:szCs w:val="20"/>
        </w:rPr>
        <w:t xml:space="preserve">Monitoring, data-distribution-shift, and reliability discipline — the foundation Lab 4's drift half builds on.</w:t>
      </w:r>
    </w:p>
    <w:p>
      <w:pPr>
        <w:pStyle w:val="ListParagraph"/>
        <w:numPr>
          <w:ilvl w:val="0"/>
          <w:numId w:val="2"/>
        </w:numPr>
        <w:spacing w:after="90" w:line="280"/>
      </w:pPr>
      <w:r>
        <w:rPr>
          <w:b/>
          <w:bCs/>
          <w:color w:val="243238"/>
        </w:rPr>
        <w:t xml:space="preserve">Observability Engineering</w:t>
      </w:r>
      <w:r>
        <w:rPr>
          <w:color w:val="566A70"/>
          <w:sz w:val="20"/>
          <w:szCs w:val="20"/>
        </w:rPr>
        <w:t xml:space="preserve">  ·  Majors, Fong-Jones, Miranda, O'Reilly 2022</w:t>
      </w:r>
      <w:r>
        <w:t xml:space="preserve">  </w:t>
      </w:r>
      <w:r>
        <w:rPr>
          <w:i/>
          <w:iCs/>
          <w:sz w:val="20"/>
          <w:szCs w:val="20"/>
        </w:rPr>
        <w:t xml:space="preserve">The general observability discipline (traces, the three pillars) that LLM observability extends.</w:t>
      </w:r>
    </w:p>
    <w:p>
      <w:r>
        <w:br w:type="page"/>
      </w:r>
    </w:p>
    <w:p>
      <w:pPr>
        <w:pStyle w:val="Heading1"/>
        <w:spacing w:after="200" w:before="360"/>
      </w:pPr>
      <w:r>
        <w:rPr>
          <w:b/>
          <w:bCs/>
          <w:color w:val="0C2A33"/>
        </w:rPr>
        <w:t xml:space="preserve">Courses &amp; interactive learning</w:t>
      </w:r>
    </w:p>
    <w:p>
      <w:pPr>
        <w:pStyle w:val="ListParagraph"/>
        <w:numPr>
          <w:ilvl w:val="0"/>
          <w:numId w:val="2"/>
        </w:numPr>
        <w:spacing w:after="90" w:line="280"/>
      </w:pPr>
      <w:r>
        <w:rPr>
          <w:b/>
          <w:bCs/>
          <w:color w:val="243238"/>
        </w:rPr>
        <w:t xml:space="preserve">Evaluating and Debugging Generative AI</w:t>
      </w:r>
      <w:r>
        <w:rPr>
          <w:color w:val="566A70"/>
          <w:sz w:val="20"/>
          <w:szCs w:val="20"/>
        </w:rPr>
        <w:t xml:space="preserve">  ·  DeepLearning.AI × Weights &amp; Biases</w:t>
      </w:r>
      <w:r>
        <w:t xml:space="preserve">  </w:t>
      </w:r>
      <w:r>
        <w:rPr>
          <w:color w:val="0E7490"/>
          <w:sz w:val="20"/>
          <w:szCs w:val="20"/>
        </w:rPr>
        <w:t xml:space="preserve">learn.deeplearning.ai</w:t>
      </w:r>
      <w:r>
        <w:t xml:space="preserve">  </w:t>
      </w:r>
      <w:r>
        <w:rPr>
          <w:i/>
          <w:iCs/>
          <w:sz w:val="20"/>
          <w:szCs w:val="20"/>
        </w:rPr>
        <w:t xml:space="preserve">Hands-on tracing and evaluation — closest match to Labs 1 &amp; 2.</w:t>
      </w:r>
    </w:p>
    <w:p>
      <w:pPr>
        <w:pStyle w:val="ListParagraph"/>
        <w:numPr>
          <w:ilvl w:val="0"/>
          <w:numId w:val="2"/>
        </w:numPr>
        <w:spacing w:after="90" w:line="280"/>
      </w:pPr>
      <w:r>
        <w:rPr>
          <w:b/>
          <w:bCs/>
          <w:color w:val="243238"/>
        </w:rPr>
        <w:t xml:space="preserve">Quality and Safety for LLM Applications</w:t>
      </w:r>
      <w:r>
        <w:rPr>
          <w:color w:val="566A70"/>
          <w:sz w:val="20"/>
          <w:szCs w:val="20"/>
        </w:rPr>
        <w:t xml:space="preserve">  ·  DeepLearning.AI × WhyLabs</w:t>
      </w:r>
      <w:r>
        <w:t xml:space="preserve">  </w:t>
      </w:r>
      <w:r>
        <w:rPr>
          <w:color w:val="0E7490"/>
          <w:sz w:val="20"/>
          <w:szCs w:val="20"/>
        </w:rPr>
        <w:t xml:space="preserve">learn.deeplearning.ai</w:t>
      </w:r>
      <w:r>
        <w:t xml:space="preserve">  </w:t>
      </w:r>
      <w:r>
        <w:rPr>
          <w:i/>
          <w:iCs/>
          <w:sz w:val="20"/>
          <w:szCs w:val="20"/>
        </w:rPr>
        <w:t xml:space="preserve">PII, toxicity, jailbreak and injection monitoring — spans Labs 3 &amp; 4.</w:t>
      </w:r>
    </w:p>
    <w:p>
      <w:pPr>
        <w:pStyle w:val="ListParagraph"/>
        <w:numPr>
          <w:ilvl w:val="0"/>
          <w:numId w:val="2"/>
        </w:numPr>
        <w:spacing w:after="90" w:line="280"/>
      </w:pPr>
      <w:r>
        <w:rPr>
          <w:b/>
          <w:bCs/>
          <w:color w:val="243238"/>
        </w:rPr>
        <w:t xml:space="preserve">Red Teaming LLM Applications</w:t>
      </w:r>
      <w:r>
        <w:rPr>
          <w:color w:val="566A70"/>
          <w:sz w:val="20"/>
          <w:szCs w:val="20"/>
        </w:rPr>
        <w:t xml:space="preserve">  ·  DeepLearning.AI × Giskard</w:t>
      </w:r>
      <w:r>
        <w:t xml:space="preserve">  </w:t>
      </w:r>
      <w:r>
        <w:rPr>
          <w:color w:val="0E7490"/>
          <w:sz w:val="20"/>
          <w:szCs w:val="20"/>
        </w:rPr>
        <w:t xml:space="preserve">learn.deeplearning.ai</w:t>
      </w:r>
      <w:r>
        <w:t xml:space="preserve">  </w:t>
      </w:r>
      <w:r>
        <w:rPr>
          <w:i/>
          <w:iCs/>
          <w:sz w:val="20"/>
          <w:szCs w:val="20"/>
        </w:rPr>
        <w:t xml:space="preserve">Hands-on adversarial testing — the closest match to Lab 4's red-team half.</w:t>
      </w:r>
    </w:p>
    <w:p>
      <w:pPr>
        <w:pStyle w:val="ListParagraph"/>
        <w:numPr>
          <w:ilvl w:val="0"/>
          <w:numId w:val="2"/>
        </w:numPr>
        <w:spacing w:after="90" w:line="280"/>
      </w:pPr>
      <w:r>
        <w:rPr>
          <w:b/>
          <w:bCs/>
          <w:color w:val="243238"/>
        </w:rPr>
        <w:t xml:space="preserve">Automated Testing for LLMOps</w:t>
      </w:r>
      <w:r>
        <w:rPr>
          <w:color w:val="566A70"/>
          <w:sz w:val="20"/>
          <w:szCs w:val="20"/>
        </w:rPr>
        <w:t xml:space="preserve">  ·  DeepLearning.AI × CircleCI</w:t>
      </w:r>
      <w:r>
        <w:t xml:space="preserve">  </w:t>
      </w:r>
      <w:r>
        <w:rPr>
          <w:color w:val="0E7490"/>
          <w:sz w:val="20"/>
          <w:szCs w:val="20"/>
        </w:rPr>
        <w:t xml:space="preserve">learn.deeplearning.ai</w:t>
      </w:r>
      <w:r>
        <w:t xml:space="preserve">  </w:t>
      </w:r>
      <w:r>
        <w:rPr>
          <w:i/>
          <w:iCs/>
          <w:sz w:val="20"/>
          <w:szCs w:val="20"/>
        </w:rPr>
        <w:t xml:space="preserve">Eval-as-CI: gating LLM releases automatically — the release-gate framing from Lab 2.</w:t>
      </w:r>
    </w:p>
    <w:p>
      <w:pPr>
        <w:pStyle w:val="Heading1"/>
        <w:spacing w:after="200" w:before="360"/>
      </w:pPr>
      <w:r>
        <w:rPr>
          <w:b/>
          <w:bCs/>
          <w:color w:val="0C2A33"/>
        </w:rPr>
        <w:t xml:space="preserve">Tools &amp; libraries</w:t>
      </w:r>
    </w:p>
    <w:p>
      <w:pPr>
        <w:pStyle w:val="Heading2"/>
        <w:spacing w:after="140" w:before="280"/>
      </w:pPr>
      <w:r>
        <w:rPr>
          <w:b/>
          <w:bCs/>
          <w:color w:val="0E7490"/>
        </w:rPr>
        <w:t xml:space="preserve">Observe</w:t>
      </w:r>
    </w:p>
    <w:p>
      <w:pPr>
        <w:pStyle w:val="ListParagraph"/>
        <w:numPr>
          <w:ilvl w:val="0"/>
          <w:numId w:val="2"/>
        </w:numPr>
        <w:spacing w:after="90" w:line="280"/>
      </w:pPr>
      <w:r>
        <w:rPr>
          <w:b/>
          <w:bCs/>
          <w:color w:val="243238"/>
        </w:rPr>
        <w:t xml:space="preserve">Langfuse / LangSmith</w:t>
      </w:r>
      <w:r>
        <w:rPr>
          <w:color w:val="566A70"/>
          <w:sz w:val="20"/>
          <w:szCs w:val="20"/>
        </w:rPr>
        <w:t xml:space="preserve">  ·  tracing + evals</w:t>
      </w:r>
      <w:r>
        <w:t xml:space="preserve">  </w:t>
      </w:r>
      <w:r>
        <w:rPr>
          <w:color w:val="0E7490"/>
          <w:sz w:val="20"/>
          <w:szCs w:val="20"/>
        </w:rPr>
        <w:t xml:space="preserve">github.com/langfuse/langfuse</w:t>
      </w:r>
      <w:r>
        <w:t xml:space="preserve">  </w:t>
      </w:r>
      <w:r>
        <w:rPr>
          <w:i/>
          <w:iCs/>
          <w:sz w:val="20"/>
          <w:szCs w:val="20"/>
        </w:rPr>
        <w:t xml:space="preserve">Traces, datasets, LLM-as-judge, cost dashboards. Start here for Labs 1 &amp; 2.</w:t>
      </w:r>
    </w:p>
    <w:p>
      <w:pPr>
        <w:pStyle w:val="ListParagraph"/>
        <w:numPr>
          <w:ilvl w:val="0"/>
          <w:numId w:val="2"/>
        </w:numPr>
        <w:spacing w:after="90" w:line="280"/>
      </w:pPr>
      <w:r>
        <w:rPr>
          <w:b/>
          <w:bCs/>
          <w:color w:val="243238"/>
        </w:rPr>
        <w:t xml:space="preserve">Arize Phoenix / Evidently</w:t>
      </w:r>
      <w:r>
        <w:rPr>
          <w:color w:val="566A70"/>
          <w:sz w:val="20"/>
          <w:szCs w:val="20"/>
        </w:rPr>
        <w:t xml:space="preserve">  ·  drift &amp; quality</w:t>
      </w:r>
      <w:r>
        <w:t xml:space="preserve">  </w:t>
      </w:r>
      <w:r>
        <w:rPr>
          <w:color w:val="0E7490"/>
          <w:sz w:val="20"/>
          <w:szCs w:val="20"/>
        </w:rPr>
        <w:t xml:space="preserve">github.com/Arize-ai/phoenix</w:t>
      </w:r>
      <w:r>
        <w:t xml:space="preserve">  </w:t>
      </w:r>
      <w:r>
        <w:rPr>
          <w:i/>
          <w:iCs/>
          <w:sz w:val="20"/>
          <w:szCs w:val="20"/>
        </w:rPr>
        <w:t xml:space="preserve">Tracing, eval, and PSI/KS drift monitoring — the Lab 4 drift half at scale.</w:t>
      </w:r>
    </w:p>
    <w:p>
      <w:pPr>
        <w:pStyle w:val="ListParagraph"/>
        <w:numPr>
          <w:ilvl w:val="0"/>
          <w:numId w:val="2"/>
        </w:numPr>
        <w:spacing w:after="90" w:line="280"/>
      </w:pPr>
      <w:r>
        <w:rPr>
          <w:b/>
          <w:bCs/>
          <w:color w:val="243238"/>
        </w:rPr>
        <w:t xml:space="preserve">Promptfoo</w:t>
      </w:r>
      <w:r>
        <w:rPr>
          <w:color w:val="566A70"/>
          <w:sz w:val="20"/>
          <w:szCs w:val="20"/>
        </w:rPr>
        <w:t xml:space="preserve">  ·  eval-as-CI</w:t>
      </w:r>
      <w:r>
        <w:t xml:space="preserve">  </w:t>
      </w:r>
      <w:r>
        <w:rPr>
          <w:color w:val="0E7490"/>
          <w:sz w:val="20"/>
          <w:szCs w:val="20"/>
        </w:rPr>
        <w:t xml:space="preserve">github.com/promptfoo/promptfoo</w:t>
      </w:r>
      <w:r>
        <w:t xml:space="preserve">  </w:t>
      </w:r>
      <w:r>
        <w:rPr>
          <w:i/>
          <w:iCs/>
          <w:sz w:val="20"/>
          <w:szCs w:val="20"/>
        </w:rPr>
        <w:t xml:space="preserve">Declarative golden-set evals as a CI release gate.</w:t>
      </w:r>
    </w:p>
    <w:p>
      <w:pPr>
        <w:pStyle w:val="Heading2"/>
        <w:spacing w:after="140" w:before="280"/>
      </w:pPr>
      <w:r>
        <w:rPr>
          <w:b/>
          <w:bCs/>
          <w:color w:val="B71C1C"/>
        </w:rPr>
        <w:t xml:space="preserve">Defend</w:t>
      </w:r>
    </w:p>
    <w:p>
      <w:pPr>
        <w:pStyle w:val="ListParagraph"/>
        <w:numPr>
          <w:ilvl w:val="0"/>
          <w:numId w:val="2"/>
        </w:numPr>
        <w:spacing w:after="90" w:line="280"/>
      </w:pPr>
      <w:r>
        <w:rPr>
          <w:b/>
          <w:bCs/>
          <w:color w:val="243238"/>
        </w:rPr>
        <w:t xml:space="preserve">Presidio</w:t>
      </w:r>
      <w:r>
        <w:rPr>
          <w:color w:val="566A70"/>
          <w:sz w:val="20"/>
          <w:szCs w:val="20"/>
        </w:rPr>
        <w:t xml:space="preserve">  ·  PII detection &amp; redaction</w:t>
      </w:r>
      <w:r>
        <w:t xml:space="preserve">  </w:t>
      </w:r>
      <w:r>
        <w:rPr>
          <w:color w:val="0E7490"/>
          <w:sz w:val="20"/>
          <w:szCs w:val="20"/>
        </w:rPr>
        <w:t xml:space="preserve">github.com/microsoft/presidio</w:t>
      </w:r>
      <w:r>
        <w:t xml:space="preserve">  </w:t>
      </w:r>
      <w:r>
        <w:rPr>
          <w:i/>
          <w:iCs/>
          <w:sz w:val="20"/>
          <w:szCs w:val="20"/>
        </w:rPr>
        <w:t xml:space="preserve">Production PII recognisers and anonymizers — the real Lab 3 redactor.</w:t>
      </w:r>
    </w:p>
    <w:p>
      <w:pPr>
        <w:pStyle w:val="ListParagraph"/>
        <w:numPr>
          <w:ilvl w:val="0"/>
          <w:numId w:val="2"/>
        </w:numPr>
        <w:spacing w:after="90" w:line="280"/>
      </w:pPr>
      <w:r>
        <w:rPr>
          <w:b/>
          <w:bCs/>
          <w:color w:val="243238"/>
        </w:rPr>
        <w:t xml:space="preserve">Guardrails AI / NeMo Guardrails</w:t>
      </w:r>
      <w:r>
        <w:rPr>
          <w:color w:val="566A70"/>
          <w:sz w:val="20"/>
          <w:szCs w:val="20"/>
        </w:rPr>
        <w:t xml:space="preserve">  ·  input/output rails</w:t>
      </w:r>
      <w:r>
        <w:t xml:space="preserve">  </w:t>
      </w:r>
      <w:r>
        <w:rPr>
          <w:color w:val="0E7490"/>
          <w:sz w:val="20"/>
          <w:szCs w:val="20"/>
        </w:rPr>
        <w:t xml:space="preserve">github.com/guardrails-ai/guardrails</w:t>
      </w:r>
      <w:r>
        <w:t xml:space="preserve">  </w:t>
      </w:r>
      <w:r>
        <w:rPr>
          <w:i/>
          <w:iCs/>
          <w:sz w:val="20"/>
          <w:szCs w:val="20"/>
        </w:rPr>
        <w:t xml:space="preserve">Composable validators with auto-repair, and programmable rails.</w:t>
      </w:r>
    </w:p>
    <w:p>
      <w:pPr>
        <w:pStyle w:val="ListParagraph"/>
        <w:numPr>
          <w:ilvl w:val="0"/>
          <w:numId w:val="2"/>
        </w:numPr>
        <w:spacing w:after="90" w:line="280"/>
      </w:pPr>
      <w:r>
        <w:rPr>
          <w:b/>
          <w:bCs/>
          <w:color w:val="243238"/>
        </w:rPr>
        <w:t xml:space="preserve">garak / PyRIT</w:t>
      </w:r>
      <w:r>
        <w:rPr>
          <w:color w:val="566A70"/>
          <w:sz w:val="20"/>
          <w:szCs w:val="20"/>
        </w:rPr>
        <w:t xml:space="preserve">  ·  automated red-teaming</w:t>
      </w:r>
      <w:r>
        <w:t xml:space="preserve">  </w:t>
      </w:r>
      <w:r>
        <w:rPr>
          <w:color w:val="0E7490"/>
          <w:sz w:val="20"/>
          <w:szCs w:val="20"/>
        </w:rPr>
        <w:t xml:space="preserve">github.com/NVIDIA/garak</w:t>
      </w:r>
      <w:r>
        <w:t xml:space="preserve">  </w:t>
      </w:r>
      <w:r>
        <w:rPr>
          <w:i/>
          <w:iCs/>
          <w:sz w:val="20"/>
          <w:szCs w:val="20"/>
        </w:rPr>
        <w:t xml:space="preserve">Vulnerability scanners / red-team frameworks — turn Lab 4's manual suite into a continuous scan.</w:t>
      </w:r>
    </w:p>
    <w:p>
      <w:r>
        <w:br w:type="page"/>
      </w:r>
    </w:p>
    <w:p>
      <w:pPr>
        <w:pStyle w:val="Heading1"/>
        <w:spacing w:after="200" w:before="360"/>
      </w:pPr>
      <w:r>
        <w:rPr>
          <w:b/>
          <w:bCs/>
          <w:color w:val="0C2A33"/>
        </w:rPr>
        <w:t xml:space="preserve">Suggested 4-week deepening plan</w:t>
      </w:r>
    </w:p>
    <w:p>
      <w:pPr>
        <w:spacing w:after="120" w:line="300"/>
      </w:pPr>
      <w:r>
        <w:rPr>
          <w:i/>
          <w:iCs/>
          <w:color w:val="566A70"/>
        </w:rPr>
        <w:t xml:space="preserve">Designed for ~6–8 hrs/week. Build the full loop on one real app — observe it and defend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CFE0E3" w:sz="4"/>
              <w:bottom w:val="single" w:color="CFE0E3" w:sz="4"/>
              <w:right w:val="single" w:color="CFE0E3" w:sz="4"/>
            </w:tcBorders>
            <w:shd w:fill="E9F3F5" w:val="clear"/>
            <w:tcMar>
              <w:top w:type="dxa" w:w="160"/>
              <w:left w:type="dxa" w:w="200"/>
              <w:bottom w:type="dxa" w:w="160"/>
              <w:right w:type="dxa" w:w="200"/>
            </w:tcMar>
          </w:tcPr>
          <w:p>
            <w:r>
              <w:rPr>
                <w:b/>
                <w:bCs/>
                <w:color w:val="0E7490"/>
                <w:spacing w:val="80"/>
                <w:sz w:val="18"/>
                <w:szCs w:val="18"/>
              </w:rPr>
              <w:t xml:space="preserve">WEEK 1</w:t>
            </w:r>
            <w:r>
              <w:t xml:space="preserve">    </w:t>
            </w:r>
            <w:r>
              <w:rPr>
                <w:b/>
                <w:bCs/>
                <w:color w:val="0C2A33"/>
                <w:sz w:val="22"/>
                <w:szCs w:val="22"/>
              </w:rPr>
              <w:t xml:space="preserve">Observe — trace &amp; evaluate</w:t>
            </w:r>
          </w:p>
          <w:p>
            <w:pPr>
              <w:pStyle w:val="ListParagraph"/>
              <w:numPr>
                <w:ilvl w:val="0"/>
                <w:numId w:val="2"/>
              </w:numPr>
              <w:spacing w:after="60" w:line="280"/>
            </w:pPr>
            <w:r>
              <w:t xml:space="preserve">Read the LangSmith/Langfuse tracing docs and the OpenTelemetry concepts page; take 'Evaluating and Debugging Generative AI'.</w:t>
            </w:r>
          </w:p>
          <w:p>
            <w:pPr>
              <w:pStyle w:val="ListParagraph"/>
              <w:numPr>
                <w:ilvl w:val="0"/>
                <w:numId w:val="2"/>
              </w:numPr>
              <w:spacing w:after="60" w:line="280"/>
            </w:pPr>
            <w:r>
              <w:t xml:space="preserve">Instrument one real LLM app: a structured trace per request (latency, tokens, cost, status).</w:t>
            </w:r>
          </w:p>
          <w:p>
            <w:pPr>
              <w:pStyle w:val="ListParagraph"/>
              <w:numPr>
                <w:ilvl w:val="0"/>
                <w:numId w:val="2"/>
              </w:numPr>
              <w:spacing w:after="60" w:line="280"/>
            </w:pPr>
            <w:r>
              <w:t xml:space="preserve">Curate a golden set and wire an LLM-as-judge eval, scored per slice.</w:t>
            </w:r>
          </w:p>
          <w:p>
            <w:pPr>
              <w:pStyle w:val="ListParagraph"/>
              <w:numPr>
                <w:ilvl w:val="0"/>
                <w:numId w:val="2"/>
              </w:numPr>
              <w:spacing w:after="60" w:line="280"/>
            </w:pPr>
            <w:r>
              <w:t xml:space="preserve">Action: a dashboard with p50/p95/p99 + cost by model, and an A/B eval that would block a slice regression.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CFE0E3" w:sz="4"/>
              <w:bottom w:val="single" w:color="CFE0E3" w:sz="4"/>
              <w:right w:val="single" w:color="CFE0E3" w:sz="4"/>
            </w:tcBorders>
            <w:shd w:fill="E9F3F5" w:val="clear"/>
            <w:tcMar>
              <w:top w:type="dxa" w:w="160"/>
              <w:left w:type="dxa" w:w="200"/>
              <w:bottom w:type="dxa" w:w="160"/>
              <w:right w:type="dxa" w:w="200"/>
            </w:tcMar>
          </w:tcPr>
          <w:p>
            <w:r>
              <w:rPr>
                <w:b/>
                <w:bCs/>
                <w:color w:val="0E7490"/>
                <w:spacing w:val="80"/>
                <w:sz w:val="18"/>
                <w:szCs w:val="18"/>
              </w:rPr>
              <w:t xml:space="preserve">WEEK 2</w:t>
            </w:r>
            <w:r>
              <w:t xml:space="preserve">    </w:t>
            </w:r>
            <w:r>
              <w:rPr>
                <w:b/>
                <w:bCs/>
                <w:color w:val="0C2A33"/>
                <w:sz w:val="22"/>
                <w:szCs w:val="22"/>
              </w:rPr>
              <w:t xml:space="preserve">Defend — input &amp; output guards</w:t>
            </w:r>
          </w:p>
          <w:p>
            <w:pPr>
              <w:pStyle w:val="ListParagraph"/>
              <w:numPr>
                <w:ilvl w:val="0"/>
                <w:numId w:val="2"/>
              </w:numPr>
              <w:spacing w:after="60" w:line="280"/>
            </w:pPr>
            <w:r>
              <w:t xml:space="preserve">Read the OWASP LLM Top 10, the Presidio docs, and the Guardrails AI / NeMo docs.</w:t>
            </w:r>
          </w:p>
          <w:p>
            <w:pPr>
              <w:pStyle w:val="ListParagraph"/>
              <w:numPr>
                <w:ilvl w:val="0"/>
                <w:numId w:val="2"/>
              </w:numPr>
              <w:spacing w:after="60" w:line="280"/>
            </w:pPr>
            <w:r>
              <w:t xml:space="preserve">Add an input guard: Presidio PII redaction + an injection classifier (Prompt Guard) above signatures.</w:t>
            </w:r>
          </w:p>
          <w:p>
            <w:pPr>
              <w:pStyle w:val="ListParagraph"/>
              <w:numPr>
                <w:ilvl w:val="0"/>
                <w:numId w:val="2"/>
              </w:numPr>
              <w:spacing w:after="60" w:line="280"/>
            </w:pPr>
            <w:r>
              <w:t xml:space="preserve">Add an output guard: schema, groundedness, PII-leak, and unsafe-content validators that allow/redact/block/escalate.</w:t>
            </w:r>
          </w:p>
          <w:p>
            <w:pPr>
              <w:pStyle w:val="ListParagraph"/>
              <w:numPr>
                <w:ilvl w:val="0"/>
                <w:numId w:val="2"/>
              </w:numPr>
              <w:spacing w:after="60" w:line="280"/>
            </w:pPr>
            <w:r>
              <w:t xml:space="preserve">Action: a guarded app that redacts PII both ways and routes every output through the four-action gate.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CFE0E3" w:sz="4"/>
              <w:bottom w:val="single" w:color="CFE0E3" w:sz="4"/>
              <w:right w:val="single" w:color="CFE0E3" w:sz="4"/>
            </w:tcBorders>
            <w:shd w:fill="E9F3F5" w:val="clear"/>
            <w:tcMar>
              <w:top w:type="dxa" w:w="160"/>
              <w:left w:type="dxa" w:w="200"/>
              <w:bottom w:type="dxa" w:w="160"/>
              <w:right w:type="dxa" w:w="200"/>
            </w:tcMar>
          </w:tcPr>
          <w:p>
            <w:r>
              <w:rPr>
                <w:b/>
                <w:bCs/>
                <w:color w:val="0E7490"/>
                <w:spacing w:val="80"/>
                <w:sz w:val="18"/>
                <w:szCs w:val="18"/>
              </w:rPr>
              <w:t xml:space="preserve">WEEK 3</w:t>
            </w:r>
            <w:r>
              <w:t xml:space="preserve">    </w:t>
            </w:r>
            <w:r>
              <w:rPr>
                <w:b/>
                <w:bCs/>
                <w:color w:val="0C2A33"/>
                <w:sz w:val="22"/>
                <w:szCs w:val="22"/>
              </w:rPr>
              <w:t xml:space="preserve">Watch — drift &amp; red-team</w:t>
            </w:r>
          </w:p>
          <w:p>
            <w:pPr>
              <w:pStyle w:val="ListParagraph"/>
              <w:numPr>
                <w:ilvl w:val="0"/>
                <w:numId w:val="2"/>
              </w:numPr>
              <w:spacing w:after="60" w:line="280"/>
            </w:pPr>
            <w:r>
              <w:t xml:space="preserve">Read the PSI literature and the jailbreak/adversarial papers; take 'Red Teaming LLM Applications'.</w:t>
            </w:r>
          </w:p>
          <w:p>
            <w:pPr>
              <w:pStyle w:val="ListParagraph"/>
              <w:numPr>
                <w:ilvl w:val="0"/>
                <w:numId w:val="2"/>
              </w:numPr>
              <w:spacing w:after="60" w:line="280"/>
            </w:pPr>
            <w:r>
              <w:t xml:space="preserve">Stand up Evidently (or Phoenix) and compute PSI on your inputs vs a baseline window, with alert thresholds.</w:t>
            </w:r>
          </w:p>
          <w:p>
            <w:pPr>
              <w:pStyle w:val="ListParagraph"/>
              <w:numPr>
                <w:ilvl w:val="0"/>
                <w:numId w:val="2"/>
              </w:numPr>
              <w:spacing w:after="60" w:line="280"/>
            </w:pPr>
            <w:r>
              <w:t xml:space="preserve">Run garak or PyRIT against your guarded app from Week 2.</w:t>
            </w:r>
          </w:p>
          <w:p>
            <w:pPr>
              <w:pStyle w:val="ListParagraph"/>
              <w:numPr>
                <w:ilvl w:val="0"/>
                <w:numId w:val="2"/>
              </w:numPr>
              <w:spacing w:after="60" w:line="280"/>
            </w:pPr>
            <w:r>
              <w:t xml:space="preserve">Action: a drift report (PSI over time, with alerts) and a robustness report (ASR before/after, residual by category).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CFE0E3" w:sz="4"/>
              <w:bottom w:val="single" w:color="CFE0E3" w:sz="4"/>
              <w:right w:val="single" w:color="CFE0E3" w:sz="4"/>
            </w:tcBorders>
            <w:shd w:fill="E9F3F5" w:val="clear"/>
            <w:tcMar>
              <w:top w:type="dxa" w:w="160"/>
              <w:left w:type="dxa" w:w="200"/>
              <w:bottom w:type="dxa" w:w="160"/>
              <w:right w:type="dxa" w:w="200"/>
            </w:tcMar>
          </w:tcPr>
          <w:p>
            <w:r>
              <w:rPr>
                <w:b/>
                <w:bCs/>
                <w:color w:val="0E7490"/>
                <w:spacing w:val="80"/>
                <w:sz w:val="18"/>
                <w:szCs w:val="18"/>
              </w:rPr>
              <w:t xml:space="preserve">WEEK 4</w:t>
            </w:r>
            <w:r>
              <w:t xml:space="preserve">    </w:t>
            </w:r>
            <w:r>
              <w:rPr>
                <w:b/>
                <w:bCs/>
                <w:color w:val="0C2A33"/>
                <w:sz w:val="22"/>
                <w:szCs w:val="22"/>
              </w:rPr>
              <w:t xml:space="preserve">Close the loop &amp; govern</w:t>
            </w:r>
          </w:p>
          <w:p>
            <w:pPr>
              <w:pStyle w:val="ListParagraph"/>
              <w:numPr>
                <w:ilvl w:val="0"/>
                <w:numId w:val="2"/>
              </w:numPr>
              <w:spacing w:after="60" w:line="280"/>
            </w:pPr>
            <w:r>
              <w:t xml:space="preserve">Read the NIST AI RMF and the monitoring chapters of AI Engineering; map your controls to OWASP + NIST.</w:t>
            </w:r>
          </w:p>
          <w:p>
            <w:pPr>
              <w:pStyle w:val="ListParagraph"/>
              <w:numPr>
                <w:ilvl w:val="0"/>
                <w:numId w:val="2"/>
              </w:numPr>
              <w:spacing w:after="60" w:line="280"/>
            </w:pPr>
            <w:r>
              <w:t xml:space="preserve">Wire guardrail events (blocks, escalations) and drift alerts into your observability backend.</w:t>
            </w:r>
          </w:p>
          <w:p>
            <w:pPr>
              <w:pStyle w:val="ListParagraph"/>
              <w:numPr>
                <w:ilvl w:val="0"/>
                <w:numId w:val="2"/>
              </w:numPr>
              <w:spacing w:after="60" w:line="280"/>
            </w:pPr>
            <w:r>
              <w:t xml:space="preserve">Feed new production attacks back into both the eval set and the red-team suite; re-run on every release.</w:t>
            </w:r>
          </w:p>
          <w:p>
            <w:pPr>
              <w:pStyle w:val="ListParagraph"/>
              <w:numPr>
                <w:ilvl w:val="0"/>
                <w:numId w:val="2"/>
              </w:numPr>
              <w:spacing w:after="60" w:line="280"/>
            </w:pPr>
            <w:r>
              <w:t xml:space="preserve">Action: a one-page runbook — threats mapped to controls, alert thresholds, and the feedback loop from production to evals and guards.</w:t>
            </w:r>
          </w:p>
        </w:tc>
      </w:tr>
    </w:tbl>
    <w:p>
      <w:pPr>
        <w:pStyle w:val="Heading1"/>
        <w:spacing w:after="200" w:before="360"/>
      </w:pPr>
      <w:r>
        <w:rPr>
          <w:b/>
          <w:bCs/>
          <w:color w:val="0C2A33"/>
        </w:rPr>
        <w:t xml:space="preserve">Closing note</w:t>
      </w:r>
    </w:p>
    <w:p>
      <w:pPr>
        <w:spacing w:after="120" w:line="300"/>
      </w:pPr>
      <w:r>
        <w:t xml:space="preserve">F6 and F7 are one job split in two: observability tells you when something is wrong, guardrails stop it from happening, and the two share a single feedback loop. F2 prompted, F3 orchestrated, F4 grounded, F5 adapted — producing a capable system that is neither measured nor safe. This combined module adds both: structured tracing and slice-aware evaluation to measure it, input and output guardrails to defend it, and drift monitoring plus red-teaming to watch it in production. The reading above is sequenced so a determined practitioner moves from 'we shipped it and hoped' to 'we instrument, gate, guard, monitor, red-team, and close the loop' in four to eight weeks. With this layer in place, the foundation track describes not just how to build an LLM system, but how to run one you can responsibly put in front of real users — and prove it.</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66A70"/>
        <w:sz w:val="16"/>
        <w:szCs w:val="16"/>
      </w:rPr>
      <w:t xml:space="preserve">Corporate AI Engineering Specialist Track</w:t>
    </w:r>
    <w:r>
      <w:rPr>
        <w:color w:val="566A70"/>
        <w:sz w:val="16"/>
        <w:szCs w:val="16"/>
      </w:rPr>
      <w:t xml:space="preserve">	Page </w:t>
    </w:r>
    <w:r>
      <w:rPr>
        <w:color w:val="566A70"/>
        <w:sz w:val="16"/>
        <w:szCs w:val="16"/>
      </w:rPr>
      <w:fldChar w:fldCharType="begin"/>
      <w:instrText xml:space="preserve">PAGE</w:instrText>
      <w:fldChar w:fldCharType="separate"/>
      <w:fldChar w:fldCharType="end"/>
    </w:r>
    <w:r>
      <w:rPr>
        <w:color w:val="566A70"/>
        <w:sz w:val="16"/>
        <w:szCs w:val="16"/>
      </w:rPr>
      <w:t xml:space="preserve"> of </w:t>
    </w:r>
    <w:r>
      <w:rPr>
        <w:color w:val="566A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2A33" w:sz="4" w:space="4"/>
      </w:pBdr>
      <w:tabs>
        <w:tab w:val="right" w:pos="9360"/>
      </w:tabs>
      <w:spacing w:after="0"/>
    </w:pPr>
    <w:r>
      <w:rPr>
        <w:b/>
        <w:bCs/>
        <w:color w:val="0C2A33"/>
        <w:sz w:val="18"/>
        <w:szCs w:val="18"/>
      </w:rPr>
      <w:t xml:space="preserve">F6 + F7 · Observability, Safety &amp; Guardrails</w:t>
    </w:r>
    <w:r>
      <w:rPr>
        <w:color w:val="566A70"/>
        <w:sz w:val="18"/>
        <w:szCs w:val="18"/>
      </w:rPr>
      <w:t xml:space="preserve">	Study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2A33"/>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E74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F6+F7 Combined Study Library</dc:title>
  <dc:creator>Corporate Training</dc:creator>
  <cp:lastModifiedBy>Un-named</cp:lastModifiedBy>
  <cp:revision>1</cp:revision>
  <dcterms:created xsi:type="dcterms:W3CDTF">2026-06-25T01:23:25.572Z</dcterms:created>
  <dcterms:modified xsi:type="dcterms:W3CDTF">2026-06-25T01:23:25.572Z</dcterms:modified>
</cp:coreProperties>
</file>

<file path=docProps/custom.xml><?xml version="1.0" encoding="utf-8"?>
<Properties xmlns="http://schemas.openxmlformats.org/officeDocument/2006/custom-properties" xmlns:vt="http://schemas.openxmlformats.org/officeDocument/2006/docPropsVTypes"/>
</file>