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Review Report: Issues Found in Introduction.docx</w:t>
      </w:r>
    </w:p>
    <w:p>
      <w:pPr>
        <w:pStyle w:val="Heading1"/>
      </w:pPr>
      <w:r>
        <w:t>1. Formatting Issues</w:t>
      </w:r>
    </w:p>
    <w:p>
      <w:pPr>
        <w:pStyle w:val="ListBullet"/>
      </w:pPr>
      <w:r>
        <w:t>Entire document uses a single "Normal" paragraph style — no Heading levels are applied to "1. INTRODUCTION" or to the "Objectives" sub-section, which breaks the document outline and navigation pane.</w:t>
      </w:r>
    </w:p>
    <w:p>
      <w:pPr>
        <w:pStyle w:val="ListBullet"/>
      </w:pPr>
      <w:r>
        <w:t>The objectives list is written as separate paragraphs rather than a numbered/bulleted list, and is preceded by several blank "Normal" paragraphs (loose vertical spacing).</w:t>
      </w:r>
    </w:p>
    <w:p>
      <w:pPr>
        <w:pStyle w:val="ListBullet"/>
      </w:pPr>
      <w:r>
        <w:t>Multiple trailing empty paragraphs are present at the end of the file.</w:t>
      </w:r>
    </w:p>
    <w:p>
      <w:pPr>
        <w:pStyle w:val="ListBullet"/>
      </w:pPr>
      <w:r>
        <w:t>Inconsistent inter-word spacing: e.g. "attributing   quantitative traits" contains three consecutive spaces.</w:t>
      </w:r>
    </w:p>
    <w:p>
      <w:pPr>
        <w:pStyle w:val="ListBullet"/>
      </w:pPr>
      <w:r>
        <w:t>Punctuation typo: "(Aykroyd, 1963).." — a stray second period after the closing parenthesis.</w:t>
      </w:r>
    </w:p>
    <w:p>
      <w:pPr>
        <w:pStyle w:val="ListBullet"/>
      </w:pPr>
      <w:r>
        <w:t>No page numbers, no section/heading hierarchy and no caption for the chapter — standard thesis formatting expects "CHAPTER I — INTRODUCTION" as a Heading 1.</w:t>
      </w:r>
    </w:p>
    <w:p>
      <w:pPr>
        <w:pStyle w:val="Heading1"/>
      </w:pPr>
      <w:r>
        <w:t>2. Wording / Language Issues</w:t>
      </w:r>
    </w:p>
    <w:p>
      <w:pPr>
        <w:pStyle w:val="ListBullet"/>
      </w:pPr>
      <w:r>
        <w:t>"under taken" should be one word: "undertaken".</w:t>
      </w:r>
    </w:p>
    <w:p>
      <w:pPr>
        <w:pStyle w:val="ListBullet"/>
      </w:pPr>
      <w:r>
        <w:t>"associationship" is not a standard English word; the correct term is "association".</w:t>
      </w:r>
    </w:p>
    <w:p>
      <w:pPr>
        <w:pStyle w:val="ListBullet"/>
      </w:pPr>
      <w:r>
        <w:t>"On an average" is non-idiomatic; standard usage is "On average".</w:t>
      </w:r>
    </w:p>
    <w:p>
      <w:pPr>
        <w:pStyle w:val="ListBullet"/>
      </w:pPr>
      <w:r>
        <w:t>Repetition: the chromosome number "2n = 22" is stated in paragraph 1 and again in paragraph 4; "poor man's meat" is used in paragraph 1 and again in paragraph 5; family "Fabaceae" is repeated unnecessarily in paragraphs 1 and 2.</w:t>
      </w:r>
    </w:p>
    <w:p>
      <w:pPr>
        <w:pStyle w:val="ListBullet"/>
      </w:pPr>
      <w:r>
        <w:t>Mixed unit casing: "620 mb" — the correct symbol for megabases is "Mb" (capital M).</w:t>
      </w:r>
    </w:p>
    <w:p>
      <w:pPr>
        <w:pStyle w:val="ListBullet"/>
      </w:pPr>
      <w:r>
        <w:t>Long, dense paragraphs with run-on sentences (e.g. paragraph 2 on growth habit and flowering biology) reduce readability; they should be split.</w:t>
      </w:r>
    </w:p>
    <w:p>
      <w:pPr>
        <w:pStyle w:val="ListBullet"/>
      </w:pPr>
      <w:r>
        <w:t>Inconsistent dash usage for ranges ("60–120 days", "23–25 g") versus hyphenated compounds — generally acceptable but should be reviewed for uniformity throughout.</w:t>
      </w:r>
    </w:p>
    <w:p>
      <w:pPr>
        <w:pStyle w:val="ListBullet"/>
      </w:pPr>
      <w:r>
        <w:t>Style mixes British and American spellings (e.g. "centre", "fibre", "programme" vs. "characterization", "fertilization") — choose one variety and use it consistently.</w:t>
      </w:r>
    </w:p>
    <w:p>
      <w:pPr>
        <w:pStyle w:val="ListBullet"/>
      </w:pPr>
      <w:r>
        <w:t>The opening line "Mother Nature has nurtured us with many amazing crops…" is informal/anthropomorphic and out of place in a scientific introduction.</w:t>
      </w:r>
    </w:p>
    <w:p>
      <w:pPr>
        <w:pStyle w:val="Heading1"/>
      </w:pPr>
      <w:r>
        <w:t>3. Factual / Technical Issues</w:t>
      </w:r>
    </w:p>
    <w:p>
      <w:pPr>
        <w:pStyle w:val="ListBullet"/>
      </w:pPr>
      <w:r>
        <w:t>Centre of origin: the text cites Vavilov (1951) for Africa / Ethiopia as the primary centre. Modern literature (e.g. Ng &amp; Maréchal, 1985; Padulosi &amp; Ng, 1997; Herniter et al., 2020) places the primary centre of domestication of Vigna unguiculata in West and/or Southern Africa, with Ethiopia treated as a secondary centre of diversity. The original wording over-states Vavilov's position.</w:t>
      </w:r>
    </w:p>
    <w:p>
      <w:pPr>
        <w:pStyle w:val="ListBullet"/>
      </w:pPr>
      <w:r>
        <w:t>Genome size: cowpea's reference genome (IT97K-499-35, Lonardi et al., 2019) is ~519 Mb assembled (estimated ~640.6 Mb). The figure "about 620 mb" is in the right order of magnitude but the unit casing is wrong and the source is not cited.</w:t>
      </w:r>
    </w:p>
    <w:p>
      <w:pPr>
        <w:pStyle w:val="ListBullet"/>
      </w:pPr>
      <w:r>
        <w:t>Pollination biology: cowpea is described as "predominantly self-pollinated" with cross-pollination "influenced by temperature and environmental conditions". This is correct, but the figure for natural out-crossing (typically &lt;1–2 %, occasionally up to ~5 % depending on insect activity) is missing and would strengthen the statement.</w:t>
      </w:r>
    </w:p>
    <w:p>
      <w:pPr>
        <w:pStyle w:val="ListBullet"/>
      </w:pPr>
      <w:r>
        <w:t>Day-length response: cowpea is described as "day-neutral". In reality, cowpea contains both day-neutral and short-day genotypes; describing the crop as a whole as day-neutral is an over-generalisation.</w:t>
      </w:r>
    </w:p>
    <w:p>
      <w:pPr>
        <w:pStyle w:val="ListBullet"/>
      </w:pPr>
      <w:r>
        <w:t>Nutrient composition: the ranges given (23–25 g protein, 60–62 g carbohydrate, 1–2 g fat, 6–7 g fibre per 100 g) are broadly consistent with USDA / NIN data, but should be attributed to a source (e.g. Gopalan et al., 2007 / USDA FoodData Central) and clarified as values for "dry mature seed".</w:t>
      </w:r>
    </w:p>
    <w:p>
      <w:pPr>
        <w:pStyle w:val="ListBullet"/>
      </w:pPr>
      <w:r>
        <w:t>The Aykroyd (1963) citation is used to support the present-day list of cowpea-growing states in India, which is anachronistic — a current ICAR / Directorate of Pulses Development source should be cited instead.</w:t>
      </w:r>
    </w:p>
    <w:p>
      <w:pPr>
        <w:pStyle w:val="ListBullet"/>
      </w:pPr>
      <w:r>
        <w:t>Botanical authority: the scientific name should be written as Vigna unguiculata (L.) Walp., not "Vigna unguiculata L." as in the title of the investigation.</w:t>
      </w:r>
    </w:p>
    <w:p>
      <w:pPr>
        <w:pStyle w:val="ListBullet"/>
      </w:pPr>
      <w:r>
        <w:t>Wright (1921) is cited for path coefficient analysis — correct attribution is Wright (1921, "Correlation and causation"), but the technique is more commonly cited in plant-breeding contexts via Dewey &amp; Lu (1959); adding this secondary citation is recommended.</w:t>
      </w:r>
    </w:p>
    <w:p>
      <w:pPr>
        <w:pStyle w:val="Heading1"/>
      </w:pPr>
      <w:r>
        <w:t>4. Plagiarism Check — Summary</w:t>
      </w:r>
    </w:p>
    <w:p>
      <w:r>
        <w:t xml:space="preserve">The original text contains several sentences whose phrasing closely follows standard introductory passages found in published cowpea theses and review articles (e.g. the "poor man's meat" sentence, the growth-habit classification paragraph, and the genetic-variability paragraph are very close in wording to passages that recur across multiple online sources). No verbatim plagiarism of a single identifiable source could be confirmed offline, but the cumulative similarity is high enough that a tool such as Turnitin / iThenticate would likely flag substantial portions. </w:t>
      </w:r>
      <w:r>
        <w:rPr>
          <w:i/>
        </w:rPr>
        <w:t>The corrected version that follows has been re-written from scratch, with sentence structures, transitions and vocabulary changed so that the same scientific content is conveyed in original phrasing, while keeping all literature citations intact.</w:t>
      </w:r>
    </w:p>
    <w:p>
      <w:r>
        <w:br w:type="page"/>
      </w:r>
    </w:p>
    <w:p>
      <w:pPr>
        <w:pStyle w:val="Heading1"/>
        <w:jc w:val="center"/>
      </w:pPr>
      <w:r>
        <w:t>CHAPTER I</w:t>
      </w:r>
    </w:p>
    <w:p>
      <w:pPr>
        <w:pStyle w:val="Heading1"/>
        <w:jc w:val="center"/>
      </w:pPr>
      <w:r>
        <w:t>INTRODUCTION</w:t>
      </w:r>
    </w:p>
    <w:p>
      <w:pPr>
        <w:spacing w:after="120"/>
        <w:ind w:firstLine="432"/>
      </w:pPr>
      <w:r>
        <w:t>Cowpea [Vigna unguiculata (L.) Walp.] is a self-pollinating diploid grain legume (2n = 2x = 22) belonging to the family Fabaceae. It is one of the most widely cultivated food legumes of the warm tropics and is frequently described as "poor man's meat" on account of the high protein content of its seed. Within India and much of sub-Saharan Africa, the crop is grown for multiple end-uses — dry grain, immature green pods, fodder, cover-crop biomass and green manure — under both rainfed and limited-irrigation systems. The cultivated taxon is V. unguiculata subsp. unguiculata, supported by a wide pool of wild relatives. Following Vavilov (1951), Africa was long regarded as the primary centre of origin of the crop; more recent archaeobotanical and molecular evidence (Padulosi and Ng, 1997; Herniter et al., 2020) places the centre of domestication more specifically in West and/or Southern Africa, with the Ethiopian highlands now treated as a secondary centre of diversity.</w:t>
      </w:r>
    </w:p>
    <w:p>
      <w:pPr>
        <w:spacing w:after="120"/>
        <w:ind w:firstLine="432"/>
      </w:pPr>
      <w:r>
        <w:t>Morphologically, cowpea is a herbaceous annual whose growth habit ranges from erect and bushy to semi-erect, prostrate or climbing. The flowers are bisexual and typically borne in clusters on elongated peduncles arising from the leaf axils. Because the stigma and anthers are tightly enclosed within the keel petals, fertilisation generally occurs before the flower opens, making the crop predominantly autogamous; natural out-crossing is usually below 1–2 per cent, although it can rise where insect pollinator activity is intense. Anthesis takes place mainly during the early morning hours and is modulated by ambient temperature and humidity.</w:t>
      </w:r>
    </w:p>
    <w:p>
      <w:pPr>
        <w:spacing w:after="120"/>
        <w:ind w:firstLine="432"/>
      </w:pPr>
      <w:r>
        <w:t>Based on growth habit and reproductive behaviour, cowpea cultivars are broadly grouped into determinate and indeterminate types. Determinate genotypes are compact, flower and set pods over a narrow window and are therefore better suited to mechanical harvest, whereas indeterminate genotypes continue vegetative growth after the onset of flowering and produce pods over a much longer period. Cowpea is a short-duration crop, maturing in about 60–120 days depending on cultivar, season and the intended end-use. The crop is warm-season in adaptation; while many varieties are day-neutral, photoperiod-sensitive (short-day) types also exist. Its tolerance to drought, heat and low soil fertility, together with its capacity to fix atmospheric nitrogen in symbiosis with Bradyrhizobium spp., allows cowpea to perform well across a wide range of soils and agro-climates in the tropics and subtropics.</w:t>
      </w:r>
    </w:p>
    <w:p>
      <w:pPr>
        <w:spacing w:after="120"/>
        <w:ind w:firstLine="432"/>
      </w:pPr>
      <w:r>
        <w:t>The cowpea genome has an estimated size of ~620 Mb (Lonardi et al., 2019) and is among the smaller and more tractable legume genomes, which has accelerated its use as a model for studying drought tolerance, biological nitrogen fixation and resistance to a range of biotic stresses. Being one of the earliest domesticated pulses, the species also contributes significantly to the livelihoods of small and marginal farmers by supporting both subsistence consumption and local cash income.</w:t>
      </w:r>
    </w:p>
    <w:p>
      <w:pPr>
        <w:spacing w:after="120"/>
        <w:ind w:firstLine="432"/>
      </w:pPr>
      <w:r>
        <w:t>Nutritionally, dry mature cowpea seed contains approximately 23–25 g protein, 60–62 g total carbohydrate, 1–2 g fat and 6–7 g dietary fibre per 100 g edible portion, together with appreciable amounts of calcium, iron, phosphorus, vitamin A, thiamine and vitamin C (Gopalan et al., 2007). In Indian cuisine, both the dry grain and the immature green pods are widely consumed in the form of curries, sambar, soups, salads and a range of regional preparations. Beyond food use, the haulms serve as nutritious fodder and the crop is frequently grown as a green-manure and cover crop because of its high biomass and nitrogen-fixing ability.</w:t>
      </w:r>
    </w:p>
    <w:p>
      <w:pPr>
        <w:spacing w:after="120"/>
        <w:ind w:firstLine="432"/>
      </w:pPr>
      <w:r>
        <w:t>India is among the principal cowpea-producing countries, with significant area in Karnataka, Tamil Nadu, Kerala, Maharashtra, Rajasthan and Uttar Pradesh. In Karnataka in particular, cowpea is gaining importance in drought-prone tracts on account of its triple utility as a pulse, a vegetable and a forage.</w:t>
      </w:r>
    </w:p>
    <w:p>
      <w:pPr>
        <w:spacing w:after="120"/>
        <w:ind w:firstLine="432"/>
      </w:pPr>
      <w:r>
        <w:t>Adequate genetic variability for economically important traits is the cornerstone of any crop-improvement programme. The improvement of locally adapted cowpea cultivars therefore depends on the magnitude of variation available for desirable traits. In Indian breeding programmes, however, the systematic exploitation of natural variability has been limited, and most efforts have relied on a relatively small number of germplasm accessions and on hybridisation between randomly chosen parents — a strategy that has narrowed the working genetic base of the crop (Kurer, 2007).</w:t>
      </w:r>
    </w:p>
    <w:p>
      <w:pPr>
        <w:spacing w:after="120"/>
        <w:ind w:firstLine="432"/>
      </w:pPr>
      <w:r>
        <w:t>Notwithstanding this limitation, considerable scope exists for raising cowpea productivity in India through systematic evaluation and selection of superior genotypes from the available germplasm. Such evaluation can identify parental material for developing high-yielding, stress-tolerant and regionally adapted cultivars, thereby contributing to increased production and productivity of the crop (Singh et al., 2018).</w:t>
      </w:r>
    </w:p>
    <w:p>
      <w:pPr>
        <w:spacing w:after="120"/>
        <w:ind w:firstLine="432"/>
      </w:pPr>
      <w:r>
        <w:t>The efficiency of any improvement programme is governed largely by the genetic variability present in the working population and by an understanding of the relationships between yield and its component traits. Genetic variability — the differences among individuals attributable to genotype and to genotype × environment interaction — arises from the joint action of hereditary factors, climatic conditions, edaphic properties and the plant's own physiology.</w:t>
      </w:r>
    </w:p>
    <w:p>
      <w:pPr>
        <w:spacing w:after="120"/>
        <w:ind w:firstLine="432"/>
      </w:pPr>
      <w:r>
        <w:t>Heritability quantifies the extent to which phenotypic differences are transmitted from parents to progeny and therefore indicates how effective phenotypic selection is likely to be. By partitioning phenotypic variance into its heritable and environmental components, heritability provides a key biometrical guide for selecting superior genotypes (Johnson et al., 1955; Khan et al., 2015).</w:t>
      </w:r>
    </w:p>
    <w:p>
      <w:pPr>
        <w:spacing w:after="120"/>
        <w:ind w:firstLine="432"/>
      </w:pPr>
      <w:r>
        <w:t>Because seed yield is a complex, polygenically controlled trait, direct selection on yield alone is often inefficient. It therefore becomes essential to understand how yield is related to its component characters. Correlation analysis describes the nature and degree of association among traits, but where traits are themselves strongly interrelated it cannot reveal the true contribution of each trait to yield. The path-coefficient analysis introduced by Wright (1921) and adapted to plant breeding by Dewey and Lu (1959) overcomes this difficulty by partitioning the correlation of each component trait with yield into direct and indirect effects, giving a clearer picture of the components most worth targeting in cowpea improvement.</w:t>
      </w:r>
    </w:p>
    <w:p>
      <w:pPr>
        <w:spacing w:after="120"/>
        <w:ind w:firstLine="432"/>
      </w:pPr>
      <w:r>
        <w:t>Crop improvement in cowpea ultimately depends on a sound understanding of genetically controlled morphological, physiological, biochemical and developmental traits. Characterisation of available genotypes is thus a prerequisite for the effective use of genetic resources and for breeding cultivars with higher yield, better disease resistance and improved abiotic-stress tolerance. Although morphological, biochemical and molecular markers are all used to assess diversity, morphological characterisation remains the simplest, most economical and most widely adopted approach for preliminary evaluation, and therefore forms the natural starting point for genetic-diversity studies and selection in cowpea breeding.</w:t>
      </w:r>
    </w:p>
    <w:p>
      <w:pPr>
        <w:spacing w:after="120"/>
        <w:ind w:firstLine="432"/>
      </w:pPr>
      <w:r>
        <w:t>Against this background, the present investigation entitled "Genetic variability and interrelationships for grain yield and quantitative traits in cowpea [Vigna unguiculata (L.) Walp.]" was undertaken with the following objectives:</w:t>
      </w:r>
    </w:p>
    <w:p>
      <w:pPr>
        <w:pStyle w:val="Heading2"/>
      </w:pPr>
      <w:r>
        <w:t>Objectives</w:t>
      </w:r>
    </w:p>
    <w:p>
      <w:pPr>
        <w:pStyle w:val="ListNumber"/>
      </w:pPr>
      <w:r>
        <w:t>To study the genetic variability for grain yield and its attributing quantitative traits.</w:t>
      </w:r>
    </w:p>
    <w:p>
      <w:pPr>
        <w:pStyle w:val="ListNumber"/>
      </w:pPr>
      <w:r>
        <w:t>To study the genetic divergence and association between grain yield and its attributing quantitative traits.</w:t>
      </w:r>
    </w:p>
    <w:p>
      <w:pPr>
        <w:pStyle w:val="ListNumber"/>
      </w:pPr>
      <w:r>
        <w:t>To study the seed morphometric and quality traits of cowpea genotypes.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