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9itw9omvl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5 — Surface Infrastructure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/zip-5/README.md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qyxvg055t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5 provides shared </w:t>
      </w:r>
      <w:r w:rsidDel="00000000" w:rsidR="00000000" w:rsidRPr="00000000">
        <w:rPr>
          <w:b w:val="1"/>
          <w:bCs w:val="1"/>
          <w:rtl w:val="0"/>
        </w:rPr>
        <w:t xml:space="preserve">UX and presentation infrastructure</w:t>
      </w:r>
      <w:r w:rsidDel="00000000" w:rsidR="00000000" w:rsidRPr="00000000">
        <w:rPr>
          <w:rtl w:val="0"/>
        </w:rPr>
        <w:t xml:space="preserve"> used by Explorer and Control Plane surfaces.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authority is rendered safely and consistently.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xkud36ser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&amp; time rendering utilities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diff helpers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ordering utilities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vs actionable affordance guards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f8mdrbdiz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introduce authority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make decisions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mutate state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h4zdzidb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Plane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72nw7cqe1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Blueprints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Levers Blueprint — UX Infrastructure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