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ywtka120r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ZIP 6 — Lineage Context &amp; Graph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/zip-6/README.md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jcwc99xew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ZIP 6 derives and serves </w:t>
      </w:r>
      <w:r w:rsidDel="00000000" w:rsidR="00000000" w:rsidRPr="00000000">
        <w:rPr>
          <w:b w:val="1"/>
          <w:bCs w:val="1"/>
          <w:rtl w:val="0"/>
        </w:rPr>
        <w:t xml:space="preserve">deterministic data lineage</w:t>
      </w:r>
      <w:r w:rsidDel="00000000" w:rsidR="00000000" w:rsidRPr="00000000">
        <w:rPr>
          <w:rtl w:val="0"/>
        </w:rPr>
        <w:t xml:space="preserve"> for context, notification routing, and visualization.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Lineage explains impact; it never decides outcomes.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0djvv0mnw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lives in this ZIP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Lineage graph derivation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Structural, transformational, operational edges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Time-scoped lineage storage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Read-only lineage queries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ciul60y3g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ZIP does NOT do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affect enforcement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alter contract scope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infer causality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apply ML to create lineage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qg8gqtquh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Authority boundaries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Lineage is contextual only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interpretation limits are defined in ZIP 8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j8y551mp0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Used by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ZIP 8 (proposal routing)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service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Explorer surface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pk08pw1aw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Further reading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ZIP 8 — Lineage Semantics section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Doc — Lineage Derivation Service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