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zkmf8k6kj1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ZIP 7 — Operational Guardrails &amp; Performance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/zip-7/README.md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n44htv4tv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ZIP 7 provides </w:t>
      </w:r>
      <w:r w:rsidDel="00000000" w:rsidR="00000000" w:rsidRPr="00000000">
        <w:rPr>
          <w:b w:val="1"/>
          <w:bCs w:val="1"/>
          <w:rtl w:val="0"/>
        </w:rPr>
        <w:t xml:space="preserve">operational safety</w:t>
      </w:r>
      <w:r w:rsidDel="00000000" w:rsidR="00000000" w:rsidRPr="00000000">
        <w:rPr>
          <w:rtl w:val="0"/>
        </w:rPr>
        <w:t xml:space="preserve">, scalability, and reliability primitives that protect core invariants at scale.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adodutgnv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lives in this ZIP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strategies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Backpressure controls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(non-authoritative)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observability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szn46vky94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this ZIP does NOT do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not change enforcement behavior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loosen guarantees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introduce best-effort semantics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m9yrobhp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Used by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runtime services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vzesv1wgt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Further reading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Supporting Levers Blueprint — Performance &amp; Guardrails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Doc — Performance &amp; Reliability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