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hxiei2ujsed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Implementation Doc E: Notification Dispatcher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f2m8l0zy7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Routes events to channels with consistent payloads. Does not mutate system state.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vq7fra99u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enforcement events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events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lifecycle events</w:t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8a55v6iqr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Routing algorithm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 contract ownership (Registry)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lineage impacted nodes (Lineage Service)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recipients based on rules: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owner always included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downstream consumers included for high severity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notifications per channel connector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xr5wyneal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notification_events</w:t>
      </w:r>
      <w:r w:rsidDel="00000000" w:rsidR="00000000" w:rsidRPr="00000000">
        <w:rPr>
          <w:rtl w:val="0"/>
        </w:rPr>
        <w:t xml:space="preserve"> append-only (what was sent, to whom, when)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delivery_attempts</w:t>
      </w:r>
      <w:r w:rsidDel="00000000" w:rsidR="00000000" w:rsidRPr="00000000">
        <w:rPr>
          <w:rtl w:val="0"/>
        </w:rPr>
        <w:t xml:space="preserve"> for retry logic</w:t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lkl8a2m9t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Guarantees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semantic payload across channels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“fix now” or remediation automation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failures observable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