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port the UI containers actually listen on in prod</w:t>
      </w:r>
      <w:r w:rsidDel="00000000" w:rsidR="00000000" w:rsidRPr="00000000">
        <w:rPr>
          <w:rtl w:val="0"/>
        </w:rPr>
        <w:t xml:space="preserve"> (3000 vs 5173/5174)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Whether the UIs can consume API URL via runtime env</w:t>
      </w:r>
      <w:r w:rsidDel="00000000" w:rsidR="00000000" w:rsidRPr="00000000">
        <w:rPr>
          <w:rtl w:val="0"/>
        </w:rPr>
        <w:t xml:space="preserve"> (or need build-time/runtime-config pattern)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Whether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/health</w:t>
      </w:r>
      <w:r w:rsidDel="00000000" w:rsidR="00000000" w:rsidRPr="00000000">
        <w:rPr>
          <w:b w:val="1"/>
          <w:bCs w:val="1"/>
          <w:rtl w:val="0"/>
        </w:rPr>
        <w:t xml:space="preserve"> exists on the API</w:t>
      </w:r>
      <w:r w:rsidDel="00000000" w:rsidR="00000000" w:rsidRPr="00000000">
        <w:rPr>
          <w:rtl w:val="0"/>
        </w:rPr>
        <w:t xml:space="preserve"> (or probes need to be adjusted)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