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B3" w:rsidRPr="00290DB3" w:rsidRDefault="00290DB3" w:rsidP="00290DB3">
      <w:pPr>
        <w:jc w:val="right"/>
        <w:rPr>
          <w:color w:val="000000"/>
        </w:rPr>
      </w:pPr>
      <w:r>
        <w:rPr>
          <w:rStyle w:val="body"/>
          <w:rFonts w:ascii="Verdana" w:hAnsi="Verdana"/>
          <w:color w:val="000000"/>
          <w:sz w:val="20"/>
          <w:szCs w:val="20"/>
          <w:bdr w:val="none" w:sz="0" w:space="0" w:color="auto" w:frame="1"/>
        </w:rPr>
        <w:t>“</w:t>
      </w:r>
      <w:r w:rsidRPr="00290DB3">
        <w:rPr>
          <w:rStyle w:val="body"/>
          <w:rFonts w:ascii="Verdana" w:hAnsi="Verdana"/>
          <w:i/>
          <w:color w:val="000000"/>
          <w:sz w:val="20"/>
          <w:szCs w:val="20"/>
          <w:bdr w:val="none" w:sz="0" w:space="0" w:color="auto" w:frame="1"/>
        </w:rPr>
        <w:t>The groundwork of all happiness is health.</w:t>
      </w:r>
      <w:r>
        <w:rPr>
          <w:rStyle w:val="apple-converted-space"/>
          <w:color w:val="000000"/>
        </w:rPr>
        <w:t>”</w:t>
      </w:r>
      <w:r>
        <w:rPr>
          <w:rStyle w:val="apple-converted-space"/>
          <w:color w:val="000000"/>
        </w:rPr>
        <w:br/>
        <w:t>Leigh Hunt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5"/>
        <w:gridCol w:w="4171"/>
      </w:tblGrid>
      <w:tr w:rsidR="00302E8E" w:rsidTr="00302E8E">
        <w:tc>
          <w:tcPr>
            <w:tcW w:w="5405" w:type="dxa"/>
          </w:tcPr>
          <w:p w:rsidR="00302E8E" w:rsidRPr="00127C87" w:rsidRDefault="00302E8E" w:rsidP="00127C87">
            <w:pPr>
              <w:rPr>
                <w:i/>
              </w:rPr>
            </w:pPr>
            <w:r w:rsidRPr="00127C87">
              <w:rPr>
                <w:i/>
              </w:rPr>
              <w:t>Concepts to cover</w:t>
            </w:r>
          </w:p>
          <w:p w:rsidR="00302E8E" w:rsidRDefault="00302E8E" w:rsidP="00127C87">
            <w:pPr>
              <w:pStyle w:val="ListParagraph"/>
              <w:numPr>
                <w:ilvl w:val="0"/>
                <w:numId w:val="1"/>
              </w:numPr>
            </w:pPr>
            <w:r>
              <w:t>What is HealthVault?</w:t>
            </w:r>
          </w:p>
          <w:p w:rsidR="00302E8E" w:rsidRDefault="00302E8E" w:rsidP="00127C87">
            <w:pPr>
              <w:pStyle w:val="ListParagraph"/>
              <w:numPr>
                <w:ilvl w:val="0"/>
                <w:numId w:val="1"/>
              </w:numPr>
            </w:pPr>
            <w:r>
              <w:t>Getting started with HealthVault</w:t>
            </w:r>
          </w:p>
          <w:p w:rsidR="00302E8E" w:rsidRDefault="00302E8E" w:rsidP="00127C87">
            <w:pPr>
              <w:pStyle w:val="ListParagraph"/>
              <w:numPr>
                <w:ilvl w:val="0"/>
                <w:numId w:val="1"/>
              </w:numPr>
            </w:pPr>
            <w:r>
              <w:t>Creating an emergency profile</w:t>
            </w:r>
          </w:p>
          <w:p w:rsidR="00302E8E" w:rsidRDefault="00302E8E" w:rsidP="00127C87">
            <w:pPr>
              <w:pStyle w:val="ListParagraph"/>
              <w:numPr>
                <w:ilvl w:val="0"/>
                <w:numId w:val="1"/>
              </w:numPr>
            </w:pPr>
            <w:r>
              <w:t>Kinds of data one can view or add through HealthVault</w:t>
            </w:r>
          </w:p>
          <w:p w:rsidR="00302E8E" w:rsidRDefault="00302E8E" w:rsidP="00127C87">
            <w:pPr>
              <w:pStyle w:val="ListParagraph"/>
              <w:numPr>
                <w:ilvl w:val="0"/>
                <w:numId w:val="1"/>
              </w:numPr>
            </w:pPr>
            <w:r>
              <w:t>Working with Weight and downloading it to excel</w:t>
            </w:r>
          </w:p>
          <w:p w:rsidR="00302E8E" w:rsidRDefault="00302E8E" w:rsidP="0025704E">
            <w:pPr>
              <w:pStyle w:val="ListParagraph"/>
              <w:numPr>
                <w:ilvl w:val="0"/>
                <w:numId w:val="1"/>
              </w:numPr>
            </w:pPr>
            <w:r>
              <w:t>HealthVault Applications – Mayo Clinic Health Manager</w:t>
            </w:r>
          </w:p>
        </w:tc>
        <w:tc>
          <w:tcPr>
            <w:tcW w:w="4171" w:type="dxa"/>
          </w:tcPr>
          <w:p w:rsidR="00C004C4" w:rsidRDefault="00302E8E" w:rsidP="00A9440E">
            <w:pPr>
              <w:rPr>
                <w:i/>
              </w:rPr>
            </w:pPr>
            <w:r>
              <w:rPr>
                <w:i/>
              </w:rPr>
              <w:t>To do</w:t>
            </w:r>
          </w:p>
          <w:p w:rsidR="00A43B35" w:rsidRPr="00A43B35" w:rsidRDefault="00A43B35" w:rsidP="00A7302D"/>
        </w:tc>
      </w:tr>
    </w:tbl>
    <w:p w:rsidR="0025704E" w:rsidRDefault="0025704E" w:rsidP="00304ACD"/>
    <w:p w:rsidR="00E21A04" w:rsidRDefault="00E21A04" w:rsidP="00E21A04">
      <w:pPr>
        <w:pStyle w:val="NormalWeb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Health is cri</w:t>
      </w:r>
      <w:r w:rsidR="000832BF">
        <w:rPr>
          <w:rFonts w:ascii="Calibri" w:hAnsi="Calibri" w:cs="Calibri"/>
          <w:sz w:val="22"/>
          <w:szCs w:val="22"/>
        </w:rPr>
        <w:t xml:space="preserve">tical to all of us. Healthcare and the infrastructure around it </w:t>
      </w:r>
      <w:r w:rsidR="00F772F4">
        <w:rPr>
          <w:rFonts w:ascii="Calibri" w:hAnsi="Calibri" w:cs="Calibri"/>
          <w:sz w:val="22"/>
          <w:szCs w:val="22"/>
        </w:rPr>
        <w:t>touches</w:t>
      </w:r>
      <w:r w:rsidR="000832BF">
        <w:rPr>
          <w:rFonts w:ascii="Calibri" w:hAnsi="Calibri" w:cs="Calibri"/>
          <w:sz w:val="22"/>
          <w:szCs w:val="22"/>
        </w:rPr>
        <w:t xml:space="preserve"> </w:t>
      </w:r>
      <w:r w:rsidR="00336584">
        <w:rPr>
          <w:rFonts w:ascii="Calibri" w:hAnsi="Calibri" w:cs="Calibri"/>
          <w:sz w:val="22"/>
          <w:szCs w:val="22"/>
        </w:rPr>
        <w:t xml:space="preserve">our lives </w:t>
      </w:r>
      <w:r w:rsidR="000832BF">
        <w:rPr>
          <w:rFonts w:ascii="Calibri" w:hAnsi="Calibri" w:cs="Calibri"/>
          <w:sz w:val="22"/>
          <w:szCs w:val="22"/>
        </w:rPr>
        <w:t xml:space="preserve">and </w:t>
      </w:r>
      <w:r w:rsidR="00A9155D">
        <w:rPr>
          <w:rFonts w:ascii="Calibri" w:hAnsi="Calibri" w:cs="Calibri"/>
          <w:sz w:val="22"/>
          <w:szCs w:val="22"/>
        </w:rPr>
        <w:t xml:space="preserve">the lives of our </w:t>
      </w:r>
      <w:r w:rsidR="000832BF">
        <w:rPr>
          <w:rFonts w:ascii="Calibri" w:hAnsi="Calibri" w:cs="Calibri"/>
          <w:sz w:val="22"/>
          <w:szCs w:val="22"/>
        </w:rPr>
        <w:t>loved ones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270D9D">
        <w:rPr>
          <w:rFonts w:ascii="Calibri" w:hAnsi="Calibri" w:cs="Calibri"/>
          <w:sz w:val="22"/>
          <w:szCs w:val="22"/>
        </w:rPr>
        <w:t xml:space="preserve">Many of us, </w:t>
      </w:r>
      <w:r>
        <w:rPr>
          <w:rFonts w:ascii="Calibri" w:hAnsi="Calibri" w:cs="Calibri"/>
          <w:sz w:val="22"/>
          <w:szCs w:val="22"/>
        </w:rPr>
        <w:t xml:space="preserve">in pursuit of long-term health, </w:t>
      </w:r>
      <w:r w:rsidRPr="00270D9D">
        <w:rPr>
          <w:rFonts w:ascii="Calibri" w:hAnsi="Calibri" w:cs="Calibri"/>
          <w:sz w:val="22"/>
          <w:szCs w:val="22"/>
        </w:rPr>
        <w:t>adopt goals ranging from controll</w:t>
      </w:r>
      <w:r>
        <w:rPr>
          <w:rFonts w:ascii="Calibri" w:hAnsi="Calibri" w:cs="Calibri"/>
          <w:sz w:val="22"/>
          <w:szCs w:val="22"/>
        </w:rPr>
        <w:t xml:space="preserve">ing our weight to long-distance </w:t>
      </w:r>
      <w:r w:rsidRPr="00270D9D">
        <w:rPr>
          <w:rFonts w:ascii="Calibri" w:hAnsi="Calibri" w:cs="Calibri"/>
          <w:sz w:val="22"/>
          <w:szCs w:val="22"/>
        </w:rPr>
        <w:t>running.</w:t>
      </w:r>
      <w:r>
        <w:rPr>
          <w:rFonts w:ascii="Calibri" w:hAnsi="Calibri" w:cs="Calibri"/>
          <w:sz w:val="22"/>
          <w:szCs w:val="22"/>
        </w:rPr>
        <w:t xml:space="preserve"> The Healthcare industry is in an early stage of realizing the power of </w:t>
      </w:r>
      <w:r w:rsidR="00336584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 xml:space="preserve">digital world, and the effectiveness of </w:t>
      </w:r>
      <w:r w:rsidR="00795E7A">
        <w:rPr>
          <w:rFonts w:ascii="Calibri" w:hAnsi="Calibri" w:cs="Calibri"/>
          <w:sz w:val="22"/>
          <w:szCs w:val="22"/>
        </w:rPr>
        <w:t>personal health tools</w:t>
      </w:r>
      <w:r>
        <w:rPr>
          <w:rFonts w:ascii="Calibri" w:hAnsi="Calibri" w:cs="Calibri"/>
          <w:sz w:val="22"/>
          <w:szCs w:val="22"/>
        </w:rPr>
        <w:t xml:space="preserve"> in helping drive a change. </w:t>
      </w:r>
    </w:p>
    <w:p w:rsidR="00845B5D" w:rsidRDefault="00A9155D" w:rsidP="00845B5D">
      <w:pPr>
        <w:pStyle w:val="NormalWeb"/>
        <w:spacing w:after="0"/>
      </w:pPr>
      <w:r>
        <w:rPr>
          <w:rFonts w:ascii="Calibri" w:hAnsi="Calibri" w:cs="Calibri"/>
          <w:sz w:val="22"/>
          <w:szCs w:val="22"/>
        </w:rPr>
        <w:t>This chapter introduces HealthVault as a powerful tool for interacting with health data. It also provides a walkthrough of functionality available to the end user through HealthVault.</w:t>
      </w:r>
    </w:p>
    <w:p w:rsidR="00304ACD" w:rsidRDefault="00304ACD" w:rsidP="001809EC">
      <w:pPr>
        <w:pStyle w:val="Heading1"/>
      </w:pPr>
      <w:r>
        <w:t>What is HealthVault?</w:t>
      </w:r>
    </w:p>
    <w:p w:rsidR="00F434F1" w:rsidRDefault="00304ACD" w:rsidP="00304ACD">
      <w:r>
        <w:t xml:space="preserve">HealthVault is a </w:t>
      </w:r>
      <w:r w:rsidR="00127C87">
        <w:t xml:space="preserve">personal </w:t>
      </w:r>
      <w:r>
        <w:t xml:space="preserve">data platform </w:t>
      </w:r>
      <w:r w:rsidR="00077544">
        <w:t xml:space="preserve">that </w:t>
      </w:r>
      <w:r>
        <w:t>allows a user to record, collect</w:t>
      </w:r>
      <w:r w:rsidR="00077544">
        <w:t>,</w:t>
      </w:r>
      <w:r>
        <w:t xml:space="preserve"> and share all health information in </w:t>
      </w:r>
      <w:r w:rsidR="007A5DD9">
        <w:t>a central</w:t>
      </w:r>
      <w:r>
        <w:t xml:space="preserve"> </w:t>
      </w:r>
      <w:r w:rsidR="00124AA5">
        <w:t>location</w:t>
      </w:r>
      <w:r>
        <w:t>.</w:t>
      </w:r>
      <w:r w:rsidR="007A5DD9">
        <w:t xml:space="preserve"> </w:t>
      </w:r>
      <w:r w:rsidR="00077544">
        <w:t xml:space="preserve">A key benefit of using </w:t>
      </w:r>
      <w:r w:rsidR="007A5DD9">
        <w:t xml:space="preserve">HealthVault </w:t>
      </w:r>
      <w:r w:rsidR="00077544">
        <w:t>is its</w:t>
      </w:r>
      <w:r w:rsidR="007A5DD9">
        <w:t xml:space="preserve"> application programming </w:t>
      </w:r>
      <w:r w:rsidR="00E21A04">
        <w:t>interface (</w:t>
      </w:r>
      <w:r w:rsidR="00077544">
        <w:t xml:space="preserve">API), which </w:t>
      </w:r>
      <w:r w:rsidR="007A5DD9">
        <w:t xml:space="preserve">applications and devices can use to provide value for the end-user. </w:t>
      </w:r>
      <w:r w:rsidR="004B2800">
        <w:t>As depicted in [Fig 1</w:t>
      </w:r>
      <w:r w:rsidR="00675E41">
        <w:t>.1</w:t>
      </w:r>
      <w:r w:rsidR="004B2800">
        <w:t>], HealthVault enables an ecosystem of devices and applications, with use cases ranging from tracking diet and nutrition to connecting to hospital or pharmacy systems.</w:t>
      </w:r>
      <w:r w:rsidR="00E21A04">
        <w:t xml:space="preserve"> HealthVault</w:t>
      </w:r>
      <w:r w:rsidR="007A5DD9">
        <w:t xml:space="preserve"> currently supports</w:t>
      </w:r>
      <w:r w:rsidR="004B2800">
        <w:t xml:space="preserve"> more than</w:t>
      </w:r>
      <w:r w:rsidR="007A5DD9">
        <w:t xml:space="preserve"> 300 applications and 80 devices.</w:t>
      </w:r>
      <w:r w:rsidR="00336584">
        <w:t xml:space="preserve">  Some devices connect to HealthVault via the HealthVault Connection Center; a complimentary client application that enables devices to upload information directly to HealthVault from a Windows PC.</w:t>
      </w:r>
    </w:p>
    <w:p w:rsidR="00F434F1" w:rsidRDefault="004D1B25" w:rsidP="00F434F1">
      <w:pPr>
        <w:jc w:val="center"/>
      </w:pPr>
      <w:r>
        <w:rPr>
          <w:noProof/>
        </w:rPr>
        <w:drawing>
          <wp:inline distT="0" distB="0" distL="0" distR="0" wp14:anchorId="0D9AD198" wp14:editId="07676946">
            <wp:extent cx="3157268" cy="2259673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986" cy="22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D9" w:rsidRDefault="00F434F1" w:rsidP="00F434F1">
      <w:pPr>
        <w:jc w:val="center"/>
      </w:pPr>
      <w:r>
        <w:lastRenderedPageBreak/>
        <w:t>Fig 1.</w:t>
      </w:r>
      <w:r w:rsidR="008B590F">
        <w:t>1</w:t>
      </w:r>
      <w:r>
        <w:t xml:space="preserve"> HealthVault Ecosystem with Devices and Applications</w:t>
      </w:r>
    </w:p>
    <w:p w:rsidR="00F434F1" w:rsidRDefault="00F434F1" w:rsidP="001809EC">
      <w:pPr>
        <w:pStyle w:val="Heading1"/>
      </w:pPr>
      <w:r>
        <w:t>Getting started with HealthVault</w:t>
      </w:r>
    </w:p>
    <w:p w:rsidR="00BD6687" w:rsidRDefault="00010698" w:rsidP="00BD6687">
      <w:r>
        <w:t xml:space="preserve">On the HealthVault website, </w:t>
      </w:r>
      <w:hyperlink r:id="rId8" w:history="1">
        <w:r w:rsidRPr="00150136">
          <w:rPr>
            <w:rStyle w:val="Hyperlink"/>
          </w:rPr>
          <w:t>http://www.healthvault.com</w:t>
        </w:r>
      </w:hyperlink>
      <w:r>
        <w:t xml:space="preserve">, </w:t>
      </w:r>
      <w:r w:rsidR="00382AB1">
        <w:t xml:space="preserve">a </w:t>
      </w:r>
      <w:r>
        <w:t>user can create an account using an existing Windows Live ID, Facebook</w:t>
      </w:r>
      <w:r w:rsidR="006275A2">
        <w:t>,</w:t>
      </w:r>
      <w:r>
        <w:t xml:space="preserve"> or </w:t>
      </w:r>
      <w:r w:rsidR="006275A2">
        <w:t>OpenID</w:t>
      </w:r>
      <w:r>
        <w:t xml:space="preserve"> account</w:t>
      </w:r>
      <w:r w:rsidR="00336584">
        <w:t>,</w:t>
      </w:r>
      <w:r w:rsidR="00382AB1">
        <w:t xml:space="preserve"> or choose to create a new Windows Live ID</w:t>
      </w:r>
      <w:r>
        <w:t xml:space="preserve">. </w:t>
      </w:r>
      <w:r w:rsidR="007A5DD9">
        <w:t xml:space="preserve">Fig </w:t>
      </w:r>
      <w:r w:rsidR="00675E41">
        <w:t>1.</w:t>
      </w:r>
      <w:r w:rsidR="007A5DD9">
        <w:t xml:space="preserve">2 shows the sign-up screen for HealthVault. </w:t>
      </w:r>
    </w:p>
    <w:p w:rsidR="00010698" w:rsidRDefault="00A10BF1" w:rsidP="00BD6687">
      <w:pPr>
        <w:jc w:val="center"/>
      </w:pPr>
      <w:r>
        <w:rPr>
          <w:noProof/>
        </w:rPr>
        <w:drawing>
          <wp:inline distT="0" distB="0" distL="0" distR="0" wp14:anchorId="61B4CC64" wp14:editId="7012051F">
            <wp:extent cx="5469147" cy="3095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147" cy="30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CD" w:rsidRDefault="007A5DD9" w:rsidP="00010698">
      <w:pPr>
        <w:jc w:val="center"/>
      </w:pPr>
      <w:proofErr w:type="gramStart"/>
      <w:r>
        <w:t>F</w:t>
      </w:r>
      <w:r w:rsidR="00010698">
        <w:t xml:space="preserve">ig </w:t>
      </w:r>
      <w:r w:rsidR="008B590F">
        <w:t>1.</w:t>
      </w:r>
      <w:r w:rsidR="00010698">
        <w:t>2.</w:t>
      </w:r>
      <w:proofErr w:type="gramEnd"/>
      <w:r w:rsidR="00010698">
        <w:t xml:space="preserve"> HealthVault </w:t>
      </w:r>
      <w:r w:rsidR="00D550A9">
        <w:t>s</w:t>
      </w:r>
      <w:r w:rsidR="00010698">
        <w:t>ign-In page</w:t>
      </w:r>
    </w:p>
    <w:p w:rsidR="00010698" w:rsidRDefault="00010698" w:rsidP="00010698">
      <w:r>
        <w:t>HealthVault is currently publicly available in</w:t>
      </w:r>
      <w:r w:rsidR="00D550A9">
        <w:t xml:space="preserve"> the United States and United Kingdom</w:t>
      </w:r>
      <w:r w:rsidR="00BD6687">
        <w:t>;</w:t>
      </w:r>
      <w:r>
        <w:t xml:space="preserve"> you can create an account by entering basic demographic information and a proof of human computer interaction.</w:t>
      </w:r>
    </w:p>
    <w:p w:rsidR="007A5DD9" w:rsidRDefault="00A10BF1" w:rsidP="00304ACD">
      <w:r>
        <w:t xml:space="preserve">When a </w:t>
      </w:r>
      <w:r w:rsidR="00E73B7C">
        <w:t xml:space="preserve">new user signs in to HealthVault, </w:t>
      </w:r>
      <w:r w:rsidR="00B01CCF">
        <w:t xml:space="preserve">he is </w:t>
      </w:r>
      <w:r w:rsidR="00E73B7C">
        <w:t xml:space="preserve">greeted </w:t>
      </w:r>
      <w:r w:rsidR="00686232">
        <w:t xml:space="preserve">with a new user wizard </w:t>
      </w:r>
      <w:r w:rsidR="00B01CCF">
        <w:t xml:space="preserve">that </w:t>
      </w:r>
      <w:r w:rsidR="00686232">
        <w:t xml:space="preserve">enables </w:t>
      </w:r>
      <w:r w:rsidR="00B01CCF">
        <w:t xml:space="preserve">him </w:t>
      </w:r>
      <w:r w:rsidR="00686232">
        <w:t>to select tasks</w:t>
      </w:r>
      <w:r>
        <w:t xml:space="preserve"> </w:t>
      </w:r>
      <w:r w:rsidR="00E73B7C">
        <w:t xml:space="preserve">and </w:t>
      </w:r>
      <w:r w:rsidR="00686232">
        <w:t>allows</w:t>
      </w:r>
      <w:r w:rsidR="00B01CCF">
        <w:t xml:space="preserve"> him</w:t>
      </w:r>
      <w:r w:rsidR="00686232">
        <w:t xml:space="preserve"> to </w:t>
      </w:r>
      <w:r w:rsidR="00E73B7C">
        <w:t>connect to various services</w:t>
      </w:r>
      <w:r w:rsidR="00B01CCF">
        <w:t xml:space="preserve"> [Fig </w:t>
      </w:r>
      <w:r w:rsidR="00675E41">
        <w:t>1.</w:t>
      </w:r>
      <w:r w:rsidR="00B01CCF">
        <w:t>3]</w:t>
      </w:r>
      <w:r w:rsidR="00E73B7C">
        <w:t>.</w:t>
      </w:r>
    </w:p>
    <w:p w:rsidR="003477C6" w:rsidRDefault="003477C6" w:rsidP="00E73B7C">
      <w:pPr>
        <w:jc w:val="center"/>
      </w:pPr>
      <w:r>
        <w:rPr>
          <w:noProof/>
        </w:rPr>
        <w:lastRenderedPageBreak/>
        <w:drawing>
          <wp:inline distT="0" distB="0" distL="0" distR="0" wp14:anchorId="67B62388" wp14:editId="517E17DC">
            <wp:extent cx="3239915" cy="3183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002" cy="31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7C" w:rsidRDefault="00E73B7C" w:rsidP="00E73B7C">
      <w:pPr>
        <w:jc w:val="center"/>
      </w:pPr>
      <w:proofErr w:type="gramStart"/>
      <w:r>
        <w:t xml:space="preserve">Fig </w:t>
      </w:r>
      <w:r w:rsidR="008B590F">
        <w:t>1.</w:t>
      </w:r>
      <w:r>
        <w:t>3.</w:t>
      </w:r>
      <w:proofErr w:type="gramEnd"/>
      <w:r>
        <w:t xml:space="preserve"> HealthVault </w:t>
      </w:r>
      <w:r w:rsidR="00D44F68">
        <w:t>n</w:t>
      </w:r>
      <w:r>
        <w:t xml:space="preserve">ew </w:t>
      </w:r>
      <w:r w:rsidR="00D44F68">
        <w:t>u</w:t>
      </w:r>
      <w:r>
        <w:t xml:space="preserve">ser </w:t>
      </w:r>
      <w:r w:rsidR="00D44F68">
        <w:t>w</w:t>
      </w:r>
      <w:r>
        <w:t>izard</w:t>
      </w:r>
    </w:p>
    <w:p w:rsidR="006A5EB2" w:rsidRDefault="00944445" w:rsidP="001809EC">
      <w:pPr>
        <w:pStyle w:val="Heading1"/>
      </w:pPr>
      <w:r>
        <w:t>Overview of HealthVault Features</w:t>
      </w:r>
    </w:p>
    <w:p w:rsidR="00944445" w:rsidRPr="00944445" w:rsidRDefault="00944445" w:rsidP="00E21A04">
      <w:r>
        <w:t>In this section I’ll go over a few of the most popular features in HealthVault, concentrating on ones that we</w:t>
      </w:r>
      <w:r w:rsidR="00632D64">
        <w:t xml:space="preserve">’ll use in this book to collect, </w:t>
      </w:r>
      <w:r>
        <w:t xml:space="preserve">manipulate </w:t>
      </w:r>
      <w:r w:rsidR="00632D64">
        <w:t xml:space="preserve">and share </w:t>
      </w:r>
      <w:r>
        <w:t>information.</w:t>
      </w:r>
    </w:p>
    <w:p w:rsidR="006A5EB2" w:rsidRDefault="006A5EB2" w:rsidP="001809EC">
      <w:pPr>
        <w:pStyle w:val="Heading2"/>
      </w:pPr>
      <w:r>
        <w:t>Health Info</w:t>
      </w:r>
      <w:r w:rsidR="002B6F27">
        <w:t>rmation</w:t>
      </w:r>
    </w:p>
    <w:p w:rsidR="00465C71" w:rsidRPr="00465C71" w:rsidRDefault="00D16680" w:rsidP="00465C71">
      <w:r>
        <w:t>T</w:t>
      </w:r>
      <w:r w:rsidR="00A219D9">
        <w:t>he Health Information section of</w:t>
      </w:r>
      <w:r w:rsidR="00336584">
        <w:t xml:space="preserve"> the</w:t>
      </w:r>
      <w:r w:rsidR="00A219D9">
        <w:t xml:space="preserve"> health profile </w:t>
      </w:r>
      <w:r>
        <w:t xml:space="preserve">provides </w:t>
      </w:r>
      <w:r w:rsidR="00A219D9">
        <w:t xml:space="preserve">a view </w:t>
      </w:r>
      <w:r>
        <w:t xml:space="preserve">of all the </w:t>
      </w:r>
      <w:r w:rsidR="00A219D9">
        <w:t>information in the</w:t>
      </w:r>
      <w:r>
        <w:t xml:space="preserve"> user’s</w:t>
      </w:r>
      <w:r w:rsidR="00A219D9">
        <w:t xml:space="preserve"> Health record. HealthVault support</w:t>
      </w:r>
      <w:r w:rsidR="004A167B">
        <w:t>s</w:t>
      </w:r>
      <w:r w:rsidR="00A219D9">
        <w:t xml:space="preserve"> more than 80 discr</w:t>
      </w:r>
      <w:r w:rsidR="004A167B">
        <w:t>ete kinds of data</w:t>
      </w:r>
      <w:r>
        <w:t>,</w:t>
      </w:r>
      <w:r w:rsidR="004A167B">
        <w:t xml:space="preserve"> from Advance D</w:t>
      </w:r>
      <w:r w:rsidR="00A219D9">
        <w:t xml:space="preserve">irective to Weight Goals. </w:t>
      </w:r>
      <w:r w:rsidR="00704E8E">
        <w:t>Through the</w:t>
      </w:r>
      <w:r w:rsidR="00A219D9">
        <w:t xml:space="preserve"> user interface</w:t>
      </w:r>
      <w:r w:rsidR="00704E8E">
        <w:t>, you can</w:t>
      </w:r>
      <w:r w:rsidR="00A219D9">
        <w:t xml:space="preserve"> edit </w:t>
      </w:r>
      <w:r w:rsidR="00091E19">
        <w:t>and add health</w:t>
      </w:r>
      <w:r w:rsidR="00A219D9">
        <w:t xml:space="preserve"> information. As Fig </w:t>
      </w:r>
      <w:r w:rsidR="00675E41">
        <w:t>1.4</w:t>
      </w:r>
      <w:r w:rsidR="00A219D9">
        <w:t xml:space="preserve"> indicates</w:t>
      </w:r>
      <w:r w:rsidR="00704E8E">
        <w:t>, you</w:t>
      </w:r>
      <w:r w:rsidR="00A219D9">
        <w:t xml:space="preserve"> can add allergies, conditions, various measurements (blood glucose, blood pressure, peak flow, weight, </w:t>
      </w:r>
      <w:r w:rsidR="00632D64">
        <w:t>height</w:t>
      </w:r>
      <w:r w:rsidR="00A219D9">
        <w:t xml:space="preserve"> and lab test results), files (CCR, CCD, etc.), health history (</w:t>
      </w:r>
      <w:r w:rsidR="00091E19">
        <w:t>family, immunizations, procedures)</w:t>
      </w:r>
      <w:r w:rsidR="0037704D">
        <w:t xml:space="preserve"> and emergency provider contact information.</w:t>
      </w:r>
    </w:p>
    <w:p w:rsidR="006A5EB2" w:rsidRDefault="002E6702" w:rsidP="00C716CA">
      <w:pPr>
        <w:jc w:val="center"/>
      </w:pPr>
      <w:r>
        <w:rPr>
          <w:noProof/>
        </w:rPr>
        <w:lastRenderedPageBreak/>
        <w:drawing>
          <wp:inline distT="0" distB="0" distL="0" distR="0" wp14:anchorId="5E65A9AE" wp14:editId="7D2B6E85">
            <wp:extent cx="3459193" cy="301570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113" cy="30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CA" w:rsidRDefault="00C716CA" w:rsidP="00C716CA">
      <w:pPr>
        <w:jc w:val="center"/>
      </w:pPr>
      <w:proofErr w:type="gramStart"/>
      <w:r>
        <w:t xml:space="preserve">Fig </w:t>
      </w:r>
      <w:r w:rsidR="008B590F">
        <w:t>1.4</w:t>
      </w:r>
      <w:r>
        <w:t>.</w:t>
      </w:r>
      <w:proofErr w:type="gramEnd"/>
      <w:r>
        <w:t xml:space="preserve"> Health Information input support by HealthVault</w:t>
      </w:r>
    </w:p>
    <w:p w:rsidR="00091E19" w:rsidRDefault="00725659" w:rsidP="00091E19">
      <w:r>
        <w:t>You</w:t>
      </w:r>
      <w:r w:rsidR="00F2770E">
        <w:t xml:space="preserve"> can </w:t>
      </w:r>
      <w:r>
        <w:t>also</w:t>
      </w:r>
      <w:r w:rsidR="001B6CAA">
        <w:t xml:space="preserve"> </w:t>
      </w:r>
      <w:r w:rsidR="00056B19">
        <w:t xml:space="preserve">drill deeper and understand how the </w:t>
      </w:r>
      <w:r w:rsidR="001B6CAA">
        <w:t>dat</w:t>
      </w:r>
      <w:r w:rsidR="00F2770E">
        <w:t>a</w:t>
      </w:r>
      <w:r w:rsidR="00056B19">
        <w:t xml:space="preserve"> entered your health profile</w:t>
      </w:r>
      <w:r>
        <w:t>,</w:t>
      </w:r>
      <w:r w:rsidR="001B6CAA">
        <w:t xml:space="preserve"> </w:t>
      </w:r>
      <w:r w:rsidR="00056B19">
        <w:t xml:space="preserve">and see the </w:t>
      </w:r>
      <w:r w:rsidR="001B6CAA">
        <w:t xml:space="preserve">audit </w:t>
      </w:r>
      <w:r w:rsidR="00056B19">
        <w:t>trail to understand</w:t>
      </w:r>
      <w:r w:rsidR="001B6CAA">
        <w:t xml:space="preserve"> how the data evolved. </w:t>
      </w:r>
      <w:r>
        <w:t>[</w:t>
      </w:r>
      <w:r w:rsidR="001B6CAA">
        <w:t xml:space="preserve">Fig </w:t>
      </w:r>
      <w:r w:rsidR="00675E41">
        <w:t>1.5</w:t>
      </w:r>
      <w:r>
        <w:t>]</w:t>
      </w:r>
      <w:r w:rsidR="001B6CAA">
        <w:t xml:space="preserve"> </w:t>
      </w:r>
      <w:r>
        <w:t>s</w:t>
      </w:r>
      <w:r w:rsidR="004D7030">
        <w:t>hows</w:t>
      </w:r>
      <w:r w:rsidR="001B6CAA">
        <w:t xml:space="preserve"> audit h</w:t>
      </w:r>
      <w:r w:rsidR="004D7030">
        <w:t>istory of weight in HealthVault.</w:t>
      </w:r>
    </w:p>
    <w:p w:rsidR="004D7030" w:rsidRDefault="004D7030" w:rsidP="004D7030">
      <w:pPr>
        <w:jc w:val="center"/>
      </w:pPr>
      <w:r>
        <w:rPr>
          <w:noProof/>
        </w:rPr>
        <w:drawing>
          <wp:inline distT="0" distB="0" distL="0" distR="0" wp14:anchorId="4AAEFB86" wp14:editId="35F43319">
            <wp:extent cx="4028536" cy="329685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36" cy="32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8F" w:rsidRDefault="004D7030" w:rsidP="0057141D">
      <w:pPr>
        <w:jc w:val="center"/>
      </w:pPr>
      <w:proofErr w:type="gramStart"/>
      <w:r>
        <w:t xml:space="preserve">Fig </w:t>
      </w:r>
      <w:r w:rsidR="008B590F">
        <w:t>1.5</w:t>
      </w:r>
      <w:r>
        <w:t>.</w:t>
      </w:r>
      <w:proofErr w:type="gramEnd"/>
      <w:r>
        <w:t xml:space="preserve"> Viewing details of health data in </w:t>
      </w:r>
      <w:r w:rsidR="00F2770E">
        <w:t>HealthVault</w:t>
      </w:r>
    </w:p>
    <w:p w:rsidR="00E21A04" w:rsidRDefault="00E21A04" w:rsidP="001809EC">
      <w:pPr>
        <w:pStyle w:val="Heading2"/>
      </w:pPr>
      <w:r>
        <w:lastRenderedPageBreak/>
        <w:t>Creating an emergency profile</w:t>
      </w:r>
    </w:p>
    <w:p w:rsidR="00E21A04" w:rsidRDefault="00E21A04" w:rsidP="00E21A04">
      <w:r>
        <w:t>Out of the box, HealthVault provides each user account with</w:t>
      </w:r>
      <w:r w:rsidRPr="003309D1">
        <w:t xml:space="preserve"> </w:t>
      </w:r>
      <w:r>
        <w:t xml:space="preserve">an emergency profile consisting of current allergies, conditions, medications, medical devices, and emergency contact information. A user can print, share, and update her emergency profile. </w:t>
      </w:r>
    </w:p>
    <w:p w:rsidR="00E21A04" w:rsidRDefault="00E21A04" w:rsidP="00E21A04">
      <w:r>
        <w:t>With an emergency profile, the user gets an emergency access code that could provide timely and up-to-date medical information to an emergency responder through HealthVault.com.</w:t>
      </w:r>
    </w:p>
    <w:p w:rsidR="00E21A04" w:rsidRPr="00127C87" w:rsidRDefault="00E21A04" w:rsidP="00E21A04">
      <w:r>
        <w:t xml:space="preserve">[Fig </w:t>
      </w:r>
      <w:r w:rsidR="00675E41">
        <w:t>1.6</w:t>
      </w:r>
      <w:r>
        <w:t>] shows the emergency access profile. Note that in addition to printing and sharing it, a user can also access a number of HealthVault tools that provide plethora of emergency services.</w:t>
      </w:r>
    </w:p>
    <w:p w:rsidR="00E21A04" w:rsidRDefault="00E21A04" w:rsidP="00E21A04">
      <w:pPr>
        <w:jc w:val="center"/>
      </w:pPr>
      <w:r>
        <w:rPr>
          <w:noProof/>
        </w:rPr>
        <w:drawing>
          <wp:inline distT="0" distB="0" distL="0" distR="0" wp14:anchorId="3E3607BF" wp14:editId="39D3F41E">
            <wp:extent cx="4304581" cy="3498852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795" cy="34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04" w:rsidRDefault="00E21A04" w:rsidP="00E21A04">
      <w:pPr>
        <w:jc w:val="center"/>
      </w:pPr>
      <w:r>
        <w:t xml:space="preserve">Fig </w:t>
      </w:r>
      <w:r w:rsidR="008B590F">
        <w:t>1.6</w:t>
      </w:r>
      <w:r>
        <w:t>.Emergency access profile</w:t>
      </w:r>
    </w:p>
    <w:p w:rsidR="0013191B" w:rsidRDefault="0057141D" w:rsidP="001809EC">
      <w:pPr>
        <w:pStyle w:val="Heading2"/>
      </w:pPr>
      <w:r>
        <w:t>Sharing</w:t>
      </w:r>
    </w:p>
    <w:p w:rsidR="00675E41" w:rsidRDefault="00C3332C" w:rsidP="00675E41">
      <w:r>
        <w:t>Using the sharing section of Health profile the user can view with whom and how his information is being shared. A user can invite people to view granular infor</w:t>
      </w:r>
      <w:r w:rsidR="00F4540B">
        <w:t>mation in their health profile. The data used in this book was shared by gracious contributors by using this sharing functionality for specific types of health data</w:t>
      </w:r>
      <w:r>
        <w:t xml:space="preserve">. </w:t>
      </w:r>
      <w:r w:rsidR="00675E41">
        <w:t>As Fig 1.7 shows u</w:t>
      </w:r>
      <w:r w:rsidR="00F4540B">
        <w:t>sing the sharing pane, u</w:t>
      </w:r>
      <w:r>
        <w:t>sers can review and revoke access to online health tools.</w:t>
      </w:r>
    </w:p>
    <w:p w:rsidR="0057141D" w:rsidRDefault="00785D0F" w:rsidP="00675E41">
      <w:pPr>
        <w:jc w:val="center"/>
      </w:pPr>
      <w:r>
        <w:rPr>
          <w:noProof/>
        </w:rPr>
        <w:lastRenderedPageBreak/>
        <w:drawing>
          <wp:inline distT="0" distB="0" distL="0" distR="0" wp14:anchorId="0C4E921E" wp14:editId="3D4838C7">
            <wp:extent cx="3914748" cy="27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6" cy="27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0F" w:rsidRPr="00785D0F" w:rsidRDefault="00785D0F" w:rsidP="00785D0F">
      <w:pPr>
        <w:jc w:val="center"/>
      </w:pPr>
      <w:proofErr w:type="gramStart"/>
      <w:r>
        <w:t xml:space="preserve">Fig </w:t>
      </w:r>
      <w:r w:rsidR="008B590F">
        <w:t>1.7</w:t>
      </w:r>
      <w:r>
        <w:t>.</w:t>
      </w:r>
      <w:proofErr w:type="gramEnd"/>
      <w:r>
        <w:t xml:space="preserve"> Sharing Health Information</w:t>
      </w:r>
    </w:p>
    <w:p w:rsidR="0057141D" w:rsidRDefault="0013191B" w:rsidP="001809EC">
      <w:pPr>
        <w:pStyle w:val="Heading2"/>
      </w:pPr>
      <w:r>
        <w:t>History</w:t>
      </w:r>
    </w:p>
    <w:p w:rsidR="00C3332C" w:rsidRPr="00C3332C" w:rsidRDefault="00E72362" w:rsidP="00C3332C">
      <w:r>
        <w:t xml:space="preserve">Having a granularly shareable health profile enables a plethora of care co-ordination scenarios. However we do want to know how and when our sensitive health information is being accessed and updated. </w:t>
      </w:r>
      <w:r w:rsidR="00675E41">
        <w:t>As Fig 1.8 shows u</w:t>
      </w:r>
      <w:r>
        <w:t xml:space="preserve">sing the “History” pane of </w:t>
      </w:r>
      <w:r w:rsidR="007D4427">
        <w:t xml:space="preserve">the </w:t>
      </w:r>
      <w:r>
        <w:t xml:space="preserve">Health </w:t>
      </w:r>
      <w:r w:rsidR="007D4427">
        <w:t>P</w:t>
      </w:r>
      <w:r>
        <w:t>rofile</w:t>
      </w:r>
      <w:r w:rsidR="007D4427">
        <w:t>,</w:t>
      </w:r>
      <w:r>
        <w:t xml:space="preserve"> a user can </w:t>
      </w:r>
      <w:r w:rsidR="00F4540B">
        <w:t>view the</w:t>
      </w:r>
      <w:r>
        <w:t xml:space="preserve"> ways their health information has been accessed. I frequently look at the “Changes made in last 30 days” and review who has accessed and updated my record.</w:t>
      </w:r>
    </w:p>
    <w:p w:rsidR="0013191B" w:rsidRDefault="00785D0F" w:rsidP="0011178B">
      <w:pPr>
        <w:jc w:val="center"/>
      </w:pPr>
      <w:r>
        <w:rPr>
          <w:noProof/>
        </w:rPr>
        <w:drawing>
          <wp:inline distT="0" distB="0" distL="0" distR="0" wp14:anchorId="25EC2F3F" wp14:editId="70DD5927">
            <wp:extent cx="3920054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297" cy="27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B" w:rsidRPr="0057141D" w:rsidRDefault="0011178B" w:rsidP="0011178B">
      <w:pPr>
        <w:jc w:val="center"/>
      </w:pPr>
      <w:proofErr w:type="gramStart"/>
      <w:r>
        <w:t xml:space="preserve">Fig </w:t>
      </w:r>
      <w:r w:rsidR="008B590F">
        <w:t>1.8</w:t>
      </w:r>
      <w:r>
        <w:t>.</w:t>
      </w:r>
      <w:proofErr w:type="gramEnd"/>
      <w:r>
        <w:t xml:space="preserve"> Reviewing History of Changes</w:t>
      </w:r>
    </w:p>
    <w:p w:rsidR="002E6702" w:rsidRDefault="00A826E1" w:rsidP="00402477">
      <w:pPr>
        <w:pStyle w:val="Heading1"/>
      </w:pPr>
      <w:r>
        <w:lastRenderedPageBreak/>
        <w:t>Working with Health Data</w:t>
      </w:r>
    </w:p>
    <w:p w:rsidR="00B53EAA" w:rsidRPr="00B53EAA" w:rsidRDefault="004F76DF" w:rsidP="00B53EAA">
      <w:r>
        <w:t>Data is a powerful tool</w:t>
      </w:r>
      <w:r w:rsidR="003F417D">
        <w:t xml:space="preserve"> to understand behaviors and trigger appropriate measure</w:t>
      </w:r>
      <w:r w:rsidR="004E5DCF">
        <w:t>d</w:t>
      </w:r>
      <w:r w:rsidR="003F417D">
        <w:t xml:space="preserve"> change.</w:t>
      </w:r>
      <w:r w:rsidR="00C66BA0">
        <w:t xml:space="preserve"> U</w:t>
      </w:r>
      <w:r w:rsidR="00C66BA0" w:rsidRPr="00B53EAA">
        <w:t>sers can find out interesting trends by run</w:t>
      </w:r>
      <w:r w:rsidR="00C66BA0">
        <w:t>ning calculations on their data stored in HealthVault, as I’ll show throughout this book.</w:t>
      </w:r>
    </w:p>
    <w:p w:rsidR="00A826E1" w:rsidRDefault="00686D6E" w:rsidP="00A826E1">
      <w:r>
        <w:t xml:space="preserve">For instance, through </w:t>
      </w:r>
      <w:r w:rsidR="00A826E1">
        <w:t>the Health Informat</w:t>
      </w:r>
      <w:r w:rsidR="00B53EAA">
        <w:t>ion section</w:t>
      </w:r>
      <w:r>
        <w:t>,</w:t>
      </w:r>
      <w:r w:rsidR="00B53EAA">
        <w:t xml:space="preserve"> a user can chart</w:t>
      </w:r>
      <w:r w:rsidR="00A826E1">
        <w:t xml:space="preserve"> </w:t>
      </w:r>
      <w:r>
        <w:t xml:space="preserve">his </w:t>
      </w:r>
      <w:r w:rsidR="00A826E1">
        <w:t>weight reading</w:t>
      </w:r>
      <w:r w:rsidR="00AA233A">
        <w:t>s</w:t>
      </w:r>
      <w:r w:rsidR="00A826E1">
        <w:t xml:space="preserve"> </w:t>
      </w:r>
      <w:r>
        <w:t>(</w:t>
      </w:r>
      <w:r w:rsidR="00A826E1">
        <w:t xml:space="preserve">Fig </w:t>
      </w:r>
      <w:r w:rsidR="00675E41">
        <w:t>1.9</w:t>
      </w:r>
      <w:r>
        <w:t>)</w:t>
      </w:r>
      <w:r w:rsidR="00A826E1">
        <w:t>.</w:t>
      </w:r>
    </w:p>
    <w:p w:rsidR="00A826E1" w:rsidRDefault="001809EC" w:rsidP="00A826E1">
      <w:pPr>
        <w:jc w:val="center"/>
      </w:pPr>
      <w:r>
        <w:rPr>
          <w:noProof/>
        </w:rPr>
        <w:drawing>
          <wp:inline distT="0" distB="0" distL="0" distR="0" wp14:anchorId="47CC59F3" wp14:editId="05A39107">
            <wp:extent cx="5827082" cy="4149306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7082" cy="41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E1" w:rsidRPr="00A826E1" w:rsidRDefault="00A826E1" w:rsidP="00A826E1">
      <w:pPr>
        <w:jc w:val="center"/>
      </w:pPr>
      <w:proofErr w:type="gramStart"/>
      <w:r>
        <w:t xml:space="preserve">Fig </w:t>
      </w:r>
      <w:r w:rsidR="008B590F">
        <w:t>1.9</w:t>
      </w:r>
      <w:r>
        <w:t>.</w:t>
      </w:r>
      <w:proofErr w:type="gramEnd"/>
      <w:r>
        <w:t xml:space="preserve"> Tracking weight in HealthVault</w:t>
      </w:r>
    </w:p>
    <w:p w:rsidR="00CC12B7" w:rsidRDefault="00A826E1" w:rsidP="00CC12B7">
      <w:r>
        <w:t>You will see that over last several readings</w:t>
      </w:r>
      <w:r w:rsidR="004E5DCF">
        <w:t>,</w:t>
      </w:r>
      <w:r w:rsidR="00145B66">
        <w:t xml:space="preserve"> weight has been stable around 2</w:t>
      </w:r>
      <w:r w:rsidR="00FB5508">
        <w:t>57</w:t>
      </w:r>
      <w:r>
        <w:t xml:space="preserve"> pounds. </w:t>
      </w:r>
      <w:r w:rsidR="004E5DCF">
        <w:t xml:space="preserve">Nonetheless, </w:t>
      </w:r>
      <w:r>
        <w:t>I would like to take</w:t>
      </w:r>
      <w:r w:rsidR="00B378B3">
        <w:t xml:space="preserve"> this a bit further and analyze</w:t>
      </w:r>
      <w:r>
        <w:t xml:space="preserve"> </w:t>
      </w:r>
      <w:r w:rsidR="00B378B3">
        <w:t>these readings. To do this</w:t>
      </w:r>
      <w:r>
        <w:t xml:space="preserve"> I click on </w:t>
      </w:r>
      <w:r w:rsidR="00413BB4">
        <w:t xml:space="preserve">the </w:t>
      </w:r>
      <w:r>
        <w:t xml:space="preserve">“export” button in the Health </w:t>
      </w:r>
      <w:r w:rsidR="004E5DCF">
        <w:t>I</w:t>
      </w:r>
      <w:r>
        <w:t>nformation section</w:t>
      </w:r>
      <w:r w:rsidR="00B378B3">
        <w:t>. This gives me the readings in a</w:t>
      </w:r>
      <w:r>
        <w:t xml:space="preserve"> comma separate</w:t>
      </w:r>
      <w:r w:rsidR="00B378B3">
        <w:t>d</w:t>
      </w:r>
      <w:r>
        <w:t xml:space="preserve"> values </w:t>
      </w:r>
      <w:r w:rsidR="00413BB4">
        <w:t xml:space="preserve">(CSV) </w:t>
      </w:r>
      <w:r>
        <w:t>format</w:t>
      </w:r>
      <w:r w:rsidR="00413BB4">
        <w:t>,</w:t>
      </w:r>
      <w:r>
        <w:t xml:space="preserve"> which I can then open in Microsoft </w:t>
      </w:r>
      <w:r w:rsidR="00413BB4">
        <w:t>E</w:t>
      </w:r>
      <w:r>
        <w:t>xcel</w:t>
      </w:r>
      <w:r w:rsidR="008F68E5">
        <w:t xml:space="preserve"> or any spreadsheet program</w:t>
      </w:r>
      <w:r w:rsidR="00413BB4">
        <w:t xml:space="preserve"> (Fig </w:t>
      </w:r>
      <w:r w:rsidR="00675E41">
        <w:t>1.10</w:t>
      </w:r>
      <w:r w:rsidR="00413BB4">
        <w:t>)</w:t>
      </w:r>
      <w:r>
        <w:t>.</w:t>
      </w:r>
      <w:r w:rsidR="002110A3">
        <w:t xml:space="preserve"> </w:t>
      </w:r>
      <w:r w:rsidR="00CC12B7">
        <w:t>If you don’t have weight data, I encourage you to download the sample spreadsheet with weight data included as part of this book’s examples, and follow along.</w:t>
      </w:r>
    </w:p>
    <w:p w:rsidR="00DE1CF3" w:rsidRDefault="00384920" w:rsidP="00CC12B7">
      <w:pPr>
        <w:jc w:val="center"/>
      </w:pPr>
      <w:r>
        <w:rPr>
          <w:noProof/>
        </w:rPr>
        <w:lastRenderedPageBreak/>
        <w:drawing>
          <wp:inline distT="0" distB="0" distL="0" distR="0" wp14:anchorId="30569BB3" wp14:editId="059FE28B">
            <wp:extent cx="2406770" cy="1835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645" cy="183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E5" w:rsidRDefault="008F68E5" w:rsidP="008F68E5">
      <w:pPr>
        <w:jc w:val="center"/>
      </w:pPr>
      <w:proofErr w:type="gramStart"/>
      <w:r>
        <w:t xml:space="preserve">Fig </w:t>
      </w:r>
      <w:r w:rsidR="008B590F">
        <w:t>1.10</w:t>
      </w:r>
      <w:r>
        <w:t>.</w:t>
      </w:r>
      <w:proofErr w:type="gramEnd"/>
      <w:r>
        <w:t xml:space="preserve"> Weight readings in Microsoft Excel</w:t>
      </w:r>
    </w:p>
    <w:p w:rsidR="00384920" w:rsidRDefault="00384920" w:rsidP="002E6702">
      <w:r>
        <w:t>Using Excel</w:t>
      </w:r>
      <w:r w:rsidR="00DA5B7D">
        <w:t>, I</w:t>
      </w:r>
      <w:r>
        <w:t xml:space="preserve"> can clean the data so </w:t>
      </w:r>
      <w:r w:rsidR="00DA5B7D">
        <w:t>I</w:t>
      </w:r>
      <w:r>
        <w:t xml:space="preserve"> can chart and analyze</w:t>
      </w:r>
      <w:r w:rsidR="00DA5B7D">
        <w:t xml:space="preserve"> it </w:t>
      </w:r>
      <w:r w:rsidR="004E5DCF">
        <w:t>further</w:t>
      </w:r>
      <w:r>
        <w:t xml:space="preserve">. </w:t>
      </w:r>
      <w:r w:rsidR="00DA5B7D">
        <w:t xml:space="preserve">I can </w:t>
      </w:r>
      <w:r>
        <w:t xml:space="preserve">add </w:t>
      </w:r>
      <w:r w:rsidR="00DA5B7D">
        <w:t xml:space="preserve">a </w:t>
      </w:r>
      <w:r>
        <w:t xml:space="preserve">series date attribute by just using the date from </w:t>
      </w:r>
      <w:r w:rsidR="00DA5B7D">
        <w:t xml:space="preserve">the </w:t>
      </w:r>
      <w:r>
        <w:t>first column</w:t>
      </w:r>
      <w:r w:rsidR="00DA5B7D">
        <w:t xml:space="preserve"> (Fig </w:t>
      </w:r>
      <w:r w:rsidR="00675E41">
        <w:t>1.11</w:t>
      </w:r>
      <w:r w:rsidR="00DA5B7D">
        <w:t>)</w:t>
      </w:r>
      <w:r>
        <w:t>.</w:t>
      </w:r>
    </w:p>
    <w:p w:rsidR="00384920" w:rsidRDefault="00241942" w:rsidP="00DE26CE">
      <w:pPr>
        <w:jc w:val="center"/>
      </w:pPr>
      <w:r>
        <w:rPr>
          <w:noProof/>
        </w:rPr>
        <w:drawing>
          <wp:inline distT="0" distB="0" distL="0" distR="0" wp14:anchorId="1117089C" wp14:editId="3BB21387">
            <wp:extent cx="3392715" cy="17166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640" cy="17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20" w:rsidRDefault="00384920" w:rsidP="00384920">
      <w:pPr>
        <w:jc w:val="center"/>
      </w:pPr>
      <w:proofErr w:type="gramStart"/>
      <w:r>
        <w:t xml:space="preserve">Fig </w:t>
      </w:r>
      <w:r w:rsidR="008B590F">
        <w:t>1.11</w:t>
      </w:r>
      <w:r>
        <w:t>.</w:t>
      </w:r>
      <w:proofErr w:type="gramEnd"/>
      <w:r>
        <w:t xml:space="preserve"> Using Excel to clean up the dat</w:t>
      </w:r>
      <w:r w:rsidR="00CB182D">
        <w:t>e</w:t>
      </w:r>
    </w:p>
    <w:p w:rsidR="00241942" w:rsidRDefault="00241942" w:rsidP="00384920">
      <w:r>
        <w:t xml:space="preserve">The formula </w:t>
      </w:r>
      <w:proofErr w:type="gramStart"/>
      <w:r>
        <w:t>DATEVALUE(</w:t>
      </w:r>
      <w:proofErr w:type="gramEnd"/>
      <w:r>
        <w:t>LEFT(A2, FIND(“ “), A2))) , converts the cell to a date value by picking the left side of the date format before the first space in column A2.</w:t>
      </w:r>
      <w:r w:rsidR="003A005E">
        <w:t xml:space="preserve"> </w:t>
      </w:r>
      <w:r>
        <w:t xml:space="preserve">The formula </w:t>
      </w:r>
      <w:proofErr w:type="gramStart"/>
      <w:r>
        <w:t>ROUND(</w:t>
      </w:r>
      <w:proofErr w:type="gramEnd"/>
      <w:r>
        <w:t xml:space="preserve">SUBSTITUTE(C2,”pounds”)),0), </w:t>
      </w:r>
      <w:r w:rsidR="00016F4B">
        <w:t>removes</w:t>
      </w:r>
      <w:r>
        <w:t xml:space="preserve"> the pound unit in column C and rounds the value to nearest i</w:t>
      </w:r>
      <w:r w:rsidR="006733BC">
        <w:t>nteger.</w:t>
      </w:r>
    </w:p>
    <w:p w:rsidR="008F68E5" w:rsidRDefault="008F68E5" w:rsidP="002E6702">
      <w:r>
        <w:t xml:space="preserve">Using Excel I can find the average </w:t>
      </w:r>
      <w:r w:rsidR="0003277F">
        <w:t>weight over</w:t>
      </w:r>
      <w:r w:rsidR="006733BC">
        <w:t xml:space="preserve"> the last set of readings (Fig </w:t>
      </w:r>
      <w:r w:rsidR="00675E41">
        <w:t>1.12</w:t>
      </w:r>
      <w:r w:rsidR="0003277F">
        <w:t xml:space="preserve">), and in fact plot </w:t>
      </w:r>
      <w:r w:rsidR="003A005E">
        <w:t xml:space="preserve">my </w:t>
      </w:r>
      <w:r w:rsidR="0003277F">
        <w:t>weight over mon</w:t>
      </w:r>
      <w:r w:rsidR="000F03C0">
        <w:t xml:space="preserve">ths to </w:t>
      </w:r>
      <w:r w:rsidR="00F4540B">
        <w:t>uncover the</w:t>
      </w:r>
      <w:r w:rsidR="000F03C0">
        <w:t xml:space="preserve"> monthly trend (Fig </w:t>
      </w:r>
      <w:r w:rsidR="00675E41">
        <w:t>1.13</w:t>
      </w:r>
      <w:r w:rsidR="000F03C0">
        <w:t>).</w:t>
      </w:r>
    </w:p>
    <w:p w:rsidR="00DE1CF3" w:rsidRDefault="006733BC" w:rsidP="0003277F">
      <w:pPr>
        <w:jc w:val="center"/>
      </w:pPr>
      <w:r>
        <w:rPr>
          <w:noProof/>
        </w:rPr>
        <w:lastRenderedPageBreak/>
        <w:drawing>
          <wp:inline distT="0" distB="0" distL="0" distR="0" wp14:anchorId="1DC03790" wp14:editId="72204256">
            <wp:extent cx="3312543" cy="3026619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0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C0" w:rsidRDefault="0003277F" w:rsidP="003A005E">
      <w:pPr>
        <w:jc w:val="center"/>
      </w:pPr>
      <w:proofErr w:type="gramStart"/>
      <w:r>
        <w:t xml:space="preserve">Fig </w:t>
      </w:r>
      <w:r w:rsidR="008B590F">
        <w:t>1.1</w:t>
      </w:r>
      <w:r w:rsidR="00675E41">
        <w:t>2</w:t>
      </w:r>
      <w:r>
        <w:t>.</w:t>
      </w:r>
      <w:proofErr w:type="gramEnd"/>
      <w:r>
        <w:t xml:space="preserve"> Average weight</w:t>
      </w:r>
    </w:p>
    <w:p w:rsidR="00DE1CF3" w:rsidRDefault="006733BC" w:rsidP="002110A3">
      <w:pPr>
        <w:jc w:val="center"/>
      </w:pPr>
      <w:r>
        <w:rPr>
          <w:noProof/>
        </w:rPr>
        <w:drawing>
          <wp:inline distT="0" distB="0" distL="0" distR="0" wp14:anchorId="33325051" wp14:editId="2C4000D4">
            <wp:extent cx="4572000" cy="36585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881" cy="36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A3" w:rsidRDefault="000F03C0" w:rsidP="002110A3">
      <w:pPr>
        <w:jc w:val="center"/>
      </w:pPr>
      <w:r>
        <w:t xml:space="preserve">Fig </w:t>
      </w:r>
      <w:r w:rsidR="008B590F">
        <w:t>1.</w:t>
      </w:r>
      <w:r>
        <w:t>1</w:t>
      </w:r>
      <w:r w:rsidR="00675E41">
        <w:t>3</w:t>
      </w:r>
      <w:r>
        <w:t>. Monthly average weight</w:t>
      </w:r>
      <w:r w:rsidR="003A005E">
        <w:t xml:space="preserve"> as a bar chart</w:t>
      </w:r>
    </w:p>
    <w:p w:rsidR="002110A3" w:rsidRDefault="002110A3" w:rsidP="002110A3">
      <w:r>
        <w:t>Managing weight is one scenario where you can use health tools to gain insights, the associated website</w:t>
      </w:r>
      <w:r w:rsidR="00E70375">
        <w:t xml:space="preserve"> with this book,</w:t>
      </w:r>
      <w:r>
        <w:t xml:space="preserve"> enablingquantifiedself.com</w:t>
      </w:r>
      <w:r w:rsidR="00E70375">
        <w:t>,</w:t>
      </w:r>
      <w:r>
        <w:t xml:space="preserve"> has a repository of spreadsheets giving inspiration for additional care scenarios.</w:t>
      </w:r>
    </w:p>
    <w:p w:rsidR="000F03C0" w:rsidRDefault="00367C02" w:rsidP="001809EC">
      <w:pPr>
        <w:pStyle w:val="Heading1"/>
      </w:pPr>
      <w:r>
        <w:lastRenderedPageBreak/>
        <w:t>Using partner applications</w:t>
      </w:r>
    </w:p>
    <w:p w:rsidR="00367C02" w:rsidRPr="00367C02" w:rsidRDefault="005C07CE" w:rsidP="00367C02">
      <w:r>
        <w:t xml:space="preserve">So far, we </w:t>
      </w:r>
      <w:r w:rsidR="00487588">
        <w:t xml:space="preserve">have </w:t>
      </w:r>
      <w:r>
        <w:t xml:space="preserve">looked at the mechanisms provided </w:t>
      </w:r>
      <w:r w:rsidR="004E5DCF">
        <w:t xml:space="preserve">within </w:t>
      </w:r>
      <w:r>
        <w:t>HealthVault to track, update and v</w:t>
      </w:r>
      <w:r w:rsidR="00487588">
        <w:t xml:space="preserve">isualize health information. </w:t>
      </w:r>
      <w:r w:rsidR="004E5DCF">
        <w:t>O</w:t>
      </w:r>
      <w:r w:rsidR="00AA13FC">
        <w:t>utside applications</w:t>
      </w:r>
      <w:r w:rsidR="004E5DCF">
        <w:t>, however,</w:t>
      </w:r>
      <w:r w:rsidR="00AA13FC">
        <w:t xml:space="preserve"> offer even more information. For instance, </w:t>
      </w:r>
      <w:r>
        <w:t xml:space="preserve">the </w:t>
      </w:r>
      <w:r w:rsidR="005232CA">
        <w:t xml:space="preserve">Mayo </w:t>
      </w:r>
      <w:r w:rsidR="004E5DCF">
        <w:t>C</w:t>
      </w:r>
      <w:r w:rsidR="005232CA">
        <w:t xml:space="preserve">linic </w:t>
      </w:r>
      <w:r w:rsidR="004E5DCF">
        <w:t>H</w:t>
      </w:r>
      <w:r w:rsidR="005232CA">
        <w:t xml:space="preserve">ealth </w:t>
      </w:r>
      <w:r w:rsidR="004E5DCF">
        <w:t>M</w:t>
      </w:r>
      <w:r w:rsidR="005232CA">
        <w:t xml:space="preserve">anager </w:t>
      </w:r>
      <w:r w:rsidR="003C5EC1">
        <w:t>application</w:t>
      </w:r>
      <w:r w:rsidR="003746B5">
        <w:t>,</w:t>
      </w:r>
      <w:r w:rsidR="003C5EC1">
        <w:t xml:space="preserve"> </w:t>
      </w:r>
      <w:r w:rsidR="00845B5D" w:rsidRPr="003C5EC1">
        <w:t>https://healthmanager.mayoclinic.com</w:t>
      </w:r>
      <w:r w:rsidR="003746B5">
        <w:t>,</w:t>
      </w:r>
      <w:r w:rsidR="00845B5D">
        <w:t xml:space="preserve"> </w:t>
      </w:r>
      <w:r w:rsidR="005232CA">
        <w:t xml:space="preserve">can track </w:t>
      </w:r>
      <w:r w:rsidR="00AA13FC">
        <w:t xml:space="preserve">your </w:t>
      </w:r>
      <w:r w:rsidR="005232CA">
        <w:t>weight toward an intended goal</w:t>
      </w:r>
      <w:r w:rsidR="00AA13FC">
        <w:t xml:space="preserve"> (Fig </w:t>
      </w:r>
      <w:r w:rsidR="00675E41">
        <w:t>1.14</w:t>
      </w:r>
      <w:r w:rsidR="00AA13FC">
        <w:t>)</w:t>
      </w:r>
      <w:r w:rsidR="005232CA">
        <w:t>.</w:t>
      </w:r>
    </w:p>
    <w:p w:rsidR="005C07CE" w:rsidRDefault="005C07CE" w:rsidP="005232CA">
      <w:pPr>
        <w:jc w:val="center"/>
      </w:pPr>
      <w:r>
        <w:rPr>
          <w:noProof/>
        </w:rPr>
        <w:drawing>
          <wp:inline distT="0" distB="0" distL="0" distR="0" wp14:anchorId="139F2541" wp14:editId="5B64E8AE">
            <wp:extent cx="3907766" cy="366060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324" cy="36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7CE" w:rsidRDefault="005C07CE" w:rsidP="005232CA">
      <w:pPr>
        <w:jc w:val="center"/>
      </w:pPr>
      <w:r>
        <w:t xml:space="preserve">Fig </w:t>
      </w:r>
      <w:r w:rsidR="008B590F">
        <w:t>1.</w:t>
      </w:r>
      <w:r>
        <w:t>1</w:t>
      </w:r>
      <w:r w:rsidR="00675E41">
        <w:t>4</w:t>
      </w:r>
      <w:r>
        <w:t>. Tra</w:t>
      </w:r>
      <w:r w:rsidR="005232CA">
        <w:t xml:space="preserve">cking </w:t>
      </w:r>
      <w:r w:rsidR="00AA13FC">
        <w:t>w</w:t>
      </w:r>
      <w:r w:rsidR="005232CA">
        <w:t>eight against a goal</w:t>
      </w:r>
    </w:p>
    <w:p w:rsidR="005232CA" w:rsidRDefault="00AB76D9" w:rsidP="00AB76D9">
      <w:r>
        <w:t xml:space="preserve">The Mayo </w:t>
      </w:r>
      <w:r w:rsidR="004E5DCF">
        <w:t>Clinic H</w:t>
      </w:r>
      <w:r>
        <w:t xml:space="preserve">ealth </w:t>
      </w:r>
      <w:r w:rsidR="004E5DCF">
        <w:t xml:space="preserve">Manager </w:t>
      </w:r>
      <w:r>
        <w:t>is able to access all the weight information from a user’s HealthVault account using the HealthVault API.</w:t>
      </w:r>
      <w:r w:rsidR="00C70C9B">
        <w:t xml:space="preserve"> If you’re not a programmer</w:t>
      </w:r>
      <w:r w:rsidR="004E5DCF">
        <w:t xml:space="preserve"> you</w:t>
      </w:r>
      <w:r w:rsidR="00C70C9B">
        <w:t xml:space="preserve"> can benefit from many</w:t>
      </w:r>
      <w:r w:rsidR="00B57FAF">
        <w:t xml:space="preserve"> such</w:t>
      </w:r>
      <w:r w:rsidR="00C70C9B">
        <w:t xml:space="preserve"> applications that add value to </w:t>
      </w:r>
      <w:r w:rsidR="00976559">
        <w:t>HealthVault</w:t>
      </w:r>
      <w:r w:rsidR="00B57FAF">
        <w:t xml:space="preserve"> by allowing you to track and measure health data</w:t>
      </w:r>
      <w:r w:rsidR="00C70C9B">
        <w:t xml:space="preserve">. </w:t>
      </w:r>
      <w:r w:rsidR="00B57FAF">
        <w:t xml:space="preserve"> If, however,</w:t>
      </w:r>
      <w:r w:rsidR="00C70C9B">
        <w:t xml:space="preserve"> you have modest programming skills in almost any modern language</w:t>
      </w:r>
      <w:r w:rsidR="00B57FAF">
        <w:t>, this book will show you can create your own</w:t>
      </w:r>
      <w:r w:rsidR="00C70C9B">
        <w:t>.</w:t>
      </w:r>
      <w:r w:rsidR="004E5DCF">
        <w:t xml:space="preserve"> </w:t>
      </w:r>
    </w:p>
    <w:p w:rsidR="00AB76D9" w:rsidRDefault="00DE13BA" w:rsidP="00AB76D9">
      <w:r>
        <w:t xml:space="preserve">The HealthVault .NET Web SDK provides an abstraction on HealthVault APIs to simplify working with the platform. </w:t>
      </w:r>
      <w:r w:rsidR="00675E41">
        <w:t>Listing 1.</w:t>
      </w:r>
      <w:r w:rsidR="00530020">
        <w:t>1</w:t>
      </w:r>
      <w:r>
        <w:t xml:space="preserve"> </w:t>
      </w:r>
      <w:r w:rsidR="00530020">
        <w:t xml:space="preserve">is a .Net program using the SDK to extract all the weights </w:t>
      </w:r>
      <w:r>
        <w:t>from a user’s HealthVault record</w:t>
      </w:r>
      <w:r w:rsidR="00530020">
        <w:t xml:space="preserve"> into a dictionary</w:t>
      </w:r>
      <w:r>
        <w:t>.</w:t>
      </w:r>
    </w:p>
    <w:p w:rsidR="00976559" w:rsidRDefault="00736DED" w:rsidP="00AB76D9">
      <w:r>
        <w:rPr>
          <w:noProof/>
        </w:rPr>
        <w:lastRenderedPageBreak/>
        <w:drawing>
          <wp:inline distT="0" distB="0" distL="0" distR="0" wp14:anchorId="2865DD7B" wp14:editId="66EE6EAE">
            <wp:extent cx="5779698" cy="4886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698" cy="48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59" w:rsidRDefault="00F4540B" w:rsidP="002641CF">
      <w:pPr>
        <w:jc w:val="center"/>
      </w:pPr>
      <w:r>
        <w:t>Listing</w:t>
      </w:r>
      <w:r w:rsidR="00976559">
        <w:t xml:space="preserve"> </w:t>
      </w:r>
      <w:r w:rsidR="008B590F">
        <w:t>1</w:t>
      </w:r>
      <w:r>
        <w:t>.</w:t>
      </w:r>
      <w:r w:rsidR="00976559">
        <w:t>1. Accessing HealthVault through the .NET Web SDK to read weight measurements</w:t>
      </w:r>
    </w:p>
    <w:p w:rsidR="00DE13BA" w:rsidRDefault="0098164A" w:rsidP="00AB76D9">
      <w:r>
        <w:t>The steps in extracting data are</w:t>
      </w:r>
      <w:r w:rsidR="00B57FAF">
        <w:t>;</w:t>
      </w:r>
      <w:r>
        <w:t xml:space="preserve"> create a searcher, add a filter to restrict the output to the field or rows you want, and then run a search. The </w:t>
      </w:r>
      <w:r w:rsidR="002E3F75">
        <w:rPr>
          <w:rFonts w:ascii="Consolas" w:hAnsi="Consolas" w:cs="Consolas"/>
          <w:sz w:val="19"/>
          <w:szCs w:val="19"/>
        </w:rPr>
        <w:t>searcher.GetMatchingItems()</w:t>
      </w:r>
      <w:r w:rsidR="00F4540B">
        <w:rPr>
          <w:rFonts w:ascii="Consolas" w:hAnsi="Consolas" w:cs="Consolas"/>
          <w:sz w:val="19"/>
          <w:szCs w:val="19"/>
        </w:rPr>
        <w:t xml:space="preserve"> </w:t>
      </w:r>
      <w:r w:rsidR="00F4540B" w:rsidRPr="00F4540B">
        <w:t>in Line 21 of Listing 0.1</w:t>
      </w:r>
      <w:r w:rsidR="002E3F75" w:rsidRPr="002E3F75">
        <w:t xml:space="preserve"> actually issues a HealthVault GetThings API request with a </w:t>
      </w:r>
      <w:r w:rsidR="00F4540B">
        <w:t>query</w:t>
      </w:r>
      <w:r w:rsidR="002E3F75" w:rsidRPr="002E3F75">
        <w:t xml:space="preserve"> configured to fetch all the Weight items from </w:t>
      </w:r>
      <w:r w:rsidR="00F4540B">
        <w:t xml:space="preserve">the users </w:t>
      </w:r>
      <w:r w:rsidR="002E3F75" w:rsidRPr="002E3F75">
        <w:t>HealthVault</w:t>
      </w:r>
      <w:r w:rsidR="00F4540B">
        <w:t xml:space="preserve"> record. We will learn more about the </w:t>
      </w:r>
      <w:r w:rsidR="002E3F75" w:rsidRPr="002E3F75">
        <w:t xml:space="preserve">API </w:t>
      </w:r>
      <w:r w:rsidR="00F4540B">
        <w:t xml:space="preserve">&amp; account management </w:t>
      </w:r>
      <w:r w:rsidR="002E3F75" w:rsidRPr="002E3F75">
        <w:t xml:space="preserve">in chapter </w:t>
      </w:r>
      <w:r w:rsidR="00EF286D">
        <w:t>3</w:t>
      </w:r>
      <w:r w:rsidR="002E3F75" w:rsidRPr="002E3F75">
        <w:t xml:space="preserve">, and the data types in Chapter </w:t>
      </w:r>
      <w:r w:rsidR="00EF286D">
        <w:t>4</w:t>
      </w:r>
      <w:r w:rsidR="002E3F75" w:rsidRPr="002E3F75">
        <w:t>.</w:t>
      </w:r>
    </w:p>
    <w:p w:rsidR="00DE1CF3" w:rsidRPr="002E6702" w:rsidRDefault="005232CA" w:rsidP="002E6702">
      <w:r>
        <w:t xml:space="preserve">In the next chapter, we will dive deeper into the </w:t>
      </w:r>
      <w:r w:rsidR="002E3F75">
        <w:t xml:space="preserve">HealthVault </w:t>
      </w:r>
      <w:r>
        <w:t>d</w:t>
      </w:r>
      <w:r w:rsidR="002E3F75">
        <w:t>evice and application ecosystem.</w:t>
      </w:r>
    </w:p>
    <w:sectPr w:rsidR="00DE1CF3" w:rsidRPr="002E6702" w:rsidSect="00C4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F222D"/>
    <w:multiLevelType w:val="hybridMultilevel"/>
    <w:tmpl w:val="B8FC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50F3C"/>
    <w:multiLevelType w:val="hybridMultilevel"/>
    <w:tmpl w:val="3C9A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9E"/>
    <w:rsid w:val="00010698"/>
    <w:rsid w:val="00016F4B"/>
    <w:rsid w:val="0003277F"/>
    <w:rsid w:val="00056B19"/>
    <w:rsid w:val="000634EA"/>
    <w:rsid w:val="00077544"/>
    <w:rsid w:val="000832BF"/>
    <w:rsid w:val="00091E19"/>
    <w:rsid w:val="000D2F58"/>
    <w:rsid w:val="000F03C0"/>
    <w:rsid w:val="0011178B"/>
    <w:rsid w:val="00124AA5"/>
    <w:rsid w:val="00127C87"/>
    <w:rsid w:val="0013191B"/>
    <w:rsid w:val="00145B66"/>
    <w:rsid w:val="001809EC"/>
    <w:rsid w:val="00192863"/>
    <w:rsid w:val="001B6CAA"/>
    <w:rsid w:val="002110A3"/>
    <w:rsid w:val="002122E1"/>
    <w:rsid w:val="00241942"/>
    <w:rsid w:val="0025704E"/>
    <w:rsid w:val="002641CF"/>
    <w:rsid w:val="00280C7B"/>
    <w:rsid w:val="00290DB3"/>
    <w:rsid w:val="002B6F27"/>
    <w:rsid w:val="002E3F75"/>
    <w:rsid w:val="002E6702"/>
    <w:rsid w:val="00302E8E"/>
    <w:rsid w:val="00304ACD"/>
    <w:rsid w:val="003309D1"/>
    <w:rsid w:val="0033329D"/>
    <w:rsid w:val="00336584"/>
    <w:rsid w:val="003477C6"/>
    <w:rsid w:val="00367C02"/>
    <w:rsid w:val="003746B5"/>
    <w:rsid w:val="0037704D"/>
    <w:rsid w:val="00382AB1"/>
    <w:rsid w:val="00384920"/>
    <w:rsid w:val="00386EDA"/>
    <w:rsid w:val="003A005E"/>
    <w:rsid w:val="003C5EC1"/>
    <w:rsid w:val="003E3AA3"/>
    <w:rsid w:val="003F417D"/>
    <w:rsid w:val="003F68E0"/>
    <w:rsid w:val="00402477"/>
    <w:rsid w:val="00413BB4"/>
    <w:rsid w:val="00465C71"/>
    <w:rsid w:val="00487588"/>
    <w:rsid w:val="004A167B"/>
    <w:rsid w:val="004B2800"/>
    <w:rsid w:val="004D1B25"/>
    <w:rsid w:val="004D7030"/>
    <w:rsid w:val="004E5DCF"/>
    <w:rsid w:val="004F575C"/>
    <w:rsid w:val="004F76DF"/>
    <w:rsid w:val="005232CA"/>
    <w:rsid w:val="00530020"/>
    <w:rsid w:val="00550FC5"/>
    <w:rsid w:val="0057141D"/>
    <w:rsid w:val="005C07CE"/>
    <w:rsid w:val="005C3018"/>
    <w:rsid w:val="006275A2"/>
    <w:rsid w:val="00632D64"/>
    <w:rsid w:val="006733BC"/>
    <w:rsid w:val="00675E41"/>
    <w:rsid w:val="00686232"/>
    <w:rsid w:val="00686D6E"/>
    <w:rsid w:val="006A5EB2"/>
    <w:rsid w:val="007010AC"/>
    <w:rsid w:val="00704E8E"/>
    <w:rsid w:val="00725659"/>
    <w:rsid w:val="00736DED"/>
    <w:rsid w:val="007830DB"/>
    <w:rsid w:val="00785D0F"/>
    <w:rsid w:val="00795E7A"/>
    <w:rsid w:val="007A5DD9"/>
    <w:rsid w:val="007D4427"/>
    <w:rsid w:val="00834EA8"/>
    <w:rsid w:val="00842D3E"/>
    <w:rsid w:val="00845B5D"/>
    <w:rsid w:val="008B590F"/>
    <w:rsid w:val="008F68E5"/>
    <w:rsid w:val="00944445"/>
    <w:rsid w:val="00971B1E"/>
    <w:rsid w:val="00976559"/>
    <w:rsid w:val="00980C99"/>
    <w:rsid w:val="009814CB"/>
    <w:rsid w:val="0098164A"/>
    <w:rsid w:val="00991B8F"/>
    <w:rsid w:val="00997975"/>
    <w:rsid w:val="009C1ACD"/>
    <w:rsid w:val="00A0631E"/>
    <w:rsid w:val="00A10BF1"/>
    <w:rsid w:val="00A219D9"/>
    <w:rsid w:val="00A43B35"/>
    <w:rsid w:val="00A50D83"/>
    <w:rsid w:val="00A52644"/>
    <w:rsid w:val="00A7302D"/>
    <w:rsid w:val="00A826E1"/>
    <w:rsid w:val="00A853C9"/>
    <w:rsid w:val="00A9155D"/>
    <w:rsid w:val="00A9440E"/>
    <w:rsid w:val="00AA13FC"/>
    <w:rsid w:val="00AA233A"/>
    <w:rsid w:val="00AB76D9"/>
    <w:rsid w:val="00B01CCF"/>
    <w:rsid w:val="00B378B3"/>
    <w:rsid w:val="00B53EAA"/>
    <w:rsid w:val="00B57FAF"/>
    <w:rsid w:val="00B755B8"/>
    <w:rsid w:val="00B817BF"/>
    <w:rsid w:val="00BD6687"/>
    <w:rsid w:val="00C004C4"/>
    <w:rsid w:val="00C309EF"/>
    <w:rsid w:val="00C3332C"/>
    <w:rsid w:val="00C40C1A"/>
    <w:rsid w:val="00C66BA0"/>
    <w:rsid w:val="00C70C9B"/>
    <w:rsid w:val="00C716CA"/>
    <w:rsid w:val="00C742B1"/>
    <w:rsid w:val="00CB182D"/>
    <w:rsid w:val="00CC12B7"/>
    <w:rsid w:val="00D16680"/>
    <w:rsid w:val="00D44F68"/>
    <w:rsid w:val="00D550A9"/>
    <w:rsid w:val="00DA20CD"/>
    <w:rsid w:val="00DA5B7D"/>
    <w:rsid w:val="00DD0B0D"/>
    <w:rsid w:val="00DE13BA"/>
    <w:rsid w:val="00DE1CF3"/>
    <w:rsid w:val="00DE26CE"/>
    <w:rsid w:val="00E21A04"/>
    <w:rsid w:val="00E51BF2"/>
    <w:rsid w:val="00E70375"/>
    <w:rsid w:val="00E72362"/>
    <w:rsid w:val="00E73B7C"/>
    <w:rsid w:val="00E82C9E"/>
    <w:rsid w:val="00EB7168"/>
    <w:rsid w:val="00ED4E9B"/>
    <w:rsid w:val="00EF286D"/>
    <w:rsid w:val="00F2770E"/>
    <w:rsid w:val="00F434F1"/>
    <w:rsid w:val="00F4540B"/>
    <w:rsid w:val="00F54640"/>
    <w:rsid w:val="00F55D00"/>
    <w:rsid w:val="00F772F4"/>
    <w:rsid w:val="00FB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A5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7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434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106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2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42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D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2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">
    <w:name w:val="body"/>
    <w:basedOn w:val="DefaultParagraphFont"/>
    <w:rsid w:val="00290DB3"/>
  </w:style>
  <w:style w:type="character" w:customStyle="1" w:styleId="apple-converted-space">
    <w:name w:val="apple-converted-space"/>
    <w:basedOn w:val="DefaultParagraphFont"/>
    <w:rsid w:val="00290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A5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7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434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106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2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42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D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2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">
    <w:name w:val="body"/>
    <w:basedOn w:val="DefaultParagraphFont"/>
    <w:rsid w:val="00290DB3"/>
  </w:style>
  <w:style w:type="character" w:customStyle="1" w:styleId="apple-converted-space">
    <w:name w:val="apple-converted-space"/>
    <w:basedOn w:val="DefaultParagraphFont"/>
    <w:rsid w:val="002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vault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22E44-29BD-4F72-9984-DFB4F4B8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Bhandari</dc:creator>
  <cp:lastModifiedBy>Vaibhav Bhandari</cp:lastModifiedBy>
  <cp:revision>44</cp:revision>
  <dcterms:created xsi:type="dcterms:W3CDTF">2011-12-14T09:42:00Z</dcterms:created>
  <dcterms:modified xsi:type="dcterms:W3CDTF">2012-01-15T22:16:00Z</dcterms:modified>
</cp:coreProperties>
</file>