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7F" w:rsidRDefault="00B1327F" w:rsidP="00915287">
      <w:pPr>
        <w:jc w:val="right"/>
        <w:rPr>
          <w:i/>
        </w:rPr>
      </w:pPr>
    </w:p>
    <w:p w:rsidR="00B1327F" w:rsidRDefault="00B1327F" w:rsidP="00915287">
      <w:pPr>
        <w:jc w:val="right"/>
        <w:rPr>
          <w:i/>
        </w:rPr>
      </w:pPr>
    </w:p>
    <w:p w:rsidR="00915287" w:rsidRDefault="00915287" w:rsidP="00915287">
      <w:pPr>
        <w:jc w:val="right"/>
      </w:pPr>
      <w:r w:rsidRPr="00915287">
        <w:rPr>
          <w:i/>
        </w:rPr>
        <w:t>“</w:t>
      </w:r>
      <w:r w:rsidR="00781BE9">
        <w:rPr>
          <w:i/>
        </w:rPr>
        <w:t>Things would have changed if I had timely access to electronic medical records</w:t>
      </w:r>
      <w:r w:rsidRPr="00915287">
        <w:rPr>
          <w:i/>
        </w:rPr>
        <w:t>”</w:t>
      </w:r>
      <w:r w:rsidRPr="00915287">
        <w:rPr>
          <w:i/>
        </w:rPr>
        <w:br/>
      </w:r>
      <w:r w:rsidR="00781BE9">
        <w:t>Regina Holliday</w:t>
      </w:r>
    </w:p>
    <w:tbl>
      <w:tblPr>
        <w:tblStyle w:val="TableGrid"/>
        <w:tblW w:w="0" w:type="auto"/>
        <w:tblLook w:val="04A0" w:firstRow="1" w:lastRow="0" w:firstColumn="1" w:lastColumn="0" w:noHBand="0" w:noVBand="1"/>
      </w:tblPr>
      <w:tblGrid>
        <w:gridCol w:w="5405"/>
        <w:gridCol w:w="4171"/>
      </w:tblGrid>
      <w:tr w:rsidR="00320937" w:rsidTr="00320937">
        <w:tc>
          <w:tcPr>
            <w:tcW w:w="5405" w:type="dxa"/>
            <w:tcBorders>
              <w:top w:val="single" w:sz="4" w:space="0" w:color="auto"/>
              <w:left w:val="single" w:sz="4" w:space="0" w:color="auto"/>
              <w:bottom w:val="single" w:sz="4" w:space="0" w:color="auto"/>
              <w:right w:val="single" w:sz="4" w:space="0" w:color="auto"/>
            </w:tcBorders>
            <w:hideMark/>
          </w:tcPr>
          <w:p w:rsidR="00320937" w:rsidRDefault="00320937">
            <w:pPr>
              <w:rPr>
                <w:i/>
              </w:rPr>
            </w:pPr>
            <w:r>
              <w:rPr>
                <w:i/>
              </w:rPr>
              <w:t>Concepts to cover</w:t>
            </w:r>
          </w:p>
          <w:p w:rsidR="009D3F59" w:rsidRDefault="009D3F59" w:rsidP="00320937">
            <w:pPr>
              <w:pStyle w:val="ListParagraph"/>
              <w:numPr>
                <w:ilvl w:val="0"/>
                <w:numId w:val="2"/>
              </w:numPr>
            </w:pPr>
            <w:r>
              <w:t>Overview of HealthVault APIs</w:t>
            </w:r>
          </w:p>
          <w:p w:rsidR="009D3F59" w:rsidRDefault="009D3F59" w:rsidP="00320937">
            <w:pPr>
              <w:pStyle w:val="ListParagraph"/>
              <w:numPr>
                <w:ilvl w:val="0"/>
                <w:numId w:val="2"/>
              </w:numPr>
            </w:pPr>
            <w:r>
              <w:t>Examples for Get and PutThings API</w:t>
            </w:r>
          </w:p>
          <w:p w:rsidR="00A64BA6" w:rsidRDefault="00A64BA6" w:rsidP="00320937">
            <w:pPr>
              <w:pStyle w:val="ListParagraph"/>
              <w:numPr>
                <w:ilvl w:val="0"/>
                <w:numId w:val="2"/>
              </w:numPr>
            </w:pPr>
            <w:r>
              <w:t>Interacting with HealthVault</w:t>
            </w:r>
          </w:p>
          <w:p w:rsidR="00320937" w:rsidRDefault="00A64BA6" w:rsidP="00A64BA6">
            <w:pPr>
              <w:pStyle w:val="ListParagraph"/>
              <w:numPr>
                <w:ilvl w:val="1"/>
                <w:numId w:val="2"/>
              </w:numPr>
            </w:pPr>
            <w:r>
              <w:t xml:space="preserve">People - </w:t>
            </w:r>
            <w:r w:rsidR="00320937">
              <w:t>HealthVault account and records</w:t>
            </w:r>
          </w:p>
          <w:p w:rsidR="00A64BA6" w:rsidRDefault="00A64BA6" w:rsidP="00A64BA6">
            <w:pPr>
              <w:pStyle w:val="ListParagraph"/>
              <w:numPr>
                <w:ilvl w:val="1"/>
                <w:numId w:val="2"/>
              </w:numPr>
            </w:pPr>
            <w:r>
              <w:t>Devices – APIs / Connection Center</w:t>
            </w:r>
          </w:p>
          <w:p w:rsidR="00EC33F1" w:rsidRDefault="00A64BA6" w:rsidP="006D48FD">
            <w:pPr>
              <w:pStyle w:val="ListParagraph"/>
              <w:numPr>
                <w:ilvl w:val="1"/>
                <w:numId w:val="2"/>
              </w:numPr>
            </w:pPr>
            <w:r>
              <w:t>Applications</w:t>
            </w:r>
          </w:p>
        </w:tc>
        <w:tc>
          <w:tcPr>
            <w:tcW w:w="4171" w:type="dxa"/>
            <w:tcBorders>
              <w:top w:val="single" w:sz="4" w:space="0" w:color="auto"/>
              <w:left w:val="single" w:sz="4" w:space="0" w:color="auto"/>
              <w:bottom w:val="single" w:sz="4" w:space="0" w:color="auto"/>
              <w:right w:val="single" w:sz="4" w:space="0" w:color="auto"/>
            </w:tcBorders>
          </w:tcPr>
          <w:p w:rsidR="00320937" w:rsidRPr="002424E9" w:rsidRDefault="00320937" w:rsidP="002424E9"/>
        </w:tc>
      </w:tr>
    </w:tbl>
    <w:p w:rsidR="00915287" w:rsidRDefault="00915287" w:rsidP="00915287">
      <w:pPr>
        <w:jc w:val="right"/>
      </w:pPr>
    </w:p>
    <w:p w:rsidR="004F685F" w:rsidRDefault="004F685F" w:rsidP="006D48FD">
      <w:pPr>
        <w:spacing w:after="0" w:line="240" w:lineRule="auto"/>
      </w:pPr>
      <w:r>
        <w:t>As a platform HealthVault provides an innovative access management and programming interfaces for applications and devices to access a user’s health information.</w:t>
      </w:r>
    </w:p>
    <w:p w:rsidR="004F685F" w:rsidRDefault="004F685F" w:rsidP="006D48FD">
      <w:pPr>
        <w:spacing w:after="0" w:line="240" w:lineRule="auto"/>
      </w:pPr>
    </w:p>
    <w:p w:rsidR="001D70AF" w:rsidRDefault="00CA128C" w:rsidP="003F2B78">
      <w:r>
        <w:t xml:space="preserve">In the </w:t>
      </w:r>
      <w:r w:rsidR="001D70AF">
        <w:t xml:space="preserve">previous </w:t>
      </w:r>
      <w:r>
        <w:t xml:space="preserve">chapter we discovered how to fetch and manipulate data stored in HealthVault. </w:t>
      </w:r>
      <w:r w:rsidR="00362890">
        <w:t xml:space="preserve">This chapter takes a closer look at the application programming interface offered by HealthVault to enable this interaction in a programmatic fashion. We will discuss various ways in which an application or device can interface with the HealthVault platform. The code samples will use .NET interfaces because they fit well with HealthVault, but the same interfaces are available in Java, PHP &amp; other languages. The chapter will introduce the elements of programming that give the programmer access to data in HealthVault. Towards the end, we will discuss various architectural options available for interface an application or device with HealthVault. </w:t>
      </w:r>
      <w:r w:rsidR="003F2B78">
        <w:t xml:space="preserve">We’ll start by discussing accounts, because the first task is to get access to your own account.  </w:t>
      </w:r>
    </w:p>
    <w:p w:rsidR="003F2B78" w:rsidRPr="003F2B78" w:rsidRDefault="0024095C" w:rsidP="003F2B78">
      <w:pPr>
        <w:pStyle w:val="Heading1"/>
      </w:pPr>
      <w:r>
        <w:t>Accounts and Records</w:t>
      </w:r>
    </w:p>
    <w:p w:rsidR="007F002F" w:rsidRDefault="00963ABD" w:rsidP="00963ABD">
      <w:r>
        <w:t xml:space="preserve">HealthVault provides innovative access management </w:t>
      </w:r>
      <w:r w:rsidR="00D22723">
        <w:t xml:space="preserve">to let </w:t>
      </w:r>
      <w:r>
        <w:t xml:space="preserve">a family health manager access and manage </w:t>
      </w:r>
      <w:r w:rsidR="00D22723">
        <w:t xml:space="preserve">the </w:t>
      </w:r>
      <w:r>
        <w:t>records of various family members.  Mom, serving as the family health manager</w:t>
      </w:r>
      <w:r w:rsidR="00EE156E">
        <w:t>,</w:t>
      </w:r>
      <w:r>
        <w:t xml:space="preserve"> can create records for </w:t>
      </w:r>
      <w:r w:rsidR="00EE156E">
        <w:t>her husband and children.</w:t>
      </w:r>
      <w:r>
        <w:t xml:space="preserve"> </w:t>
      </w:r>
      <w:r w:rsidR="00BD7E25">
        <w:t xml:space="preserve">In Fig </w:t>
      </w:r>
      <w:r w:rsidR="00872166">
        <w:t>3-</w:t>
      </w:r>
      <w:r w:rsidR="00BD7E25">
        <w:t>1, Jane has created account for her husband, Tom and two kids</w:t>
      </w:r>
      <w:r w:rsidR="00521B77">
        <w:t>,</w:t>
      </w:r>
      <w:r w:rsidR="00BD7E25">
        <w:t xml:space="preserve"> Chris and Sarah. She has full access to all information in her families HealthVault records.</w:t>
      </w:r>
    </w:p>
    <w:p w:rsidR="00963ABD" w:rsidRDefault="00337245" w:rsidP="00337245">
      <w:pPr>
        <w:jc w:val="center"/>
      </w:pPr>
      <w:r>
        <w:rPr>
          <w:noProof/>
        </w:rPr>
        <w:lastRenderedPageBreak/>
        <w:drawing>
          <wp:inline distT="0" distB="0" distL="0" distR="0">
            <wp:extent cx="2346117" cy="1982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346677" cy="1982893"/>
                    </a:xfrm>
                    <a:prstGeom prst="rect">
                      <a:avLst/>
                    </a:prstGeom>
                  </pic:spPr>
                </pic:pic>
              </a:graphicData>
            </a:graphic>
          </wp:inline>
        </w:drawing>
      </w:r>
    </w:p>
    <w:p w:rsidR="000F6752" w:rsidRDefault="000F6752" w:rsidP="000F6752">
      <w:pPr>
        <w:jc w:val="center"/>
      </w:pPr>
      <w:proofErr w:type="gramStart"/>
      <w:r>
        <w:t xml:space="preserve">Fig </w:t>
      </w:r>
      <w:r w:rsidR="00872166">
        <w:t>3-</w:t>
      </w:r>
      <w:r>
        <w:t>1.</w:t>
      </w:r>
      <w:proofErr w:type="gramEnd"/>
      <w:r>
        <w:t xml:space="preserve"> Multiple records under one HealthVault account</w:t>
      </w:r>
    </w:p>
    <w:p w:rsidR="007F002F" w:rsidRDefault="00A64BA6" w:rsidP="0024095C">
      <w:r>
        <w:t>Additionally</w:t>
      </w:r>
      <w:r w:rsidR="00EE156E">
        <w:t xml:space="preserve">, </w:t>
      </w:r>
      <w:r w:rsidR="0024095C">
        <w:t xml:space="preserve">HealthVault </w:t>
      </w:r>
      <w:r w:rsidR="006243D2">
        <w:t>enables</w:t>
      </w:r>
      <w:r w:rsidR="000F6752">
        <w:t xml:space="preserve"> </w:t>
      </w:r>
      <w:r w:rsidR="00EE156E">
        <w:t xml:space="preserve">the </w:t>
      </w:r>
      <w:r w:rsidR="000F6752">
        <w:t>same records to be access</w:t>
      </w:r>
      <w:r w:rsidR="0081680F">
        <w:t>ed</w:t>
      </w:r>
      <w:r w:rsidR="000F6752">
        <w:t xml:space="preserve"> through multiple accounts. </w:t>
      </w:r>
      <w:r w:rsidR="0081680F">
        <w:t>Full access can be thought of as custodial access to the record.</w:t>
      </w:r>
      <w:r w:rsidR="00281A8B">
        <w:t xml:space="preserve"> </w:t>
      </w:r>
      <w:r w:rsidR="00BD7E25">
        <w:t xml:space="preserve">In Fig </w:t>
      </w:r>
      <w:r w:rsidR="00872166">
        <w:t>3-</w:t>
      </w:r>
      <w:r w:rsidR="00281A8B">
        <w:t>2</w:t>
      </w:r>
      <w:r w:rsidR="00BD7E25">
        <w:t>, Jane has full access to health information of her family. Tom</w:t>
      </w:r>
      <w:r w:rsidR="00281A8B">
        <w:t xml:space="preserve"> has</w:t>
      </w:r>
      <w:r w:rsidR="00BD7E25">
        <w:t xml:space="preserve"> also signed up to share the responsibility of managing health information of their kids</w:t>
      </w:r>
      <w:r w:rsidR="00281A8B">
        <w:t xml:space="preserve"> </w:t>
      </w:r>
      <w:r w:rsidR="00BD7E25">
        <w:t>Chris and Sarah</w:t>
      </w:r>
      <w:r w:rsidR="00281A8B">
        <w:t>,</w:t>
      </w:r>
      <w:r w:rsidR="00BD7E25">
        <w:t xml:space="preserve"> and also has full access to their health information.</w:t>
      </w:r>
    </w:p>
    <w:p w:rsidR="00F12673" w:rsidRDefault="00337245" w:rsidP="00A042A5">
      <w:pPr>
        <w:jc w:val="center"/>
      </w:pPr>
      <w:r>
        <w:rPr>
          <w:noProof/>
        </w:rPr>
        <w:drawing>
          <wp:inline distT="0" distB="0" distL="0" distR="0">
            <wp:extent cx="3781958" cy="3216280"/>
            <wp:effectExtent l="0" t="0" r="952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781806" cy="3216151"/>
                    </a:xfrm>
                    <a:prstGeom prst="rect">
                      <a:avLst/>
                    </a:prstGeom>
                  </pic:spPr>
                </pic:pic>
              </a:graphicData>
            </a:graphic>
          </wp:inline>
        </w:drawing>
      </w:r>
      <w:r w:rsidR="00A042A5">
        <w:br/>
      </w:r>
      <w:r w:rsidR="000F6752">
        <w:t xml:space="preserve">Fig </w:t>
      </w:r>
      <w:r w:rsidR="00872166">
        <w:t>3-</w:t>
      </w:r>
      <w:r w:rsidR="00F042ED">
        <w:t xml:space="preserve">2 </w:t>
      </w:r>
      <w:r w:rsidR="000F6752">
        <w:t>Multiple accounts pointing to same HealthVault records</w:t>
      </w:r>
      <w:r w:rsidR="00EB5579">
        <w:t xml:space="preserve"> </w:t>
      </w:r>
    </w:p>
    <w:p w:rsidR="00B91CCD" w:rsidRDefault="00F859E9" w:rsidP="00F12673">
      <w:pPr>
        <w:pStyle w:val="Heading2"/>
      </w:pPr>
      <w:r>
        <w:t>Account Information</w:t>
      </w:r>
    </w:p>
    <w:p w:rsidR="002A5B89" w:rsidRDefault="00076632" w:rsidP="002A5B89">
      <w:r>
        <w:t xml:space="preserve">An application gets access to HealthVault </w:t>
      </w:r>
      <w:r w:rsidR="00BD7E25">
        <w:t xml:space="preserve">account </w:t>
      </w:r>
      <w:r>
        <w:t xml:space="preserve">information through </w:t>
      </w:r>
      <w:r w:rsidR="00496728">
        <w:t xml:space="preserve">an API called Get-PersonInfo. This API returns a structure called </w:t>
      </w:r>
      <w:r w:rsidR="00AC059E">
        <w:t>PersonInfo</w:t>
      </w:r>
      <w:r w:rsidR="00496728">
        <w:t xml:space="preserve">, which </w:t>
      </w:r>
      <w:r w:rsidR="00BD7E25">
        <w:t xml:space="preserve">in turn consists of </w:t>
      </w:r>
      <w:r w:rsidR="00496728">
        <w:t>the records associated with a HealthVault account.</w:t>
      </w:r>
    </w:p>
    <w:p w:rsidR="00F859E9" w:rsidRDefault="00F859E9" w:rsidP="002A5B89">
      <w:r>
        <w:rPr>
          <w:noProof/>
        </w:rPr>
        <w:lastRenderedPageBreak/>
        <w:drawing>
          <wp:inline distT="0" distB="0" distL="0" distR="0">
            <wp:extent cx="5675048" cy="1669774"/>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673934" cy="1669446"/>
                    </a:xfrm>
                    <a:prstGeom prst="rect">
                      <a:avLst/>
                    </a:prstGeom>
                  </pic:spPr>
                </pic:pic>
              </a:graphicData>
            </a:graphic>
          </wp:inline>
        </w:drawing>
      </w:r>
    </w:p>
    <w:p w:rsidR="002A5B89" w:rsidRDefault="002A5B89" w:rsidP="002A5B89">
      <w:r>
        <w:t xml:space="preserve">Fig </w:t>
      </w:r>
      <w:r w:rsidR="00872166">
        <w:t>3-</w:t>
      </w:r>
      <w:r w:rsidR="00BD7E25">
        <w:t>3</w:t>
      </w:r>
      <w:r>
        <w:t xml:space="preserve"> </w:t>
      </w:r>
      <w:r w:rsidR="00225169">
        <w:t>Person</w:t>
      </w:r>
      <w:r w:rsidR="00A757B6">
        <w:t>Info</w:t>
      </w:r>
      <w:r>
        <w:t xml:space="preserve"> Data Structure</w:t>
      </w:r>
    </w:p>
    <w:p w:rsidR="00BD7E25" w:rsidRDefault="00BD7E25" w:rsidP="00B44B67">
      <w:r>
        <w:t xml:space="preserve">Using the HealthVault Powershell plug-in, you can try </w:t>
      </w:r>
      <w:r w:rsidR="00070903">
        <w:t xml:space="preserve">out </w:t>
      </w:r>
      <w:r>
        <w:t xml:space="preserve">the Get-PersonInfo API using the command </w:t>
      </w:r>
      <w:r w:rsidR="00E309EE" w:rsidRPr="006D48FD">
        <w:rPr>
          <w:rStyle w:val="Emphasis"/>
        </w:rPr>
        <w:t>get-personinfo</w:t>
      </w:r>
      <w:r>
        <w:t xml:space="preserve">. The structure </w:t>
      </w:r>
      <w:r w:rsidR="002244FF">
        <w:t xml:space="preserve">returned </w:t>
      </w:r>
      <w:r>
        <w:t>consists of a unique PersonId for the account and a set of record</w:t>
      </w:r>
      <w:r w:rsidR="002244FF">
        <w:t>s</w:t>
      </w:r>
      <w:r>
        <w:t xml:space="preserve"> identifie</w:t>
      </w:r>
      <w:r w:rsidR="00236E4A">
        <w:t>r</w:t>
      </w:r>
      <w:r>
        <w:t xml:space="preserve"> </w:t>
      </w:r>
      <w:r w:rsidR="00236E4A">
        <w:t xml:space="preserve">authorized to be used with the application </w:t>
      </w:r>
      <w:r>
        <w:t>for this particular account.</w:t>
      </w:r>
      <w:r w:rsidR="00416507">
        <w:t xml:space="preserve"> Any pertinent information for the application is stored in ApplicationSettings</w:t>
      </w:r>
      <w:r w:rsidR="002244FF">
        <w:t>.</w:t>
      </w:r>
      <w:r w:rsidR="00416507">
        <w:t xml:space="preserve"> </w:t>
      </w:r>
      <w:r w:rsidR="002244FF">
        <w:t>T</w:t>
      </w:r>
      <w:r w:rsidR="00416507">
        <w:t xml:space="preserve">he user’s preferred language and display settings are stored in </w:t>
      </w:r>
      <w:r w:rsidR="002244FF">
        <w:t xml:space="preserve">the </w:t>
      </w:r>
      <w:r w:rsidR="00416507">
        <w:t>PreferredCulture and PreferredUICulture fields respectively.</w:t>
      </w:r>
    </w:p>
    <w:p w:rsidR="00212B05" w:rsidRDefault="00C17828" w:rsidP="00B44B67">
      <w:r>
        <w:t>An application can decide to work with only one record at a time</w:t>
      </w:r>
      <w:r w:rsidR="001E3D62">
        <w:t xml:space="preserve"> termed as </w:t>
      </w:r>
      <w:r w:rsidR="001E3D62" w:rsidRPr="001E3D62">
        <w:rPr>
          <w:i/>
        </w:rPr>
        <w:t>single record application</w:t>
      </w:r>
      <w:r w:rsidR="001E3D62">
        <w:t xml:space="preserve"> (SRA)</w:t>
      </w:r>
      <w:r>
        <w:t>, or provide an interface to work with multiple records associated with the signed-in user</w:t>
      </w:r>
      <w:r w:rsidR="001E3D62">
        <w:t xml:space="preserve"> termed as </w:t>
      </w:r>
      <w:r w:rsidR="001E3D62" w:rsidRPr="001E3D62">
        <w:rPr>
          <w:i/>
        </w:rPr>
        <w:t xml:space="preserve">multiple record application </w:t>
      </w:r>
      <w:r w:rsidR="001E3D62">
        <w:t>(MRA)</w:t>
      </w:r>
      <w:r>
        <w:t xml:space="preserve">. </w:t>
      </w:r>
      <w:r w:rsidR="00353EB8">
        <w:t xml:space="preserve"> Section 2.4 describes how to enable each of these record management capabilities in detail.</w:t>
      </w:r>
    </w:p>
    <w:p w:rsidR="00D62FCD" w:rsidRPr="00AB47D2" w:rsidRDefault="00767ED4" w:rsidP="00AB47D2">
      <w:pPr>
        <w:pStyle w:val="Heading1"/>
      </w:pPr>
      <w:r>
        <w:t>HealthVault Application Programming Interface</w:t>
      </w:r>
    </w:p>
    <w:p w:rsidR="00283C84" w:rsidRDefault="00285804" w:rsidP="00767ED4">
      <w:r>
        <w:t>A HealthVault application</w:t>
      </w:r>
      <w:r w:rsidR="00E47236">
        <w:t xml:space="preserve"> interact</w:t>
      </w:r>
      <w:r w:rsidR="007416F1">
        <w:t>s</w:t>
      </w:r>
      <w:r w:rsidR="00E47236">
        <w:t xml:space="preserve"> with two distinct </w:t>
      </w:r>
      <w:r w:rsidR="003850F8">
        <w:t>resources</w:t>
      </w:r>
      <w:r w:rsidR="00283C84">
        <w:t>:</w:t>
      </w:r>
    </w:p>
    <w:p w:rsidR="00283C84" w:rsidRDefault="00A36CBD" w:rsidP="00767ED4">
      <w:hyperlink r:id="rId12" w:history="1">
        <w:r w:rsidR="008666B1" w:rsidRPr="001E01D4">
          <w:rPr>
            <w:rStyle w:val="Hyperlink"/>
          </w:rPr>
          <w:t>https://platform.healthvault.com/platform/wildcat.ashx</w:t>
        </w:r>
      </w:hyperlink>
      <w:r w:rsidR="00283C84">
        <w:t>:</w:t>
      </w:r>
      <w:r w:rsidR="00C64C06">
        <w:t xml:space="preserve"> the</w:t>
      </w:r>
      <w:r w:rsidR="0088653C">
        <w:t xml:space="preserve"> HealthVault </w:t>
      </w:r>
      <w:r w:rsidR="007051B0">
        <w:t>Platform</w:t>
      </w:r>
      <w:r w:rsidR="00283C84">
        <w:t>–</w:t>
      </w:r>
    </w:p>
    <w:p w:rsidR="00C64C06" w:rsidRDefault="003850F8" w:rsidP="00767ED4">
      <w:r>
        <w:t xml:space="preserve"> </w:t>
      </w:r>
      <w:hyperlink r:id="rId13" w:history="1">
        <w:r w:rsidR="008666B1" w:rsidRPr="001E01D4">
          <w:rPr>
            <w:rStyle w:val="Hyperlink"/>
          </w:rPr>
          <w:t>https://account.healthvault.com</w:t>
        </w:r>
      </w:hyperlink>
      <w:r w:rsidR="00283C84">
        <w:t>:</w:t>
      </w:r>
      <w:r w:rsidR="00C64C06">
        <w:t xml:space="preserve"> the</w:t>
      </w:r>
      <w:r w:rsidR="0088653C">
        <w:t xml:space="preserve"> HealthVault </w:t>
      </w:r>
      <w:r w:rsidR="007051B0">
        <w:t>Shell</w:t>
      </w:r>
      <w:r w:rsidR="0088653C">
        <w:t>.</w:t>
      </w:r>
    </w:p>
    <w:p w:rsidR="00767ED4" w:rsidRDefault="00A653DE" w:rsidP="00767ED4">
      <w:r>
        <w:t xml:space="preserve">The </w:t>
      </w:r>
      <w:r w:rsidR="00DB74B4">
        <w:t xml:space="preserve">HealthVault </w:t>
      </w:r>
      <w:r w:rsidR="007051B0">
        <w:t xml:space="preserve">Platform </w:t>
      </w:r>
      <w:r w:rsidR="00DB74B4">
        <w:t xml:space="preserve">provides XML over HTTP requests to </w:t>
      </w:r>
      <w:r w:rsidR="00F364C6">
        <w:t>manipulate</w:t>
      </w:r>
      <w:r w:rsidR="00DB74B4">
        <w:t xml:space="preserve"> data hosted by the service</w:t>
      </w:r>
      <w:r w:rsidR="00285804">
        <w:t>, and the HealthVault Shell provides account management, user authentication and other services.</w:t>
      </w:r>
    </w:p>
    <w:p w:rsidR="00B527D3" w:rsidRDefault="00762593" w:rsidP="00767ED4">
      <w:r>
        <w:t>HealthVault provides a development environment for partners to develop their application</w:t>
      </w:r>
      <w:r w:rsidR="00EE7D3B">
        <w:t>s</w:t>
      </w:r>
      <w:r>
        <w:t xml:space="preserve">. </w:t>
      </w:r>
      <w:r w:rsidR="00EE7D3B">
        <w:t>The development environment is</w:t>
      </w:r>
      <w:r>
        <w:t xml:space="preserve"> hosted at</w:t>
      </w:r>
      <w:r w:rsidR="00285804">
        <w:t xml:space="preserve"> </w:t>
      </w:r>
      <w:hyperlink r:id="rId14" w:history="1">
        <w:r w:rsidR="00285804" w:rsidRPr="00285804">
          <w:rPr>
            <w:rStyle w:val="Hyperlink"/>
          </w:rPr>
          <w:t>https://platform.healthvault-ppe.com/latform</w:t>
        </w:r>
      </w:hyperlink>
      <w:r w:rsidR="00285804">
        <w:t xml:space="preserve">, for HealthVault platform and </w:t>
      </w:r>
      <w:hyperlink r:id="rId15" w:history="1">
        <w:r w:rsidRPr="00CC20B9">
          <w:rPr>
            <w:rStyle w:val="Hyperlink"/>
          </w:rPr>
          <w:t>https://account.healthvault-ppe.com</w:t>
        </w:r>
      </w:hyperlink>
      <w:r w:rsidR="00285804">
        <w:rPr>
          <w:rStyle w:val="Hyperlink"/>
        </w:rPr>
        <w:t xml:space="preserve"> </w:t>
      </w:r>
      <w:r w:rsidR="00285804" w:rsidRPr="00285804">
        <w:t>for HealthVault Shell.</w:t>
      </w:r>
    </w:p>
    <w:p w:rsidR="00762593" w:rsidRDefault="00762593" w:rsidP="00767ED4">
      <w:r>
        <w:t>Each HealthVault application gets a unique identifier called AppID. Developers can get a</w:t>
      </w:r>
      <w:r w:rsidR="00EE7D3B">
        <w:t xml:space="preserve"> free</w:t>
      </w:r>
      <w:r>
        <w:t xml:space="preserve"> application identifier using the HealthVault Configuration Center (</w:t>
      </w:r>
      <w:hyperlink r:id="rId16" w:history="1">
        <w:r w:rsidRPr="00CC20B9">
          <w:rPr>
            <w:rStyle w:val="Hyperlink"/>
          </w:rPr>
          <w:t>https://config.healthvault-ppe.com</w:t>
        </w:r>
      </w:hyperlink>
      <w:r>
        <w:t xml:space="preserve">). </w:t>
      </w:r>
    </w:p>
    <w:p w:rsidR="00DB74B4" w:rsidRDefault="00762593" w:rsidP="00767ED4">
      <w:r>
        <w:t xml:space="preserve">&lt;aside&gt; For our example application we are using an </w:t>
      </w:r>
      <w:r w:rsidR="006E7A56">
        <w:t xml:space="preserve">application ID that was </w:t>
      </w:r>
      <w:r>
        <w:t>already create</w:t>
      </w:r>
      <w:r w:rsidR="006E7A56">
        <w:t xml:space="preserve">d </w:t>
      </w:r>
      <w:r w:rsidR="00A5127F">
        <w:t>for a</w:t>
      </w:r>
      <w:r>
        <w:t xml:space="preserve"> </w:t>
      </w:r>
      <w:proofErr w:type="spellStart"/>
      <w:r>
        <w:t>HelloWorld</w:t>
      </w:r>
      <w:proofErr w:type="spellEnd"/>
      <w:r>
        <w:t xml:space="preserve"> sample application. In Chapter </w:t>
      </w:r>
      <w:r w:rsidR="00B760F4">
        <w:t>4</w:t>
      </w:r>
      <w:r>
        <w:t>, we will creat</w:t>
      </w:r>
      <w:r w:rsidR="006E7A56">
        <w:t>e</w:t>
      </w:r>
      <w:r>
        <w:t xml:space="preserve"> our own application. &lt;/aside&gt;</w:t>
      </w:r>
      <w:r w:rsidR="007051B0">
        <w:t xml:space="preserve">  </w:t>
      </w:r>
    </w:p>
    <w:p w:rsidR="00DB74B4" w:rsidRDefault="00DB74B4" w:rsidP="00DB74B4">
      <w:pPr>
        <w:pStyle w:val="Heading2"/>
      </w:pPr>
      <w:r>
        <w:lastRenderedPageBreak/>
        <w:t>HealthVault Shell Interface</w:t>
      </w:r>
    </w:p>
    <w:p w:rsidR="00762593" w:rsidRDefault="0088653C" w:rsidP="002E1391">
      <w:r>
        <w:t xml:space="preserve">The HealthVault Shell provides its </w:t>
      </w:r>
      <w:r w:rsidR="00762593">
        <w:t xml:space="preserve">functionality </w:t>
      </w:r>
      <w:r>
        <w:t>primarily by redirecting the end-user’s br</w:t>
      </w:r>
      <w:r w:rsidR="00DB74B4">
        <w:t xml:space="preserve">owser. HealthVault Shell </w:t>
      </w:r>
      <w:r w:rsidR="00F262BA">
        <w:t>presents</w:t>
      </w:r>
      <w:r w:rsidR="00E25FC9">
        <w:t xml:space="preserve"> </w:t>
      </w:r>
      <w:r w:rsidR="00F262BA">
        <w:t xml:space="preserve">a </w:t>
      </w:r>
      <w:r w:rsidR="00762593">
        <w:t>secure user interface dialog</w:t>
      </w:r>
      <w:r w:rsidR="00F262BA">
        <w:t xml:space="preserve"> in the </w:t>
      </w:r>
      <w:r w:rsidR="00285804">
        <w:t xml:space="preserve">browser. </w:t>
      </w:r>
      <w:r w:rsidR="00AB47D2">
        <w:t>These dialogs help with user authentication</w:t>
      </w:r>
      <w:r w:rsidR="00CD3E98">
        <w:t xml:space="preserve">, authorization, </w:t>
      </w:r>
      <w:r w:rsidR="00762593">
        <w:t>record selection, and manag</w:t>
      </w:r>
      <w:r w:rsidR="001C1262">
        <w:t>ing the</w:t>
      </w:r>
      <w:r w:rsidR="00762593">
        <w:t xml:space="preserve"> user</w:t>
      </w:r>
      <w:r w:rsidR="00AB47D2">
        <w:t>’s</w:t>
      </w:r>
      <w:r w:rsidR="00762593">
        <w:t xml:space="preserve"> experience around health data.</w:t>
      </w:r>
      <w:r w:rsidR="00CD3E98">
        <w:t xml:space="preserve"> </w:t>
      </w:r>
    </w:p>
    <w:p w:rsidR="00417222" w:rsidRDefault="00762593" w:rsidP="002E1391">
      <w:r>
        <w:t xml:space="preserve">An application communicates its intention to HealthVault Shell </w:t>
      </w:r>
      <w:r w:rsidR="00235B7A">
        <w:t>using a URI construct like</w:t>
      </w:r>
      <w:r w:rsidR="005F0626">
        <w:t xml:space="preserve"> </w:t>
      </w:r>
      <w:r w:rsidR="00A36CBD">
        <w:fldChar w:fldCharType="begin"/>
      </w:r>
      <w:r w:rsidR="00A36CBD">
        <w:instrText xml:space="preserve"> HYPERLINK "https://account.healthvault.com/redirect.aspx?target</w:instrText>
      </w:r>
      <w:r w:rsidR="00A36CBD">
        <w:instrText xml:space="preserve">=%7bShellTarget%7d&amp;targetqs=%7bShellTargetParams%7d" </w:instrText>
      </w:r>
      <w:r w:rsidR="00A36CBD">
        <w:fldChar w:fldCharType="separate"/>
      </w:r>
      <w:r w:rsidR="00417222" w:rsidRPr="00825868">
        <w:rPr>
          <w:rStyle w:val="Hyperlink"/>
        </w:rPr>
        <w:t>https://account.healthvault.com/redirect.aspx?target={</w:t>
      </w:r>
      <w:r w:rsidR="00417222" w:rsidRPr="00825868">
        <w:rPr>
          <w:rStyle w:val="Hyperlink"/>
          <w:b/>
        </w:rPr>
        <w:t>ShellTarget</w:t>
      </w:r>
      <w:r w:rsidR="00417222" w:rsidRPr="00825868">
        <w:rPr>
          <w:rStyle w:val="Hyperlink"/>
        </w:rPr>
        <w:t>}&amp;targetqs={ShellTargetParams}</w:t>
      </w:r>
      <w:r w:rsidR="00A36CBD">
        <w:rPr>
          <w:rStyle w:val="Hyperlink"/>
        </w:rPr>
        <w:fldChar w:fldCharType="end"/>
      </w:r>
    </w:p>
    <w:p w:rsidR="00762593" w:rsidRDefault="00235B7A" w:rsidP="002E1391">
      <w:r>
        <w:t xml:space="preserve">The </w:t>
      </w:r>
      <w:proofErr w:type="spellStart"/>
      <w:r w:rsidRPr="00542B03">
        <w:rPr>
          <w:b/>
        </w:rPr>
        <w:t>ShellTarget</w:t>
      </w:r>
      <w:proofErr w:type="spellEnd"/>
      <w:r>
        <w:t xml:space="preserve"> parameter specifies the intent of the </w:t>
      </w:r>
      <w:r w:rsidR="00E25AF3">
        <w:t>application</w:t>
      </w:r>
      <w:r w:rsidR="00417222">
        <w:t>, which</w:t>
      </w:r>
      <w:r>
        <w:t xml:space="preserve"> could range from prompting the user to authorize the application to letting the user view their health items. Table </w:t>
      </w:r>
      <w:r w:rsidR="008E275F">
        <w:t>3-</w:t>
      </w:r>
      <w:r>
        <w:t xml:space="preserve">1 summarizes some of these </w:t>
      </w:r>
      <w:r w:rsidR="00542B03">
        <w:t>targets;</w:t>
      </w:r>
      <w:r>
        <w:t xml:space="preserve"> a detailed list of the Shell Targets is available on HealthVault MSDN </w:t>
      </w:r>
      <w:r w:rsidR="003850F8">
        <w:t xml:space="preserve">at </w:t>
      </w:r>
      <w:r w:rsidR="003850F8" w:rsidRPr="003850F8">
        <w:t>http://msdn.microsoft.com/en-us/library/ff803620.aspx</w:t>
      </w:r>
      <w:r>
        <w:t>.</w:t>
      </w:r>
    </w:p>
    <w:tbl>
      <w:tblPr>
        <w:tblStyle w:val="TableGrid"/>
        <w:tblW w:w="0" w:type="auto"/>
        <w:tblLook w:val="04A0" w:firstRow="1" w:lastRow="0" w:firstColumn="1" w:lastColumn="0" w:noHBand="0" w:noVBand="1"/>
      </w:tblPr>
      <w:tblGrid>
        <w:gridCol w:w="2808"/>
        <w:gridCol w:w="6768"/>
      </w:tblGrid>
      <w:tr w:rsidR="00D14F6F" w:rsidTr="00DC4B5C">
        <w:tc>
          <w:tcPr>
            <w:tcW w:w="2808" w:type="dxa"/>
          </w:tcPr>
          <w:p w:rsidR="00D14F6F" w:rsidRPr="00DC4B5C" w:rsidRDefault="00EC07F0" w:rsidP="002E1391">
            <w:pPr>
              <w:rPr>
                <w:b/>
              </w:rPr>
            </w:pPr>
            <w:r w:rsidRPr="00DC4B5C">
              <w:rPr>
                <w:b/>
              </w:rPr>
              <w:t>HealthVault Shell Target</w:t>
            </w:r>
          </w:p>
        </w:tc>
        <w:tc>
          <w:tcPr>
            <w:tcW w:w="6768" w:type="dxa"/>
          </w:tcPr>
          <w:p w:rsidR="00D14F6F" w:rsidRPr="00DC4B5C" w:rsidRDefault="00EC07F0" w:rsidP="002E1391">
            <w:pPr>
              <w:rPr>
                <w:b/>
              </w:rPr>
            </w:pPr>
            <w:r w:rsidRPr="00DC4B5C">
              <w:rPr>
                <w:b/>
              </w:rPr>
              <w:t>Purpose</w:t>
            </w:r>
          </w:p>
        </w:tc>
      </w:tr>
      <w:tr w:rsidR="00D14F6F" w:rsidTr="00DC4B5C">
        <w:tc>
          <w:tcPr>
            <w:tcW w:w="2808" w:type="dxa"/>
          </w:tcPr>
          <w:p w:rsidR="00D14F6F" w:rsidRDefault="00EC07F0" w:rsidP="002E1391">
            <w:r>
              <w:t>AUTH</w:t>
            </w:r>
          </w:p>
        </w:tc>
        <w:tc>
          <w:tcPr>
            <w:tcW w:w="6768" w:type="dxa"/>
          </w:tcPr>
          <w:p w:rsidR="00D14F6F" w:rsidRDefault="00EC07F0" w:rsidP="002E1391">
            <w:r>
              <w:t>Prompts the user to authorize</w:t>
            </w:r>
            <w:r w:rsidR="00336838">
              <w:t xml:space="preserve"> himself</w:t>
            </w:r>
            <w:r>
              <w:t xml:space="preserve"> and select record(s) to be used with an application</w:t>
            </w:r>
          </w:p>
        </w:tc>
      </w:tr>
      <w:tr w:rsidR="00D14F6F" w:rsidTr="00DC4B5C">
        <w:tc>
          <w:tcPr>
            <w:tcW w:w="2808" w:type="dxa"/>
          </w:tcPr>
          <w:p w:rsidR="00D14F6F" w:rsidRDefault="00EC07F0" w:rsidP="002E1391">
            <w:r>
              <w:t>APPREDIRECT</w:t>
            </w:r>
          </w:p>
        </w:tc>
        <w:tc>
          <w:tcPr>
            <w:tcW w:w="6768" w:type="dxa"/>
          </w:tcPr>
          <w:p w:rsidR="00D14F6F" w:rsidRDefault="00EC07F0" w:rsidP="002E1391">
            <w:r>
              <w:t>Redirect</w:t>
            </w:r>
            <w:r w:rsidR="00336838">
              <w:t>s</w:t>
            </w:r>
            <w:r>
              <w:t xml:space="preserve"> a user to another HealthVault application</w:t>
            </w:r>
            <w:r w:rsidR="00336838">
              <w:t>.</w:t>
            </w:r>
          </w:p>
        </w:tc>
      </w:tr>
      <w:tr w:rsidR="00D14F6F" w:rsidTr="00DC4B5C">
        <w:tc>
          <w:tcPr>
            <w:tcW w:w="2808" w:type="dxa"/>
          </w:tcPr>
          <w:p w:rsidR="00D14F6F" w:rsidRDefault="00EC07F0" w:rsidP="002E1391">
            <w:r>
              <w:t>CREATEACCOUNT</w:t>
            </w:r>
          </w:p>
        </w:tc>
        <w:tc>
          <w:tcPr>
            <w:tcW w:w="6768" w:type="dxa"/>
          </w:tcPr>
          <w:p w:rsidR="00D14F6F" w:rsidRDefault="00EC07F0" w:rsidP="002E1391">
            <w:r>
              <w:t>Allows an application to create a new HealthVault account and redirect</w:t>
            </w:r>
            <w:r w:rsidR="00336838">
              <w:t>s</w:t>
            </w:r>
            <w:r>
              <w:t xml:space="preserve"> to the application after account authorization</w:t>
            </w:r>
          </w:p>
        </w:tc>
      </w:tr>
      <w:tr w:rsidR="00D14F6F" w:rsidTr="00DC4B5C">
        <w:tc>
          <w:tcPr>
            <w:tcW w:w="2808" w:type="dxa"/>
          </w:tcPr>
          <w:p w:rsidR="00D14F6F" w:rsidRDefault="00EC07F0" w:rsidP="002E1391">
            <w:r>
              <w:t>CREATEAPPLICATION</w:t>
            </w:r>
          </w:p>
        </w:tc>
        <w:tc>
          <w:tcPr>
            <w:tcW w:w="6768" w:type="dxa"/>
          </w:tcPr>
          <w:p w:rsidR="00D14F6F" w:rsidRDefault="00EC07F0" w:rsidP="002E1391">
            <w:r>
              <w:t>Enables a client or desktop application to create an instance of its application on the device.</w:t>
            </w:r>
          </w:p>
        </w:tc>
      </w:tr>
      <w:tr w:rsidR="00D14F6F" w:rsidTr="00DC4B5C">
        <w:tc>
          <w:tcPr>
            <w:tcW w:w="2808" w:type="dxa"/>
          </w:tcPr>
          <w:p w:rsidR="00D14F6F" w:rsidRDefault="00EC07F0" w:rsidP="002E1391">
            <w:r>
              <w:t>RECONCILE</w:t>
            </w:r>
          </w:p>
        </w:tc>
        <w:tc>
          <w:tcPr>
            <w:tcW w:w="6768" w:type="dxa"/>
          </w:tcPr>
          <w:p w:rsidR="00D14F6F" w:rsidRDefault="00EC07F0" w:rsidP="002E1391">
            <w:r>
              <w:t xml:space="preserve">Enables an application to redirect to </w:t>
            </w:r>
            <w:r w:rsidR="00336838">
              <w:t xml:space="preserve">the </w:t>
            </w:r>
            <w:r>
              <w:t xml:space="preserve">HealthVault Shell for reconciling </w:t>
            </w:r>
            <w:r w:rsidR="00336838">
              <w:t xml:space="preserve">a </w:t>
            </w:r>
            <w:r>
              <w:t>CCR/CCD with a user record.</w:t>
            </w:r>
          </w:p>
        </w:tc>
      </w:tr>
      <w:tr w:rsidR="00EC07F0" w:rsidTr="00DC4B5C">
        <w:tc>
          <w:tcPr>
            <w:tcW w:w="2808" w:type="dxa"/>
          </w:tcPr>
          <w:p w:rsidR="00EC07F0" w:rsidRDefault="00EC07F0" w:rsidP="002E1391">
            <w:r>
              <w:t>VIEWITEMS</w:t>
            </w:r>
          </w:p>
        </w:tc>
        <w:tc>
          <w:tcPr>
            <w:tcW w:w="6768" w:type="dxa"/>
          </w:tcPr>
          <w:p w:rsidR="00EC07F0" w:rsidRDefault="00EC07F0" w:rsidP="002E1391">
            <w:r>
              <w:t>Allows an application to redirect a user to view or create health record items using HealthVault Shell</w:t>
            </w:r>
            <w:r w:rsidR="007B5500">
              <w:t>.</w:t>
            </w:r>
          </w:p>
        </w:tc>
      </w:tr>
    </w:tbl>
    <w:p w:rsidR="000172FA" w:rsidRDefault="008E4BD7" w:rsidP="006D48FD">
      <w:pPr>
        <w:jc w:val="center"/>
      </w:pPr>
      <w:r>
        <w:t xml:space="preserve">Table </w:t>
      </w:r>
      <w:r w:rsidR="008E275F">
        <w:t>3-</w:t>
      </w:r>
      <w:r>
        <w:t>1</w:t>
      </w:r>
      <w:r w:rsidR="00DC4B5C">
        <w:t xml:space="preserve"> HealthVault Shell </w:t>
      </w:r>
      <w:r w:rsidR="001C55BB">
        <w:t>r</w:t>
      </w:r>
      <w:r w:rsidR="00DC4B5C">
        <w:t>edirect Interface (partial list)</w:t>
      </w:r>
    </w:p>
    <w:p w:rsidR="00844038" w:rsidRDefault="00F42E2E" w:rsidP="000D74A2">
      <w:r>
        <w:t>In certain circumstances, the HealthVault Shell needs to communicate with the application</w:t>
      </w:r>
      <w:r w:rsidR="007221E0">
        <w:t>. F</w:t>
      </w:r>
      <w:r>
        <w:t xml:space="preserve">or </w:t>
      </w:r>
      <w:r w:rsidR="007221E0">
        <w:t>example</w:t>
      </w:r>
      <w:r w:rsidR="00144A38">
        <w:t>,</w:t>
      </w:r>
      <w:r>
        <w:t xml:space="preserve"> if a user wants to know the privacy statement of the application</w:t>
      </w:r>
      <w:r w:rsidR="00D479A2">
        <w:t xml:space="preserve"> or if the user decides to not authorize permission for the application to access their health item</w:t>
      </w:r>
      <w:r w:rsidR="007221E0">
        <w:t>s</w:t>
      </w:r>
      <w:r w:rsidR="00844038">
        <w:t>,</w:t>
      </w:r>
      <w:r w:rsidR="007221E0">
        <w:t xml:space="preserve"> the </w:t>
      </w:r>
      <w:r w:rsidR="00266FCC">
        <w:t>HealthVault</w:t>
      </w:r>
      <w:r w:rsidR="007221E0">
        <w:t xml:space="preserve"> shell would then need to communicate with the application.</w:t>
      </w:r>
      <w:r>
        <w:t xml:space="preserve"> HealthVault requires applications to </w:t>
      </w:r>
      <w:r w:rsidR="00D479A2">
        <w:t xml:space="preserve">register a “Redirect URL” </w:t>
      </w:r>
      <w:r w:rsidR="00844038">
        <w:t>for</w:t>
      </w:r>
      <w:r w:rsidR="00D479A2">
        <w:t xml:space="preserve"> functionality they provide. The Redirect URL should be a secure (https) URL </w:t>
      </w:r>
      <w:r w:rsidR="00844038">
        <w:t xml:space="preserve">that </w:t>
      </w:r>
      <w:r w:rsidR="00D479A2">
        <w:t xml:space="preserve">can respond to request of </w:t>
      </w:r>
      <w:r w:rsidR="007221E0">
        <w:t xml:space="preserve">this </w:t>
      </w:r>
      <w:r w:rsidR="00D479A2">
        <w:t>nature</w:t>
      </w:r>
      <w:r w:rsidR="00844038">
        <w:t>:</w:t>
      </w:r>
    </w:p>
    <w:p w:rsidR="00844038" w:rsidRDefault="00D479A2" w:rsidP="000D74A2">
      <w:r>
        <w:t xml:space="preserve"> https://{application redirect url}</w:t>
      </w:r>
      <w:proofErr w:type="gramStart"/>
      <w:r>
        <w:t>?target</w:t>
      </w:r>
      <w:proofErr w:type="gramEnd"/>
      <w:r>
        <w:t>={</w:t>
      </w:r>
      <w:r w:rsidR="00542B03">
        <w:rPr>
          <w:b/>
        </w:rPr>
        <w:t>ApplicationTarget</w:t>
      </w:r>
      <w:r>
        <w:t>}</w:t>
      </w:r>
      <w:r w:rsidR="00542B03">
        <w:t>&amp;targetqs={ApplicationTargetParameters}</w:t>
      </w:r>
    </w:p>
    <w:p w:rsidR="000D74A2" w:rsidRDefault="00542B03" w:rsidP="000D74A2">
      <w:r>
        <w:t xml:space="preserve"> The </w:t>
      </w:r>
      <w:proofErr w:type="spellStart"/>
      <w:r w:rsidRPr="00542B03">
        <w:rPr>
          <w:b/>
        </w:rPr>
        <w:t>ApplicationTarget</w:t>
      </w:r>
      <w:proofErr w:type="spellEnd"/>
      <w:r>
        <w:rPr>
          <w:b/>
        </w:rPr>
        <w:t xml:space="preserve"> </w:t>
      </w:r>
      <w:r>
        <w:t>specifie</w:t>
      </w:r>
      <w:r w:rsidR="0084680D">
        <w:t>s</w:t>
      </w:r>
      <w:r>
        <w:t xml:space="preserve"> the desired action to get serviced; it could range from the user asking for </w:t>
      </w:r>
      <w:r w:rsidR="0084680D">
        <w:t xml:space="preserve">a </w:t>
      </w:r>
      <w:r>
        <w:t xml:space="preserve">Privacy statement to </w:t>
      </w:r>
      <w:r w:rsidR="0084680D">
        <w:t xml:space="preserve">the </w:t>
      </w:r>
      <w:r>
        <w:t xml:space="preserve">user rejecting the application’s authorization request. Table </w:t>
      </w:r>
      <w:r w:rsidR="008E275F">
        <w:t>3-</w:t>
      </w:r>
      <w:r>
        <w:t xml:space="preserve">2 </w:t>
      </w:r>
      <w:r w:rsidR="00DF3297">
        <w:t>s</w:t>
      </w:r>
      <w:r w:rsidR="000D74A2">
        <w:t>ummarizes some of these targets;</w:t>
      </w:r>
      <w:r w:rsidR="00DF3297">
        <w:t xml:space="preserve"> </w:t>
      </w:r>
      <w:r w:rsidR="000D74A2">
        <w:t xml:space="preserve">a detailed list of the Application Targets is available on </w:t>
      </w:r>
      <w:r w:rsidR="0084680D">
        <w:t xml:space="preserve">a </w:t>
      </w:r>
      <w:r w:rsidR="000D74A2">
        <w:t xml:space="preserve">HealthVault MSDN </w:t>
      </w:r>
      <w:hyperlink r:id="rId17" w:history="1">
        <w:r w:rsidR="000D74A2" w:rsidRPr="00EC07F0">
          <w:rPr>
            <w:rStyle w:val="Hyperlink"/>
          </w:rPr>
          <w:t>page</w:t>
        </w:r>
      </w:hyperlink>
      <w:r w:rsidR="000D74A2">
        <w:t>.</w:t>
      </w:r>
    </w:p>
    <w:tbl>
      <w:tblPr>
        <w:tblStyle w:val="TableGrid"/>
        <w:tblW w:w="0" w:type="auto"/>
        <w:tblLook w:val="04A0" w:firstRow="1" w:lastRow="0" w:firstColumn="1" w:lastColumn="0" w:noHBand="0" w:noVBand="1"/>
      </w:tblPr>
      <w:tblGrid>
        <w:gridCol w:w="2808"/>
        <w:gridCol w:w="6768"/>
      </w:tblGrid>
      <w:tr w:rsidR="003E2FCD" w:rsidTr="00A66C06">
        <w:tc>
          <w:tcPr>
            <w:tcW w:w="2808" w:type="dxa"/>
          </w:tcPr>
          <w:p w:rsidR="003E2FCD" w:rsidRPr="00DC4B5C" w:rsidRDefault="003E2FCD" w:rsidP="003E2FCD">
            <w:pPr>
              <w:rPr>
                <w:b/>
              </w:rPr>
            </w:pPr>
            <w:r w:rsidRPr="00DC4B5C">
              <w:rPr>
                <w:b/>
              </w:rPr>
              <w:t xml:space="preserve">HealthVault </w:t>
            </w:r>
            <w:r>
              <w:rPr>
                <w:b/>
              </w:rPr>
              <w:t>Application</w:t>
            </w:r>
            <w:r w:rsidRPr="00DC4B5C">
              <w:rPr>
                <w:b/>
              </w:rPr>
              <w:t xml:space="preserve"> Target</w:t>
            </w:r>
          </w:p>
        </w:tc>
        <w:tc>
          <w:tcPr>
            <w:tcW w:w="6768" w:type="dxa"/>
          </w:tcPr>
          <w:p w:rsidR="003E2FCD" w:rsidRPr="00DC4B5C" w:rsidRDefault="003E2FCD" w:rsidP="00A66C06">
            <w:pPr>
              <w:rPr>
                <w:b/>
              </w:rPr>
            </w:pPr>
            <w:r w:rsidRPr="00DC4B5C">
              <w:rPr>
                <w:b/>
              </w:rPr>
              <w:t>Purpose</w:t>
            </w:r>
          </w:p>
        </w:tc>
      </w:tr>
      <w:tr w:rsidR="003E2FCD" w:rsidTr="00A66C06">
        <w:tc>
          <w:tcPr>
            <w:tcW w:w="2808" w:type="dxa"/>
          </w:tcPr>
          <w:p w:rsidR="003E2FCD" w:rsidRPr="003E2FCD" w:rsidRDefault="003E2FCD" w:rsidP="00A66C06">
            <w:pPr>
              <w:rPr>
                <w:b/>
              </w:rPr>
            </w:pPr>
            <w:r w:rsidRPr="003E2FCD">
              <w:rPr>
                <w:rStyle w:val="Strong"/>
                <w:rFonts w:ascii="Segoe UI" w:hAnsi="Segoe UI" w:cs="Segoe UI"/>
                <w:b w:val="0"/>
                <w:color w:val="000000"/>
                <w:sz w:val="19"/>
                <w:szCs w:val="19"/>
              </w:rPr>
              <w:t>APPAUTHSUCCESS</w:t>
            </w:r>
          </w:p>
        </w:tc>
        <w:tc>
          <w:tcPr>
            <w:tcW w:w="6768" w:type="dxa"/>
          </w:tcPr>
          <w:p w:rsidR="003E2FCD" w:rsidRDefault="00F7254D" w:rsidP="00A66C06">
            <w:r>
              <w:t xml:space="preserve">Notifies the application that the user successfully logged </w:t>
            </w:r>
            <w:r w:rsidR="0084680D">
              <w:t xml:space="preserve">in </w:t>
            </w:r>
            <w:r>
              <w:t>and/or granted authorization to the application.</w:t>
            </w:r>
          </w:p>
        </w:tc>
      </w:tr>
      <w:tr w:rsidR="003E2FCD" w:rsidTr="00A66C06">
        <w:tc>
          <w:tcPr>
            <w:tcW w:w="2808" w:type="dxa"/>
          </w:tcPr>
          <w:p w:rsidR="003E2FCD" w:rsidRPr="003E2FCD" w:rsidRDefault="003E2FCD" w:rsidP="00A66C06">
            <w:pPr>
              <w:rPr>
                <w:rStyle w:val="Strong"/>
                <w:rFonts w:ascii="Segoe UI" w:hAnsi="Segoe UI" w:cs="Segoe UI"/>
                <w:b w:val="0"/>
                <w:color w:val="000000"/>
                <w:sz w:val="19"/>
                <w:szCs w:val="19"/>
              </w:rPr>
            </w:pPr>
            <w:r w:rsidRPr="003E2FCD">
              <w:rPr>
                <w:rStyle w:val="Strong"/>
                <w:rFonts w:ascii="Segoe UI" w:hAnsi="Segoe UI" w:cs="Segoe UI"/>
                <w:b w:val="0"/>
                <w:color w:val="000000"/>
                <w:sz w:val="19"/>
                <w:szCs w:val="19"/>
              </w:rPr>
              <w:t>SIGNOUT</w:t>
            </w:r>
          </w:p>
        </w:tc>
        <w:tc>
          <w:tcPr>
            <w:tcW w:w="6768" w:type="dxa"/>
          </w:tcPr>
          <w:p w:rsidR="003E2FCD" w:rsidRDefault="00F7254D" w:rsidP="00F7254D">
            <w:r>
              <w:t xml:space="preserve">Notifies the application that the user logged out of their HealthVault </w:t>
            </w:r>
            <w:r>
              <w:lastRenderedPageBreak/>
              <w:t>session. The application can then do cleanup and show a sign-out page.</w:t>
            </w:r>
          </w:p>
        </w:tc>
      </w:tr>
      <w:tr w:rsidR="001E3D62" w:rsidTr="00A66C06">
        <w:tc>
          <w:tcPr>
            <w:tcW w:w="2808" w:type="dxa"/>
          </w:tcPr>
          <w:p w:rsidR="001E3D62" w:rsidRPr="003E2FCD" w:rsidRDefault="001E3D62" w:rsidP="00A66C06">
            <w:pPr>
              <w:rPr>
                <w:rStyle w:val="Strong"/>
                <w:rFonts w:ascii="Segoe UI" w:hAnsi="Segoe UI" w:cs="Segoe UI"/>
                <w:b w:val="0"/>
                <w:color w:val="000000"/>
                <w:sz w:val="19"/>
                <w:szCs w:val="19"/>
              </w:rPr>
            </w:pPr>
            <w:r>
              <w:rPr>
                <w:rStyle w:val="Strong"/>
                <w:rFonts w:ascii="Segoe UI" w:hAnsi="Segoe UI" w:cs="Segoe UI"/>
                <w:color w:val="000000"/>
                <w:sz w:val="19"/>
                <w:szCs w:val="19"/>
              </w:rPr>
              <w:lastRenderedPageBreak/>
              <w:t>SELECTEDRECORDCHANGED</w:t>
            </w:r>
          </w:p>
        </w:tc>
        <w:tc>
          <w:tcPr>
            <w:tcW w:w="6768" w:type="dxa"/>
          </w:tcPr>
          <w:p w:rsidR="001E3D62" w:rsidRDefault="001E3D62" w:rsidP="00F7254D">
            <w:r>
              <w:t>Notifies the application that the user successfully change the selected record. Section 2.2 shows example of handling this.</w:t>
            </w:r>
          </w:p>
        </w:tc>
      </w:tr>
      <w:tr w:rsidR="003E2FCD" w:rsidTr="00A66C06">
        <w:tc>
          <w:tcPr>
            <w:tcW w:w="2808" w:type="dxa"/>
          </w:tcPr>
          <w:p w:rsidR="003E2FCD" w:rsidRDefault="003E2FCD" w:rsidP="00A66C06">
            <w:r w:rsidRPr="003E2FCD">
              <w:t>PRIVACY</w:t>
            </w:r>
          </w:p>
        </w:tc>
        <w:tc>
          <w:tcPr>
            <w:tcW w:w="6768" w:type="dxa"/>
          </w:tcPr>
          <w:p w:rsidR="003E2FCD" w:rsidRDefault="00F7254D" w:rsidP="0084680D">
            <w:r>
              <w:t xml:space="preserve">Notifies the application </w:t>
            </w:r>
            <w:r w:rsidR="0084680D">
              <w:t xml:space="preserve">that </w:t>
            </w:r>
            <w:r>
              <w:t xml:space="preserve">the user wants to view </w:t>
            </w:r>
            <w:r w:rsidR="0084680D">
              <w:t xml:space="preserve">its </w:t>
            </w:r>
            <w:r>
              <w:t>privacy statement.</w:t>
            </w:r>
          </w:p>
        </w:tc>
      </w:tr>
      <w:tr w:rsidR="003E2FCD" w:rsidTr="00A66C06">
        <w:tc>
          <w:tcPr>
            <w:tcW w:w="2808" w:type="dxa"/>
          </w:tcPr>
          <w:p w:rsidR="003E2FCD" w:rsidRDefault="003E2FCD" w:rsidP="00A66C06">
            <w:r w:rsidRPr="003E2FCD">
              <w:t>SERVICEAGREEMENT</w:t>
            </w:r>
          </w:p>
        </w:tc>
        <w:tc>
          <w:tcPr>
            <w:tcW w:w="6768" w:type="dxa"/>
          </w:tcPr>
          <w:p w:rsidR="003E2FCD" w:rsidRDefault="00F7254D" w:rsidP="0084680D">
            <w:r>
              <w:t xml:space="preserve">Notifies the application </w:t>
            </w:r>
            <w:r w:rsidR="0084680D">
              <w:t xml:space="preserve">that </w:t>
            </w:r>
            <w:r>
              <w:t xml:space="preserve">the user wants to view </w:t>
            </w:r>
            <w:r w:rsidR="0084680D">
              <w:t xml:space="preserve">its </w:t>
            </w:r>
            <w:r>
              <w:t>terms of use or service agreement.</w:t>
            </w:r>
          </w:p>
        </w:tc>
      </w:tr>
    </w:tbl>
    <w:p w:rsidR="003E2FCD" w:rsidRDefault="003E2FCD" w:rsidP="00E25AF3">
      <w:pPr>
        <w:jc w:val="center"/>
      </w:pPr>
      <w:r>
        <w:t xml:space="preserve">Table </w:t>
      </w:r>
      <w:r w:rsidR="008E275F">
        <w:t>3-2</w:t>
      </w:r>
      <w:r>
        <w:t xml:space="preserve"> HealthVault </w:t>
      </w:r>
      <w:r w:rsidR="001C55BB">
        <w:t>a</w:t>
      </w:r>
      <w:r w:rsidR="00F7254D">
        <w:t xml:space="preserve">pplication </w:t>
      </w:r>
      <w:r w:rsidR="001C55BB">
        <w:t>t</w:t>
      </w:r>
      <w:r w:rsidR="00F7254D">
        <w:t>argets</w:t>
      </w:r>
      <w:r>
        <w:t xml:space="preserve"> (partial list)</w:t>
      </w:r>
    </w:p>
    <w:p w:rsidR="000172FA" w:rsidRDefault="000172FA" w:rsidP="000D74A2">
      <w:pPr>
        <w:pStyle w:val="Heading2"/>
      </w:pPr>
      <w:r>
        <w:t>HealthVault Platform APIs</w:t>
      </w:r>
    </w:p>
    <w:p w:rsidR="0039266C" w:rsidRDefault="00A66C06" w:rsidP="002E1391">
      <w:r>
        <w:t>The HealthVault Platform provides a number of APIs to enable acces</w:t>
      </w:r>
      <w:r w:rsidR="004A22AE">
        <w:t>s to application and user data; t</w:t>
      </w:r>
      <w:r>
        <w:t>he</w:t>
      </w:r>
      <w:r w:rsidR="004A22AE">
        <w:t>se</w:t>
      </w:r>
      <w:r>
        <w:t xml:space="preserve"> APIs are </w:t>
      </w:r>
      <w:r w:rsidR="004A22AE">
        <w:t xml:space="preserve">well documented </w:t>
      </w:r>
      <w:proofErr w:type="gramStart"/>
      <w:r w:rsidR="004A22AE">
        <w:t>[</w:t>
      </w:r>
      <w:r w:rsidR="00843C7F" w:rsidRPr="00843C7F">
        <w:t xml:space="preserve"> </w:t>
      </w:r>
      <w:proofErr w:type="gramEnd"/>
      <w:r w:rsidR="00D64A5D">
        <w:fldChar w:fldCharType="begin"/>
      </w:r>
      <w:r w:rsidR="00872166">
        <w:instrText xml:space="preserve"> HYPERLINK "http://developer.healthvault.com/pages/methods/methods.aspx" </w:instrText>
      </w:r>
      <w:r w:rsidR="00D64A5D">
        <w:fldChar w:fldCharType="separate"/>
      </w:r>
      <w:r w:rsidR="00843C7F">
        <w:rPr>
          <w:rStyle w:val="Hyperlink"/>
        </w:rPr>
        <w:t>http://developer.healthvault.com/pages/methods/methods.aspx</w:t>
      </w:r>
      <w:r w:rsidR="00D64A5D">
        <w:rPr>
          <w:rStyle w:val="Hyperlink"/>
        </w:rPr>
        <w:fldChar w:fldCharType="end"/>
      </w:r>
      <w:r w:rsidR="004A22AE">
        <w:t>]. The following discussion will focus on kinds of functionality provided by these APIs.</w:t>
      </w:r>
      <w:r w:rsidR="00F251AE">
        <w:t xml:space="preserve"> </w:t>
      </w:r>
      <w:r w:rsidR="00C8678A">
        <w:t xml:space="preserve">Table </w:t>
      </w:r>
      <w:r w:rsidR="008E275F">
        <w:t>3-</w:t>
      </w:r>
      <w:r w:rsidR="00C8678A">
        <w:t xml:space="preserve">3 </w:t>
      </w:r>
      <w:r w:rsidR="004B2668">
        <w:t>summarizes the API</w:t>
      </w:r>
      <w:r w:rsidR="007152FF">
        <w:t>s</w:t>
      </w:r>
      <w:r w:rsidR="004B2668">
        <w:t xml:space="preserve"> available from</w:t>
      </w:r>
      <w:r w:rsidR="007152FF">
        <w:t xml:space="preserve"> the</w:t>
      </w:r>
      <w:r w:rsidR="004B2668">
        <w:t xml:space="preserve"> HealthVault </w:t>
      </w:r>
      <w:r w:rsidR="00E43EED">
        <w:t>platform</w:t>
      </w:r>
    </w:p>
    <w:tbl>
      <w:tblPr>
        <w:tblStyle w:val="TableGrid"/>
        <w:tblW w:w="0" w:type="auto"/>
        <w:tblLook w:val="04A0" w:firstRow="1" w:lastRow="0" w:firstColumn="1" w:lastColumn="0" w:noHBand="0" w:noVBand="1"/>
      </w:tblPr>
      <w:tblGrid>
        <w:gridCol w:w="2855"/>
        <w:gridCol w:w="3868"/>
        <w:gridCol w:w="2853"/>
      </w:tblGrid>
      <w:tr w:rsidR="004B2668" w:rsidTr="00394509">
        <w:tc>
          <w:tcPr>
            <w:tcW w:w="2855" w:type="dxa"/>
          </w:tcPr>
          <w:p w:rsidR="004B2668" w:rsidRPr="00741B50" w:rsidRDefault="004B2668" w:rsidP="00A66C06">
            <w:pPr>
              <w:rPr>
                <w:b/>
              </w:rPr>
            </w:pPr>
            <w:r w:rsidRPr="00741B50">
              <w:rPr>
                <w:b/>
              </w:rPr>
              <w:t>HealthVault API Category</w:t>
            </w:r>
          </w:p>
        </w:tc>
        <w:tc>
          <w:tcPr>
            <w:tcW w:w="3868" w:type="dxa"/>
          </w:tcPr>
          <w:p w:rsidR="004B2668" w:rsidRPr="00D838F4" w:rsidRDefault="004B2668" w:rsidP="00A66C06">
            <w:pPr>
              <w:rPr>
                <w:b/>
              </w:rPr>
            </w:pPr>
            <w:r w:rsidRPr="00D838F4">
              <w:rPr>
                <w:b/>
              </w:rPr>
              <w:t>API Names</w:t>
            </w:r>
          </w:p>
        </w:tc>
        <w:tc>
          <w:tcPr>
            <w:tcW w:w="2853" w:type="dxa"/>
          </w:tcPr>
          <w:p w:rsidR="004B2668" w:rsidRPr="004B2668" w:rsidRDefault="00DC4B5C" w:rsidP="00A66C06">
            <w:pPr>
              <w:rPr>
                <w:b/>
              </w:rPr>
            </w:pPr>
            <w:r>
              <w:rPr>
                <w:b/>
              </w:rPr>
              <w:t>Purpose</w:t>
            </w:r>
          </w:p>
        </w:tc>
      </w:tr>
      <w:tr w:rsidR="004B2668" w:rsidTr="00394509">
        <w:tc>
          <w:tcPr>
            <w:tcW w:w="2855" w:type="dxa"/>
          </w:tcPr>
          <w:p w:rsidR="004B2668" w:rsidRDefault="004B2668" w:rsidP="00A66C06">
            <w:r>
              <w:t>Authentication</w:t>
            </w:r>
          </w:p>
        </w:tc>
        <w:tc>
          <w:tcPr>
            <w:tcW w:w="3868" w:type="dxa"/>
          </w:tcPr>
          <w:p w:rsidR="004B2668" w:rsidRDefault="004B2668" w:rsidP="00A66C06">
            <w:r>
              <w:t>CreateAuthenticatedSessionToken,</w:t>
            </w:r>
          </w:p>
          <w:p w:rsidR="004B2668" w:rsidRDefault="004B2668" w:rsidP="00A66C06">
            <w:proofErr w:type="spellStart"/>
            <w:r>
              <w:t>RemoveApplicationRecordAuthorization</w:t>
            </w:r>
            <w:proofErr w:type="spellEnd"/>
            <w:r>
              <w:t>,</w:t>
            </w:r>
          </w:p>
          <w:p w:rsidR="004B2668" w:rsidRDefault="0037732F" w:rsidP="00A66C06">
            <w:proofErr w:type="spellStart"/>
            <w:r>
              <w:t>NewApplica</w:t>
            </w:r>
            <w:r w:rsidR="004B2668">
              <w:t>t</w:t>
            </w:r>
            <w:r>
              <w:t>i</w:t>
            </w:r>
            <w:r w:rsidR="004B2668">
              <w:t>onCreationInfo</w:t>
            </w:r>
            <w:proofErr w:type="spellEnd"/>
            <w:r w:rsidR="004B2668">
              <w:t>,</w:t>
            </w:r>
          </w:p>
          <w:p w:rsidR="004B2668" w:rsidRDefault="004B2668" w:rsidP="00A66C06">
            <w:proofErr w:type="spellStart"/>
            <w:r>
              <w:t>NewSignupCode</w:t>
            </w:r>
            <w:proofErr w:type="spellEnd"/>
            <w:r>
              <w:t>,</w:t>
            </w:r>
          </w:p>
          <w:p w:rsidR="004B2668" w:rsidRDefault="004B2668" w:rsidP="00A66C06"/>
          <w:p w:rsidR="004B2668" w:rsidRDefault="004B2668" w:rsidP="00A66C06">
            <w:proofErr w:type="spellStart"/>
            <w:r>
              <w:t>GetPersonInfo</w:t>
            </w:r>
            <w:proofErr w:type="spellEnd"/>
            <w:r w:rsidR="00765C6F">
              <w:t>,</w:t>
            </w:r>
          </w:p>
          <w:p w:rsidR="00765C6F" w:rsidRDefault="00765C6F" w:rsidP="00A66C06">
            <w:proofErr w:type="spellStart"/>
            <w:r>
              <w:t>GetAuthorizedRecords</w:t>
            </w:r>
            <w:proofErr w:type="spellEnd"/>
          </w:p>
        </w:tc>
        <w:tc>
          <w:tcPr>
            <w:tcW w:w="2853" w:type="dxa"/>
          </w:tcPr>
          <w:p w:rsidR="004B2668" w:rsidRDefault="004B2668" w:rsidP="00F251AE">
            <w:r>
              <w:t>Authenticat</w:t>
            </w:r>
            <w:r w:rsidR="00F34C6A">
              <w:t>e</w:t>
            </w:r>
            <w:r>
              <w:t xml:space="preserve"> an application and a user.</w:t>
            </w:r>
          </w:p>
        </w:tc>
      </w:tr>
      <w:tr w:rsidR="004B2668" w:rsidTr="00394509">
        <w:tc>
          <w:tcPr>
            <w:tcW w:w="2855" w:type="dxa"/>
          </w:tcPr>
          <w:p w:rsidR="004B2668" w:rsidRDefault="004B2668" w:rsidP="00A66C06">
            <w:r>
              <w:t>Reading Health Items</w:t>
            </w:r>
          </w:p>
        </w:tc>
        <w:tc>
          <w:tcPr>
            <w:tcW w:w="3868" w:type="dxa"/>
          </w:tcPr>
          <w:p w:rsidR="004B2668" w:rsidRDefault="004B2668" w:rsidP="00A66C06">
            <w:r>
              <w:t>GetThings</w:t>
            </w:r>
          </w:p>
        </w:tc>
        <w:tc>
          <w:tcPr>
            <w:tcW w:w="2853" w:type="dxa"/>
          </w:tcPr>
          <w:p w:rsidR="004B2668" w:rsidRDefault="00394509" w:rsidP="006D48FD">
            <w:r>
              <w:t xml:space="preserve">A rich interface to retrieve Health items along with </w:t>
            </w:r>
            <w:r w:rsidR="00B475FE">
              <w:t xml:space="preserve">an </w:t>
            </w:r>
            <w:r>
              <w:t xml:space="preserve">associated digital signature or </w:t>
            </w:r>
            <w:r w:rsidR="00A929D0">
              <w:t>streamed</w:t>
            </w:r>
            <w:r>
              <w:t xml:space="preserve"> </w:t>
            </w:r>
            <w:r w:rsidR="00B475FE">
              <w:t>BLOBs</w:t>
            </w:r>
            <w:r>
              <w:t>.</w:t>
            </w:r>
          </w:p>
        </w:tc>
      </w:tr>
      <w:tr w:rsidR="004B2668" w:rsidTr="00394509">
        <w:tc>
          <w:tcPr>
            <w:tcW w:w="2855" w:type="dxa"/>
          </w:tcPr>
          <w:p w:rsidR="004B2668" w:rsidRDefault="004B2668" w:rsidP="00A66C06">
            <w:r>
              <w:t>Adding &amp; Updating Health Items</w:t>
            </w:r>
          </w:p>
        </w:tc>
        <w:tc>
          <w:tcPr>
            <w:tcW w:w="3868" w:type="dxa"/>
          </w:tcPr>
          <w:p w:rsidR="004B2668" w:rsidRDefault="004B2668" w:rsidP="00A66C06">
            <w:r>
              <w:t>PutThings,</w:t>
            </w:r>
          </w:p>
          <w:p w:rsidR="004B2668" w:rsidRDefault="004B2668" w:rsidP="00A66C06">
            <w:r>
              <w:t>OverwriteThings</w:t>
            </w:r>
          </w:p>
          <w:p w:rsidR="004B2668" w:rsidRDefault="004B2668" w:rsidP="00A66C06">
            <w:proofErr w:type="spellStart"/>
            <w:r>
              <w:t>BeginPutBlob</w:t>
            </w:r>
            <w:proofErr w:type="spellEnd"/>
          </w:p>
        </w:tc>
        <w:tc>
          <w:tcPr>
            <w:tcW w:w="2853" w:type="dxa"/>
          </w:tcPr>
          <w:p w:rsidR="004B2668" w:rsidRDefault="00394509" w:rsidP="00A66C06">
            <w:r>
              <w:t>Enable an application to add or update Health item data</w:t>
            </w:r>
            <w:r w:rsidR="00F3191B">
              <w:t>.</w:t>
            </w:r>
          </w:p>
        </w:tc>
      </w:tr>
      <w:tr w:rsidR="004B2668" w:rsidTr="00394509">
        <w:tc>
          <w:tcPr>
            <w:tcW w:w="2855" w:type="dxa"/>
          </w:tcPr>
          <w:p w:rsidR="004B2668" w:rsidRDefault="004B2668" w:rsidP="00A66C06">
            <w:r>
              <w:t>Delete Health Items</w:t>
            </w:r>
          </w:p>
        </w:tc>
        <w:tc>
          <w:tcPr>
            <w:tcW w:w="3868" w:type="dxa"/>
          </w:tcPr>
          <w:p w:rsidR="004B2668" w:rsidRDefault="004B2668" w:rsidP="00A66C06">
            <w:proofErr w:type="spellStart"/>
            <w:r>
              <w:t>RemoveThings</w:t>
            </w:r>
            <w:proofErr w:type="spellEnd"/>
          </w:p>
        </w:tc>
        <w:tc>
          <w:tcPr>
            <w:tcW w:w="2853" w:type="dxa"/>
          </w:tcPr>
          <w:p w:rsidR="004B2668" w:rsidRDefault="00394509" w:rsidP="00A66C06">
            <w:r>
              <w:t>Enables an application to delete data.</w:t>
            </w:r>
          </w:p>
        </w:tc>
      </w:tr>
      <w:tr w:rsidR="004B2668" w:rsidTr="00394509">
        <w:tc>
          <w:tcPr>
            <w:tcW w:w="2855" w:type="dxa"/>
          </w:tcPr>
          <w:p w:rsidR="004B2668" w:rsidRDefault="008F3908" w:rsidP="00A66C06">
            <w:r>
              <w:t>Patient Connect</w:t>
            </w:r>
          </w:p>
        </w:tc>
        <w:tc>
          <w:tcPr>
            <w:tcW w:w="3868" w:type="dxa"/>
          </w:tcPr>
          <w:p w:rsidR="004B2668" w:rsidRDefault="004B2668" w:rsidP="00A66C06">
            <w:proofErr w:type="spellStart"/>
            <w:r>
              <w:t>AssociatePackageId</w:t>
            </w:r>
            <w:proofErr w:type="spellEnd"/>
            <w:r>
              <w:t>,</w:t>
            </w:r>
          </w:p>
          <w:p w:rsidR="004B2668" w:rsidRDefault="004B2668" w:rsidP="00A66C06">
            <w:proofErr w:type="spellStart"/>
            <w:r>
              <w:t>BeginPutConnectPackageBlob</w:t>
            </w:r>
            <w:proofErr w:type="spellEnd"/>
            <w:r>
              <w:t>,</w:t>
            </w:r>
          </w:p>
          <w:p w:rsidR="004B2668" w:rsidRDefault="004B2668" w:rsidP="00A66C06">
            <w:proofErr w:type="spellStart"/>
            <w:r>
              <w:t>CreateConnectPackage</w:t>
            </w:r>
            <w:proofErr w:type="spellEnd"/>
            <w:r>
              <w:t>,</w:t>
            </w:r>
          </w:p>
          <w:p w:rsidR="004B2668" w:rsidRDefault="004B2668" w:rsidP="00A66C06">
            <w:proofErr w:type="spellStart"/>
            <w:r>
              <w:t>CreateConnectRequest</w:t>
            </w:r>
            <w:proofErr w:type="spellEnd"/>
            <w:r>
              <w:t>,</w:t>
            </w:r>
          </w:p>
          <w:p w:rsidR="00401146" w:rsidRDefault="00401146" w:rsidP="00A66C06">
            <w:proofErr w:type="spellStart"/>
            <w:r w:rsidRPr="00401146">
              <w:t>GetAuthorizedConnectRequests</w:t>
            </w:r>
            <w:proofErr w:type="spellEnd"/>
            <w:r>
              <w:t>,</w:t>
            </w:r>
          </w:p>
          <w:p w:rsidR="004B2668" w:rsidRDefault="004B2668" w:rsidP="00A66C06">
            <w:proofErr w:type="spellStart"/>
            <w:r>
              <w:t>DeletePendingConnectPackage</w:t>
            </w:r>
            <w:proofErr w:type="spellEnd"/>
            <w:r>
              <w:t>,</w:t>
            </w:r>
          </w:p>
          <w:p w:rsidR="004B2668" w:rsidRDefault="004B2668" w:rsidP="00A66C06">
            <w:proofErr w:type="spellStart"/>
            <w:r>
              <w:t>DeletePendingConnectRequest</w:t>
            </w:r>
            <w:proofErr w:type="spellEnd"/>
          </w:p>
        </w:tc>
        <w:tc>
          <w:tcPr>
            <w:tcW w:w="2853" w:type="dxa"/>
          </w:tcPr>
          <w:p w:rsidR="004B2668" w:rsidRDefault="00394509" w:rsidP="00F34C6A">
            <w:r>
              <w:t xml:space="preserve">Enable clinical applications to </w:t>
            </w:r>
            <w:r w:rsidR="00F34C6A">
              <w:t xml:space="preserve">create </w:t>
            </w:r>
            <w:r>
              <w:t>a temporary drop-off or permanent connection for consumers without having a web interface.</w:t>
            </w:r>
          </w:p>
        </w:tc>
      </w:tr>
      <w:tr w:rsidR="004B2668" w:rsidTr="00394509">
        <w:tc>
          <w:tcPr>
            <w:tcW w:w="2855" w:type="dxa"/>
          </w:tcPr>
          <w:p w:rsidR="004B2668" w:rsidRDefault="004B2668" w:rsidP="00A66C06">
            <w:r>
              <w:t>Asynchronous Processing</w:t>
            </w:r>
          </w:p>
        </w:tc>
        <w:tc>
          <w:tcPr>
            <w:tcW w:w="3868" w:type="dxa"/>
          </w:tcPr>
          <w:p w:rsidR="004B2668" w:rsidRDefault="004B2668" w:rsidP="00A66C06">
            <w:proofErr w:type="spellStart"/>
            <w:r>
              <w:t>GetAuthorizedPeople</w:t>
            </w:r>
            <w:proofErr w:type="spellEnd"/>
            <w:r>
              <w:t>,</w:t>
            </w:r>
          </w:p>
          <w:p w:rsidR="004B2668" w:rsidRDefault="004B2668" w:rsidP="00A66C06">
            <w:proofErr w:type="spellStart"/>
            <w:r>
              <w:t>GetUpdatedRecordsForApplication</w:t>
            </w:r>
            <w:proofErr w:type="spellEnd"/>
            <w:r>
              <w:t>,</w:t>
            </w:r>
          </w:p>
          <w:p w:rsidR="004B2668" w:rsidRDefault="004B2668" w:rsidP="00A66C06">
            <w:proofErr w:type="spellStart"/>
            <w:r>
              <w:t>GetEventSubscriptions</w:t>
            </w:r>
            <w:proofErr w:type="spellEnd"/>
            <w:r>
              <w:t>,</w:t>
            </w:r>
          </w:p>
          <w:p w:rsidR="004B2668" w:rsidRDefault="004B2668" w:rsidP="00A66C06">
            <w:proofErr w:type="spellStart"/>
            <w:r>
              <w:t>UpdateEventSubscription</w:t>
            </w:r>
            <w:proofErr w:type="spellEnd"/>
            <w:r>
              <w:t>,</w:t>
            </w:r>
          </w:p>
          <w:p w:rsidR="004B2668" w:rsidRDefault="004B2668" w:rsidP="00A66C06">
            <w:proofErr w:type="spellStart"/>
            <w:r>
              <w:t>SubscribeToEvent</w:t>
            </w:r>
            <w:proofErr w:type="spellEnd"/>
            <w:r>
              <w:t>,</w:t>
            </w:r>
          </w:p>
          <w:p w:rsidR="004B2668" w:rsidRDefault="004B2668" w:rsidP="00A66C06">
            <w:proofErr w:type="spellStart"/>
            <w:r>
              <w:t>UnsubscribeToEvent</w:t>
            </w:r>
            <w:proofErr w:type="spellEnd"/>
          </w:p>
        </w:tc>
        <w:tc>
          <w:tcPr>
            <w:tcW w:w="2853" w:type="dxa"/>
          </w:tcPr>
          <w:p w:rsidR="004B2668" w:rsidRDefault="00394509" w:rsidP="00F34C6A">
            <w:r>
              <w:t xml:space="preserve">Enable application to work asynchronously with HealthVault and </w:t>
            </w:r>
            <w:r w:rsidR="00F34C6A">
              <w:t xml:space="preserve">create </w:t>
            </w:r>
            <w:r>
              <w:t>a publish</w:t>
            </w:r>
            <w:r w:rsidR="00F34C6A">
              <w:t>/</w:t>
            </w:r>
            <w:r>
              <w:t>subscribe model.</w:t>
            </w:r>
          </w:p>
        </w:tc>
      </w:tr>
      <w:tr w:rsidR="004B2668" w:rsidTr="00394509">
        <w:tc>
          <w:tcPr>
            <w:tcW w:w="2855" w:type="dxa"/>
          </w:tcPr>
          <w:p w:rsidR="004B2668" w:rsidRDefault="004B2668" w:rsidP="00A66C06">
            <w:r>
              <w:t>Messaging</w:t>
            </w:r>
          </w:p>
        </w:tc>
        <w:tc>
          <w:tcPr>
            <w:tcW w:w="3868" w:type="dxa"/>
          </w:tcPr>
          <w:p w:rsidR="004B2668" w:rsidRDefault="004B2668" w:rsidP="00A66C06">
            <w:proofErr w:type="spellStart"/>
            <w:r>
              <w:t>SendInsecureMessage</w:t>
            </w:r>
            <w:proofErr w:type="spellEnd"/>
            <w:r>
              <w:t>,</w:t>
            </w:r>
          </w:p>
          <w:p w:rsidR="004B2668" w:rsidRDefault="004B2668" w:rsidP="00A66C06">
            <w:proofErr w:type="spellStart"/>
            <w:r>
              <w:t>SendInsecureMessageFromApplication</w:t>
            </w:r>
            <w:proofErr w:type="spellEnd"/>
          </w:p>
        </w:tc>
        <w:tc>
          <w:tcPr>
            <w:tcW w:w="2853" w:type="dxa"/>
          </w:tcPr>
          <w:p w:rsidR="004B2668" w:rsidRDefault="00F34C6A" w:rsidP="00F34C6A">
            <w:r>
              <w:t>Enable a</w:t>
            </w:r>
            <w:r w:rsidR="00394509">
              <w:t xml:space="preserve">pplications </w:t>
            </w:r>
            <w:r>
              <w:t xml:space="preserve">to </w:t>
            </w:r>
            <w:r w:rsidR="00394509">
              <w:t xml:space="preserve">send messages to consumers </w:t>
            </w:r>
            <w:r w:rsidR="00394509">
              <w:lastRenderedPageBreak/>
              <w:t>using these APIs.</w:t>
            </w:r>
          </w:p>
        </w:tc>
      </w:tr>
      <w:tr w:rsidR="004B2668" w:rsidTr="00394509">
        <w:tc>
          <w:tcPr>
            <w:tcW w:w="2855" w:type="dxa"/>
          </w:tcPr>
          <w:p w:rsidR="004B2668" w:rsidRDefault="004B2668" w:rsidP="00A66C06">
            <w:r>
              <w:lastRenderedPageBreak/>
              <w:t>Terminology</w:t>
            </w:r>
          </w:p>
        </w:tc>
        <w:tc>
          <w:tcPr>
            <w:tcW w:w="3868" w:type="dxa"/>
          </w:tcPr>
          <w:p w:rsidR="004B2668" w:rsidRDefault="004B2668" w:rsidP="00A66C06">
            <w:r>
              <w:t xml:space="preserve">GetVocabulary, </w:t>
            </w:r>
          </w:p>
          <w:p w:rsidR="004B2668" w:rsidRDefault="004B2668" w:rsidP="00A66C06">
            <w:r>
              <w:t>SearchVocabulary</w:t>
            </w:r>
          </w:p>
        </w:tc>
        <w:tc>
          <w:tcPr>
            <w:tcW w:w="2853" w:type="dxa"/>
          </w:tcPr>
          <w:p w:rsidR="004B2668" w:rsidRDefault="00D04865" w:rsidP="00F34C6A">
            <w:r>
              <w:t xml:space="preserve">Enable </w:t>
            </w:r>
            <w:r w:rsidR="00F34C6A">
              <w:t>a</w:t>
            </w:r>
            <w:r w:rsidR="00394509">
              <w:t>pplication</w:t>
            </w:r>
            <w:r w:rsidR="00F34C6A">
              <w:t>s</w:t>
            </w:r>
            <w:r w:rsidR="00394509">
              <w:t xml:space="preserve"> </w:t>
            </w:r>
            <w:r w:rsidR="00F34C6A">
              <w:t xml:space="preserve">to </w:t>
            </w:r>
            <w:r w:rsidR="00394509">
              <w:t>retrieve or search terminologies hosted by HealthVault.</w:t>
            </w:r>
          </w:p>
        </w:tc>
      </w:tr>
      <w:tr w:rsidR="004B2668" w:rsidTr="00394509">
        <w:tc>
          <w:tcPr>
            <w:tcW w:w="2855" w:type="dxa"/>
          </w:tcPr>
          <w:p w:rsidR="004B2668" w:rsidRDefault="004B2668" w:rsidP="00A66C06">
            <w:r>
              <w:t>Application Management</w:t>
            </w:r>
          </w:p>
        </w:tc>
        <w:tc>
          <w:tcPr>
            <w:tcW w:w="3868" w:type="dxa"/>
          </w:tcPr>
          <w:p w:rsidR="004B2668" w:rsidRDefault="004B2668" w:rsidP="00A66C06">
            <w:proofErr w:type="spellStart"/>
            <w:r>
              <w:t>SetApplicationSettings</w:t>
            </w:r>
            <w:proofErr w:type="spellEnd"/>
          </w:p>
          <w:p w:rsidR="004B2668" w:rsidRDefault="004B2668" w:rsidP="00A66C06">
            <w:proofErr w:type="spellStart"/>
            <w:r>
              <w:t>GetApplicationSettings</w:t>
            </w:r>
            <w:proofErr w:type="spellEnd"/>
          </w:p>
          <w:p w:rsidR="004B2668" w:rsidRDefault="004B2668" w:rsidP="00A66C06">
            <w:proofErr w:type="spellStart"/>
            <w:r>
              <w:t>AddApplication</w:t>
            </w:r>
            <w:proofErr w:type="spellEnd"/>
            <w:r>
              <w:t xml:space="preserve">, </w:t>
            </w:r>
          </w:p>
          <w:p w:rsidR="004B2668" w:rsidRDefault="004B2668" w:rsidP="00A66C06">
            <w:proofErr w:type="spellStart"/>
            <w:r>
              <w:t>UpdateApplication</w:t>
            </w:r>
            <w:proofErr w:type="spellEnd"/>
          </w:p>
        </w:tc>
        <w:tc>
          <w:tcPr>
            <w:tcW w:w="2853" w:type="dxa"/>
          </w:tcPr>
          <w:p w:rsidR="004B2668" w:rsidRDefault="00F34C6A" w:rsidP="00394509">
            <w:r>
              <w:t>E</w:t>
            </w:r>
            <w:r w:rsidR="00394509">
              <w:t>nable an application to store a record specific setting, and manage derivative applications.</w:t>
            </w:r>
          </w:p>
        </w:tc>
      </w:tr>
      <w:tr w:rsidR="004B2668" w:rsidTr="00394509">
        <w:tc>
          <w:tcPr>
            <w:tcW w:w="2855" w:type="dxa"/>
          </w:tcPr>
          <w:p w:rsidR="004B2668" w:rsidRDefault="004B2668" w:rsidP="00A66C06">
            <w:r>
              <w:t>Service Discovery</w:t>
            </w:r>
          </w:p>
        </w:tc>
        <w:tc>
          <w:tcPr>
            <w:tcW w:w="3868" w:type="dxa"/>
          </w:tcPr>
          <w:p w:rsidR="004B2668" w:rsidRDefault="004B2668" w:rsidP="00A66C06">
            <w:r>
              <w:t xml:space="preserve">GetServiceDefinition, </w:t>
            </w:r>
          </w:p>
          <w:p w:rsidR="004B2668" w:rsidRDefault="004B2668" w:rsidP="00A66C06">
            <w:proofErr w:type="spellStart"/>
            <w:r>
              <w:t>GetThingType</w:t>
            </w:r>
            <w:proofErr w:type="spellEnd"/>
          </w:p>
        </w:tc>
        <w:tc>
          <w:tcPr>
            <w:tcW w:w="2853" w:type="dxa"/>
          </w:tcPr>
          <w:p w:rsidR="004B2668" w:rsidRDefault="00F34C6A" w:rsidP="00A66C06">
            <w:r>
              <w:t>H</w:t>
            </w:r>
            <w:r w:rsidR="00394509">
              <w:t>elp with service discovery.</w:t>
            </w:r>
          </w:p>
        </w:tc>
      </w:tr>
      <w:tr w:rsidR="004B2668" w:rsidTr="00394509">
        <w:tc>
          <w:tcPr>
            <w:tcW w:w="2855" w:type="dxa"/>
          </w:tcPr>
          <w:p w:rsidR="004B2668" w:rsidRDefault="004B2668" w:rsidP="00A66C06">
            <w:proofErr w:type="spellStart"/>
            <w:r>
              <w:t>OpenQuery</w:t>
            </w:r>
            <w:proofErr w:type="spellEnd"/>
          </w:p>
        </w:tc>
        <w:tc>
          <w:tcPr>
            <w:tcW w:w="3868" w:type="dxa"/>
          </w:tcPr>
          <w:p w:rsidR="004B2668" w:rsidRDefault="004B2668" w:rsidP="00A66C06">
            <w:proofErr w:type="spellStart"/>
            <w:r>
              <w:t>SaveOpenQuery</w:t>
            </w:r>
            <w:proofErr w:type="spellEnd"/>
            <w:r>
              <w:t>,</w:t>
            </w:r>
          </w:p>
          <w:p w:rsidR="004B2668" w:rsidRDefault="004B2668" w:rsidP="00A66C06">
            <w:proofErr w:type="spellStart"/>
            <w:r>
              <w:t>GetOpenQueryInfo</w:t>
            </w:r>
            <w:proofErr w:type="spellEnd"/>
            <w:r>
              <w:t>,</w:t>
            </w:r>
          </w:p>
          <w:p w:rsidR="004B2668" w:rsidRDefault="004B2668" w:rsidP="00A66C06">
            <w:proofErr w:type="spellStart"/>
            <w:r>
              <w:t>DeleteOpenQuery</w:t>
            </w:r>
            <w:proofErr w:type="spellEnd"/>
          </w:p>
        </w:tc>
        <w:tc>
          <w:tcPr>
            <w:tcW w:w="2853" w:type="dxa"/>
          </w:tcPr>
          <w:p w:rsidR="004B2668" w:rsidRDefault="00394509" w:rsidP="00A66C06">
            <w:r>
              <w:t xml:space="preserve">These are hardly used, but they give </w:t>
            </w:r>
            <w:r w:rsidR="00F34C6A">
              <w:t xml:space="preserve">the </w:t>
            </w:r>
            <w:r>
              <w:t xml:space="preserve">ability to run pre-canned queries for a </w:t>
            </w:r>
            <w:r w:rsidR="00497FA6">
              <w:t xml:space="preserve">health </w:t>
            </w:r>
            <w:r>
              <w:t>record.</w:t>
            </w:r>
          </w:p>
        </w:tc>
      </w:tr>
    </w:tbl>
    <w:p w:rsidR="004B2668" w:rsidRDefault="00542B03" w:rsidP="004B2668">
      <w:pPr>
        <w:jc w:val="center"/>
      </w:pPr>
      <w:r>
        <w:t xml:space="preserve">Table </w:t>
      </w:r>
      <w:r w:rsidR="008E275F">
        <w:t>3-</w:t>
      </w:r>
      <w:r>
        <w:t>3</w:t>
      </w:r>
      <w:r w:rsidR="004B2668">
        <w:t xml:space="preserve"> HealthVault API Summary</w:t>
      </w:r>
    </w:p>
    <w:p w:rsidR="0039266C" w:rsidRDefault="0039266C" w:rsidP="0039266C">
      <w:pPr>
        <w:pStyle w:val="Heading3"/>
      </w:pPr>
      <w:r>
        <w:t>Authentication &amp; Authorization APIs</w:t>
      </w:r>
    </w:p>
    <w:p w:rsidR="0039266C" w:rsidRDefault="001B502B" w:rsidP="0039266C">
      <w:r>
        <w:t xml:space="preserve">Applications authenticate themselves to the HealthVault platform using the CreateAuthenticatedSessionToken API. Users are authenticated </w:t>
      </w:r>
      <w:r w:rsidR="007152FF">
        <w:t xml:space="preserve">through </w:t>
      </w:r>
      <w:r>
        <w:t>HealthVault.com and applications can get tokens for authorization using the HealthVault Shell redirect interface [</w:t>
      </w:r>
      <w:hyperlink r:id="rId18" w:history="1">
        <w:r w:rsidR="00843C7F">
          <w:rPr>
            <w:rStyle w:val="Hyperlink"/>
          </w:rPr>
          <w:t>http://msdn.microsoft.com/en-us/library/ff803620.aspx</w:t>
        </w:r>
      </w:hyperlink>
      <w:r>
        <w:t>].</w:t>
      </w:r>
    </w:p>
    <w:p w:rsidR="00C77009" w:rsidRDefault="00C77009" w:rsidP="0039266C">
      <w:r>
        <w:t>&lt;</w:t>
      </w:r>
      <w:proofErr w:type="gramStart"/>
      <w:r>
        <w:t>aside&gt;</w:t>
      </w:r>
      <w:proofErr w:type="gramEnd"/>
      <w:r>
        <w:t xml:space="preserve">CreateAuthenticatedSessionToken or CAST is the most </w:t>
      </w:r>
      <w:r w:rsidR="003E757F">
        <w:t xml:space="preserve">commonly </w:t>
      </w:r>
      <w:r>
        <w:t>used HealthVault API. The API provides authentication token for client</w:t>
      </w:r>
      <w:r w:rsidR="007B2AE7">
        <w:t>s</w:t>
      </w:r>
      <w:r>
        <w:t xml:space="preserve"> as well as web applications</w:t>
      </w:r>
      <w:r w:rsidR="0037732F">
        <w:t>.</w:t>
      </w:r>
      <w:r>
        <w:t xml:space="preserve"> </w:t>
      </w:r>
      <w:r w:rsidR="0037732F">
        <w:t>Most HealthVault wrappers provide an API for this purpose</w:t>
      </w:r>
      <w:proofErr w:type="gramStart"/>
      <w:r w:rsidR="007B2AE7">
        <w:t>.</w:t>
      </w:r>
      <w:r w:rsidR="0037732F">
        <w:t>&lt;</w:t>
      </w:r>
      <w:proofErr w:type="gramEnd"/>
      <w:r w:rsidR="0037732F">
        <w:t>/aside&gt;</w:t>
      </w:r>
    </w:p>
    <w:p w:rsidR="001B502B" w:rsidRDefault="00BB46EF" w:rsidP="0039266C">
      <w:r>
        <w:t>I</w:t>
      </w:r>
      <w:r w:rsidR="001B502B">
        <w:t>ndividual methods are available for</w:t>
      </w:r>
      <w:r w:rsidR="007152FF">
        <w:t xml:space="preserve"> an</w:t>
      </w:r>
      <w:r w:rsidR="001B502B">
        <w:t xml:space="preserve"> application to fetch record and person authorization details.</w:t>
      </w:r>
      <w:r w:rsidR="0037732F">
        <w:t xml:space="preserve"> Most notably</w:t>
      </w:r>
      <w:r w:rsidR="007B2AE7">
        <w:t>,</w:t>
      </w:r>
      <w:r w:rsidR="0037732F">
        <w:t xml:space="preserve"> </w:t>
      </w:r>
      <w:proofErr w:type="spellStart"/>
      <w:r w:rsidR="0037732F">
        <w:t>NewApplicationCreationInfo</w:t>
      </w:r>
      <w:proofErr w:type="spellEnd"/>
      <w:r w:rsidR="0037732F">
        <w:t xml:space="preserve"> is used by mobile clients to </w:t>
      </w:r>
      <w:r w:rsidR="002372BB">
        <w:t>receive</w:t>
      </w:r>
      <w:r w:rsidR="0037732F">
        <w:t xml:space="preserve"> security keys from </w:t>
      </w:r>
      <w:r w:rsidR="003A71E1">
        <w:t xml:space="preserve">the </w:t>
      </w:r>
      <w:r w:rsidR="0037732F">
        <w:t>HealthVault platform.</w:t>
      </w:r>
    </w:p>
    <w:p w:rsidR="0039266C" w:rsidRDefault="001B502B" w:rsidP="001B502B">
      <w:pPr>
        <w:pStyle w:val="Heading3"/>
      </w:pPr>
      <w:r>
        <w:t>Reading Health Items</w:t>
      </w:r>
    </w:p>
    <w:p w:rsidR="001B502B" w:rsidRDefault="001B502B" w:rsidP="001B502B">
      <w:r>
        <w:t xml:space="preserve">The core </w:t>
      </w:r>
      <w:r w:rsidR="0049605D">
        <w:t>function that lets an application</w:t>
      </w:r>
      <w:r>
        <w:t xml:space="preserve"> read items </w:t>
      </w:r>
      <w:r w:rsidR="0049605D">
        <w:t xml:space="preserve">from </w:t>
      </w:r>
      <w:r>
        <w:t>a user’s HealthVault record is GetThings. We will discuss this API in detail</w:t>
      </w:r>
      <w:r w:rsidR="00974588">
        <w:t xml:space="preserve"> in section [link]</w:t>
      </w:r>
      <w:r>
        <w:t>, but to summarize</w:t>
      </w:r>
      <w:r w:rsidR="0049605D">
        <w:t>,</w:t>
      </w:r>
      <w:r>
        <w:t xml:space="preserve"> this API provides </w:t>
      </w:r>
      <w:r w:rsidR="007152FF">
        <w:t xml:space="preserve">the </w:t>
      </w:r>
      <w:r>
        <w:t xml:space="preserve">ability to query HealthVault, fetch </w:t>
      </w:r>
      <w:r w:rsidR="007152FF">
        <w:t xml:space="preserve">a </w:t>
      </w:r>
      <w:r>
        <w:t>health item with granular details</w:t>
      </w:r>
      <w:r w:rsidR="0049605D">
        <w:t>,</w:t>
      </w:r>
      <w:r>
        <w:t xml:space="preserve"> and fetch large </w:t>
      </w:r>
      <w:r w:rsidR="0049605D">
        <w:t xml:space="preserve">BLOB </w:t>
      </w:r>
      <w:r>
        <w:t>items</w:t>
      </w:r>
      <w:r w:rsidR="0049605D">
        <w:t xml:space="preserve"> such as images</w:t>
      </w:r>
      <w:r>
        <w:t>.</w:t>
      </w:r>
    </w:p>
    <w:p w:rsidR="002372BB" w:rsidRDefault="002372BB" w:rsidP="001B502B">
      <w:r>
        <w:t>&lt;</w:t>
      </w:r>
      <w:proofErr w:type="gramStart"/>
      <w:r>
        <w:t>aside&gt;</w:t>
      </w:r>
      <w:proofErr w:type="gramEnd"/>
      <w:r>
        <w:t xml:space="preserve">After CreateAuthenticatedSessionToken, GetThings is the most </w:t>
      </w:r>
      <w:r w:rsidR="00150CF2">
        <w:t xml:space="preserve">commonly </w:t>
      </w:r>
      <w:r>
        <w:t>used HealthVault API. &lt;/aside&gt;</w:t>
      </w:r>
    </w:p>
    <w:p w:rsidR="001B502B" w:rsidRDefault="0011178C" w:rsidP="0011178C">
      <w:pPr>
        <w:pStyle w:val="Heading3"/>
      </w:pPr>
      <w:r>
        <w:t xml:space="preserve">Creating </w:t>
      </w:r>
      <w:r w:rsidR="00B24A5D">
        <w:t>and</w:t>
      </w:r>
      <w:r>
        <w:t xml:space="preserve"> Updating Health Items</w:t>
      </w:r>
    </w:p>
    <w:p w:rsidR="00701BED" w:rsidRDefault="00C53C85" w:rsidP="0011178C">
      <w:r>
        <w:t>The counterpart of GetThings is PutThings</w:t>
      </w:r>
      <w:r w:rsidR="00150CF2">
        <w:t>. It</w:t>
      </w:r>
      <w:r>
        <w:t xml:space="preserve"> is used by most applications to update and create health items. We will discuss this </w:t>
      </w:r>
      <w:r w:rsidR="00B24A5D">
        <w:t xml:space="preserve">function </w:t>
      </w:r>
      <w:r>
        <w:t xml:space="preserve">in detail in section </w:t>
      </w:r>
      <w:r w:rsidR="003850F8">
        <w:t>2.3.1</w:t>
      </w:r>
      <w:r>
        <w:t xml:space="preserve">. </w:t>
      </w:r>
    </w:p>
    <w:p w:rsidR="00701BED" w:rsidRDefault="00C53C85" w:rsidP="0011178C">
      <w:r>
        <w:t>OverwriteThings allows applications to force overwrite</w:t>
      </w:r>
      <w:r w:rsidR="00256116">
        <w:t>s</w:t>
      </w:r>
      <w:r>
        <w:t xml:space="preserve"> on e</w:t>
      </w:r>
      <w:r w:rsidR="00256116">
        <w:t xml:space="preserve">xisting health items. This API is not generally used. </w:t>
      </w:r>
    </w:p>
    <w:p w:rsidR="00256116" w:rsidRDefault="00256116" w:rsidP="0011178C">
      <w:r>
        <w:lastRenderedPageBreak/>
        <w:t>HealthVault</w:t>
      </w:r>
      <w:r w:rsidR="007221E0">
        <w:t>,</w:t>
      </w:r>
      <w:r>
        <w:t xml:space="preserve"> unlike most personal health platform</w:t>
      </w:r>
      <w:r w:rsidR="007221E0">
        <w:t>s,</w:t>
      </w:r>
      <w:r>
        <w:t xml:space="preserve"> provides a mechanism to store large files </w:t>
      </w:r>
      <w:r w:rsidR="0007444A">
        <w:t xml:space="preserve">such as </w:t>
      </w:r>
      <w:r>
        <w:t xml:space="preserve">medical images. Application can upload large chunks of information by using the </w:t>
      </w:r>
      <w:proofErr w:type="spellStart"/>
      <w:r>
        <w:t>BeginPutBlob</w:t>
      </w:r>
      <w:proofErr w:type="spellEnd"/>
      <w:r>
        <w:t xml:space="preserve"> API</w:t>
      </w:r>
      <w:r w:rsidR="0007444A">
        <w:t>.</w:t>
      </w:r>
      <w:r>
        <w:t xml:space="preserve"> </w:t>
      </w:r>
      <w:r w:rsidR="0007444A">
        <w:t>I</w:t>
      </w:r>
      <w:r>
        <w:t>t is fairly tricky to use</w:t>
      </w:r>
      <w:r w:rsidR="0007444A">
        <w:t>,</w:t>
      </w:r>
      <w:r>
        <w:t xml:space="preserve"> but there is good documentation</w:t>
      </w:r>
      <w:r w:rsidR="007221E0">
        <w:t xml:space="preserve"> on how</w:t>
      </w:r>
      <w:r>
        <w:t xml:space="preserve"> to use it </w:t>
      </w:r>
      <w:r w:rsidR="00843C7F">
        <w:t>via raw XML interfaces at</w:t>
      </w:r>
      <w:r>
        <w:t xml:space="preserve"> </w:t>
      </w:r>
      <w:hyperlink r:id="rId19" w:history="1">
        <w:r w:rsidR="00814451">
          <w:rPr>
            <w:rStyle w:val="Hyperlink"/>
          </w:rPr>
          <w:t>http://msdn.microsoft.com/en-us/library/ff803584.aspx</w:t>
        </w:r>
      </w:hyperlink>
      <w:r>
        <w:t xml:space="preserve">, as well as use the HealthVault .NET SDK </w:t>
      </w:r>
      <w:r w:rsidR="003850F8">
        <w:t xml:space="preserve">at </w:t>
      </w:r>
      <w:hyperlink r:id="rId20" w:history="1">
        <w:r w:rsidR="00814451">
          <w:rPr>
            <w:rStyle w:val="Hyperlink"/>
          </w:rPr>
          <w:t>http://msdn.microsoft.com/en-us/library/ff803576.aspx</w:t>
        </w:r>
      </w:hyperlink>
      <w:r>
        <w:t>.</w:t>
      </w:r>
    </w:p>
    <w:p w:rsidR="0011178C" w:rsidRDefault="008424EC" w:rsidP="008424EC">
      <w:pPr>
        <w:pStyle w:val="Heading3"/>
      </w:pPr>
      <w:r>
        <w:t>Delete Health Items</w:t>
      </w:r>
    </w:p>
    <w:p w:rsidR="00D60454" w:rsidRDefault="00256116" w:rsidP="00D60454">
      <w:proofErr w:type="spellStart"/>
      <w:r>
        <w:t>DeleteThings</w:t>
      </w:r>
      <w:proofErr w:type="spellEnd"/>
      <w:r>
        <w:t xml:space="preserve"> is the one of the simplest HealthVault </w:t>
      </w:r>
      <w:r w:rsidR="00F26B9D">
        <w:t xml:space="preserve">functions, </w:t>
      </w:r>
      <w:r>
        <w:t>allow</w:t>
      </w:r>
      <w:r w:rsidR="00F26B9D">
        <w:t>ing</w:t>
      </w:r>
      <w:r>
        <w:t xml:space="preserve"> application</w:t>
      </w:r>
      <w:r w:rsidR="00F26B9D">
        <w:t>s</w:t>
      </w:r>
      <w:r>
        <w:t xml:space="preserve"> to delete individual health items from a user’s record. HealthVault keep</w:t>
      </w:r>
      <w:r w:rsidR="00F26B9D">
        <w:t>s</w:t>
      </w:r>
      <w:r>
        <w:t xml:space="preserve"> a</w:t>
      </w:r>
      <w:r w:rsidR="00F26B9D">
        <w:t>n</w:t>
      </w:r>
      <w:r>
        <w:t xml:space="preserve"> audit trail of all operations</w:t>
      </w:r>
      <w:r w:rsidR="00F26B9D">
        <w:t>,</w:t>
      </w:r>
      <w:r>
        <w:t xml:space="preserve"> including the delete operation.</w:t>
      </w:r>
    </w:p>
    <w:p w:rsidR="00256116" w:rsidRDefault="00256116" w:rsidP="00D60454">
      <w:r>
        <w:t>&lt;</w:t>
      </w:r>
      <w:proofErr w:type="gramStart"/>
      <w:r>
        <w:t>aside</w:t>
      </w:r>
      <w:proofErr w:type="gramEnd"/>
      <w:r>
        <w:t xml:space="preserve">&gt; Only </w:t>
      </w:r>
      <w:r w:rsidR="00DE3261">
        <w:t>users</w:t>
      </w:r>
      <w:r>
        <w:t xml:space="preserve"> can view the audit trail for Health items by using HealthVault Shell’s history functionality. Applications do not have access to </w:t>
      </w:r>
      <w:r w:rsidR="00F26B9D">
        <w:t xml:space="preserve">the </w:t>
      </w:r>
      <w:r>
        <w:t>audit trail of a health item. &lt;/aside&gt;</w:t>
      </w:r>
    </w:p>
    <w:p w:rsidR="008424EC" w:rsidRDefault="00256116" w:rsidP="00D60454">
      <w:pPr>
        <w:pStyle w:val="Heading3"/>
      </w:pPr>
      <w:r>
        <w:t>Patient Connect</w:t>
      </w:r>
    </w:p>
    <w:p w:rsidR="0051333B" w:rsidRDefault="00DE3261" w:rsidP="0051333B">
      <w:r>
        <w:t xml:space="preserve">As discussed </w:t>
      </w:r>
      <w:r w:rsidR="00CA44F6">
        <w:t xml:space="preserve">later </w:t>
      </w:r>
      <w:r>
        <w:t xml:space="preserve">in section [link], several clinical </w:t>
      </w:r>
      <w:r w:rsidR="0051333B">
        <w:t>applications</w:t>
      </w:r>
      <w:r>
        <w:t xml:space="preserve"> use HealthVault to send information to consumers either </w:t>
      </w:r>
      <w:r w:rsidR="00CA44F6">
        <w:t>a single</w:t>
      </w:r>
      <w:r>
        <w:t xml:space="preserve"> time or continually through back-end systems.</w:t>
      </w:r>
      <w:r w:rsidR="004D0A22">
        <w:t xml:space="preserve"> </w:t>
      </w:r>
      <w:proofErr w:type="spellStart"/>
      <w:r>
        <w:t>CreateConnectPackage</w:t>
      </w:r>
      <w:proofErr w:type="spellEnd"/>
      <w:r>
        <w:t xml:space="preserve"> allows </w:t>
      </w:r>
      <w:r w:rsidR="00C870EF">
        <w:t>applications</w:t>
      </w:r>
      <w:r>
        <w:t xml:space="preserve"> to create a one-time package for the user </w:t>
      </w:r>
      <w:r w:rsidR="00C870EF">
        <w:t xml:space="preserve">to receive in their HealthVault account, and </w:t>
      </w:r>
      <w:proofErr w:type="spellStart"/>
      <w:r w:rsidR="00C870EF">
        <w:t>DeleteConnectPackage</w:t>
      </w:r>
      <w:proofErr w:type="spellEnd"/>
      <w:r w:rsidR="00C870EF">
        <w:t xml:space="preserve"> allows applications to perform cleanup as necessary. On the other hand, </w:t>
      </w:r>
      <w:proofErr w:type="spellStart"/>
      <w:r w:rsidR="00C870EF">
        <w:t>CreateConnectRequest</w:t>
      </w:r>
      <w:proofErr w:type="spellEnd"/>
      <w:r w:rsidR="00C870EF">
        <w:t xml:space="preserve"> allows application to establish a continual link with a patient’s </w:t>
      </w:r>
      <w:r w:rsidR="00FC50E1">
        <w:t xml:space="preserve">HealthVault </w:t>
      </w:r>
      <w:r w:rsidR="00C870EF">
        <w:t xml:space="preserve">record. Application can get </w:t>
      </w:r>
      <w:r w:rsidR="00FC50E1">
        <w:t xml:space="preserve">the </w:t>
      </w:r>
      <w:r w:rsidR="00C870EF">
        <w:t xml:space="preserve">details </w:t>
      </w:r>
      <w:r w:rsidR="00FC50E1">
        <w:t xml:space="preserve">needed to make </w:t>
      </w:r>
      <w:r w:rsidR="00873B81">
        <w:t xml:space="preserve">the link by using </w:t>
      </w:r>
      <w:proofErr w:type="spellStart"/>
      <w:r w:rsidR="00873B81">
        <w:t>GetAuthoriz</w:t>
      </w:r>
      <w:r w:rsidR="00C870EF">
        <w:t>edConnectRequests</w:t>
      </w:r>
      <w:proofErr w:type="spellEnd"/>
      <w:r w:rsidR="00C870EF">
        <w:t>.</w:t>
      </w:r>
    </w:p>
    <w:p w:rsidR="0051333B" w:rsidRDefault="0051333B" w:rsidP="0051333B">
      <w:r>
        <w:t>&lt;</w:t>
      </w:r>
      <w:proofErr w:type="gramStart"/>
      <w:r w:rsidR="00C870EF">
        <w:t>aside&gt;</w:t>
      </w:r>
      <w:proofErr w:type="gramEnd"/>
      <w:r w:rsidRPr="0051333B">
        <w:t xml:space="preserve">HealthVault will delete the validated connect requests after </w:t>
      </w:r>
      <w:r w:rsidR="006F6487">
        <w:t>a</w:t>
      </w:r>
      <w:r w:rsidRPr="0051333B">
        <w:t xml:space="preserve"> period of time. It is advised that applications </w:t>
      </w:r>
      <w:r w:rsidR="00D04865" w:rsidRPr="0051333B">
        <w:t xml:space="preserve">calls </w:t>
      </w:r>
      <w:proofErr w:type="spellStart"/>
      <w:r w:rsidR="00D04865" w:rsidRPr="0051333B">
        <w:t>GetAuthorizedConnectRequests</w:t>
      </w:r>
      <w:proofErr w:type="spellEnd"/>
      <w:r w:rsidR="00D04865" w:rsidRPr="0051333B">
        <w:t xml:space="preserve"> daily or weekly to ensure that all validated connect requests are</w:t>
      </w:r>
      <w:r w:rsidRPr="0051333B">
        <w:t xml:space="preserve"> retrieved</w:t>
      </w:r>
      <w:r w:rsidR="00C870EF" w:rsidRPr="0051333B">
        <w:t>.</w:t>
      </w:r>
      <w:r w:rsidR="00C870EF">
        <w:t xml:space="preserve"> &lt;</w:t>
      </w:r>
      <w:r>
        <w:t>/aside&gt;</w:t>
      </w:r>
    </w:p>
    <w:p w:rsidR="00D60454" w:rsidRDefault="00D60454" w:rsidP="00D60454">
      <w:pPr>
        <w:pStyle w:val="Heading3"/>
      </w:pPr>
      <w:r>
        <w:t>Asynchronous Processing</w:t>
      </w:r>
    </w:p>
    <w:p w:rsidR="008211AB" w:rsidRDefault="008211AB" w:rsidP="00D60454">
      <w:r>
        <w:t>HealthVault provides several mechanisms for</w:t>
      </w:r>
      <w:r w:rsidR="0076436C">
        <w:t xml:space="preserve"> an</w:t>
      </w:r>
      <w:r>
        <w:t xml:space="preserve"> application to perform asynchronous processing.</w:t>
      </w:r>
      <w:r w:rsidR="008170F6">
        <w:t xml:space="preserve"> </w:t>
      </w:r>
      <w:proofErr w:type="spellStart"/>
      <w:r>
        <w:t>GetAuthorizedPeople</w:t>
      </w:r>
      <w:proofErr w:type="spellEnd"/>
      <w:r>
        <w:t xml:space="preserve"> </w:t>
      </w:r>
      <w:r w:rsidR="00A73971">
        <w:t xml:space="preserve">gets information about the people that are authorized </w:t>
      </w:r>
      <w:r w:rsidR="00814451">
        <w:t xml:space="preserve">to use the </w:t>
      </w:r>
      <w:r w:rsidR="00A73971">
        <w:t>application</w:t>
      </w:r>
      <w:r w:rsidR="008170F6">
        <w:t>.</w:t>
      </w:r>
      <w:r w:rsidR="00A73971">
        <w:t xml:space="preserve"> </w:t>
      </w:r>
      <w:r w:rsidR="008170F6">
        <w:t>T</w:t>
      </w:r>
      <w:r w:rsidR="00A73971">
        <w:t xml:space="preserve">his </w:t>
      </w:r>
      <w:r w:rsidR="008170F6">
        <w:t xml:space="preserve">function </w:t>
      </w:r>
      <w:r w:rsidR="00A73971">
        <w:t xml:space="preserve">paginates </w:t>
      </w:r>
      <w:r w:rsidR="008170F6">
        <w:t>results</w:t>
      </w:r>
      <w:r w:rsidR="00A73971">
        <w:t xml:space="preserve"> using a </w:t>
      </w:r>
      <w:proofErr w:type="spellStart"/>
      <w:r w:rsidR="006D6502">
        <w:t>P</w:t>
      </w:r>
      <w:r w:rsidR="00A73971">
        <w:t>erson</w:t>
      </w:r>
      <w:r w:rsidR="006D6502">
        <w:t>ID</w:t>
      </w:r>
      <w:proofErr w:type="spellEnd"/>
      <w:r w:rsidR="00A73971">
        <w:t xml:space="preserve">-cursor and provides a way to query authorizations created </w:t>
      </w:r>
      <w:r w:rsidR="0091016D">
        <w:t>after a given point in time</w:t>
      </w:r>
      <w:r w:rsidR="00A73971">
        <w:t xml:space="preserve">. Applications have found this </w:t>
      </w:r>
      <w:r w:rsidR="006D6502">
        <w:t>function</w:t>
      </w:r>
      <w:r w:rsidR="00A73971">
        <w:t xml:space="preserve"> useful to send email updates and reminders to their subscribers. </w:t>
      </w:r>
      <w:r w:rsidR="0091016D">
        <w:t>Similarly</w:t>
      </w:r>
      <w:r w:rsidR="00AA13B6">
        <w:t xml:space="preserve">, </w:t>
      </w:r>
      <w:proofErr w:type="spellStart"/>
      <w:r w:rsidR="00AA13B6" w:rsidRPr="00AA13B6">
        <w:t>GetUpdatedRecordsForApplication</w:t>
      </w:r>
      <w:proofErr w:type="spellEnd"/>
      <w:r w:rsidR="00AA13B6" w:rsidRPr="00AA13B6">
        <w:t xml:space="preserve"> retrieve</w:t>
      </w:r>
      <w:r w:rsidR="00AA13B6">
        <w:t>s</w:t>
      </w:r>
      <w:r w:rsidR="00AA13B6" w:rsidRPr="00AA13B6">
        <w:t xml:space="preserve"> a list of records for an application with things that have been updated since a specified date.</w:t>
      </w:r>
      <w:r w:rsidR="00AA13B6">
        <w:t xml:space="preserve"> </w:t>
      </w:r>
    </w:p>
    <w:p w:rsidR="00D37BF9" w:rsidRDefault="00D37BF9" w:rsidP="00D37BF9">
      <w:r>
        <w:t xml:space="preserve">HealthVault provides a </w:t>
      </w:r>
      <w:r w:rsidR="00052F7B">
        <w:t xml:space="preserve">powerful </w:t>
      </w:r>
      <w:r>
        <w:t>publish</w:t>
      </w:r>
      <w:r w:rsidR="00052F7B">
        <w:t>/</w:t>
      </w:r>
      <w:r>
        <w:t>subscribe mechanism. Application</w:t>
      </w:r>
      <w:r w:rsidR="0091016D">
        <w:t>s</w:t>
      </w:r>
      <w:r>
        <w:t xml:space="preserve"> can subscribe to events around create, read, update</w:t>
      </w:r>
      <w:r w:rsidR="00052F7B">
        <w:t>,</w:t>
      </w:r>
      <w:r>
        <w:t xml:space="preserve"> and delete operations on HealthVault thing-types</w:t>
      </w:r>
      <w:r w:rsidR="0091016D">
        <w:t>. T</w:t>
      </w:r>
      <w:r>
        <w:t xml:space="preserve">hese events are registered with the platform using the </w:t>
      </w:r>
      <w:proofErr w:type="spellStart"/>
      <w:r>
        <w:t>SubscribeToEvent</w:t>
      </w:r>
      <w:proofErr w:type="spellEnd"/>
      <w:r>
        <w:t xml:space="preserve"> method. In addition to defining the subscribe event</w:t>
      </w:r>
      <w:r w:rsidR="0091016D">
        <w:t>,</w:t>
      </w:r>
      <w:r>
        <w:t xml:space="preserve"> the application registers a secure URI </w:t>
      </w:r>
      <w:r w:rsidR="005E4862">
        <w:t>to</w:t>
      </w:r>
      <w:r w:rsidR="0091016D">
        <w:t xml:space="preserve"> which the HealthVault platform publishes events</w:t>
      </w:r>
      <w:r>
        <w:t xml:space="preserve">. The HealthVault Eventing mechanism is documented in detail with appropriate examples at | </w:t>
      </w:r>
      <w:r w:rsidRPr="00D37BF9">
        <w:t>http://msdn.microsoft.com/en-us/library/gg681193.aspx</w:t>
      </w:r>
      <w:r>
        <w:t>.</w:t>
      </w:r>
    </w:p>
    <w:p w:rsidR="00D37BF9" w:rsidRDefault="003850F8" w:rsidP="00D37BF9">
      <w:r>
        <w:lastRenderedPageBreak/>
        <w:t xml:space="preserve">The </w:t>
      </w:r>
      <w:proofErr w:type="spellStart"/>
      <w:r>
        <w:t>InstantPHR</w:t>
      </w:r>
      <w:proofErr w:type="spellEnd"/>
      <w:r>
        <w:t xml:space="preserve">, </w:t>
      </w:r>
      <w:hyperlink r:id="rId21" w:history="1">
        <w:r w:rsidR="002E3435" w:rsidRPr="00825868">
          <w:rPr>
            <w:rStyle w:val="Hyperlink"/>
          </w:rPr>
          <w:t>http://www.getrealconsulting.com/instantphr/</w:t>
        </w:r>
      </w:hyperlink>
      <w:r>
        <w:t>,</w:t>
      </w:r>
      <w:r w:rsidR="002E3435">
        <w:t xml:space="preserve"> </w:t>
      </w:r>
      <w:r w:rsidR="00D37BF9">
        <w:t xml:space="preserve">application from GetReal Consulting </w:t>
      </w:r>
      <w:r w:rsidR="002E3435">
        <w:t>is a good example of an application</w:t>
      </w:r>
      <w:r w:rsidR="00C40EB9">
        <w:t xml:space="preserve"> </w:t>
      </w:r>
      <w:r w:rsidR="002E3435">
        <w:t xml:space="preserve">that </w:t>
      </w:r>
      <w:r w:rsidR="00D37BF9">
        <w:t>uses the HealthVault asynchronous processing and eventing</w:t>
      </w:r>
      <w:r w:rsidR="002E3435">
        <w:t xml:space="preserve"> in</w:t>
      </w:r>
      <w:r w:rsidR="002E3435" w:rsidRPr="002E3435">
        <w:t xml:space="preserve"> </w:t>
      </w:r>
      <w:r w:rsidR="002E3435">
        <w:t>particular</w:t>
      </w:r>
      <w:r w:rsidR="00D37BF9">
        <w:t xml:space="preserve"> to notify users of changes in their Health record</w:t>
      </w:r>
      <w:r w:rsidR="002E3435">
        <w:t>s</w:t>
      </w:r>
      <w:r w:rsidR="00D37BF9">
        <w:t>.</w:t>
      </w:r>
    </w:p>
    <w:p w:rsidR="00D60454" w:rsidRDefault="00D60454" w:rsidP="00D60454">
      <w:pPr>
        <w:pStyle w:val="Heading3"/>
      </w:pPr>
      <w:r>
        <w:t>Messaging</w:t>
      </w:r>
    </w:p>
    <w:p w:rsidR="00C374A5" w:rsidRDefault="0091016D" w:rsidP="00D60454">
      <w:r>
        <w:t xml:space="preserve">Applications using HealthVault </w:t>
      </w:r>
      <w:r w:rsidR="00C374A5">
        <w:t xml:space="preserve">can send </w:t>
      </w:r>
      <w:r w:rsidR="001637B7">
        <w:t xml:space="preserve">e-mail messages to HealthVault users. </w:t>
      </w:r>
      <w:proofErr w:type="spellStart"/>
      <w:r w:rsidR="001637B7">
        <w:t>SendInsecureMessageFromApplication</w:t>
      </w:r>
      <w:proofErr w:type="spellEnd"/>
      <w:r w:rsidR="001637B7">
        <w:t xml:space="preserve"> allows the application to choose the sender address and specify its domain.</w:t>
      </w:r>
    </w:p>
    <w:p w:rsidR="00D60454" w:rsidRDefault="001637B7" w:rsidP="00D60454">
      <w:r>
        <w:t>&lt;</w:t>
      </w:r>
      <w:proofErr w:type="gramStart"/>
      <w:r>
        <w:t>aside&gt;</w:t>
      </w:r>
      <w:proofErr w:type="gramEnd"/>
      <w:r>
        <w:t>The HealthVault Messaging APIs are insecure.</w:t>
      </w:r>
      <w:r w:rsidR="0095110C">
        <w:t xml:space="preserve"> It would be</w:t>
      </w:r>
      <w:r>
        <w:t xml:space="preserve"> </w:t>
      </w:r>
      <w:r w:rsidR="0095110C">
        <w:t>better for an i</w:t>
      </w:r>
      <w:r>
        <w:t xml:space="preserve">nstitution </w:t>
      </w:r>
      <w:r w:rsidR="0095110C">
        <w:t xml:space="preserve">to </w:t>
      </w:r>
      <w:r>
        <w:t>set</w:t>
      </w:r>
      <w:r w:rsidR="0095110C">
        <w:t xml:space="preserve"> </w:t>
      </w:r>
      <w:r>
        <w:t xml:space="preserve">up </w:t>
      </w:r>
      <w:r w:rsidR="0095110C">
        <w:t xml:space="preserve">the </w:t>
      </w:r>
      <w:proofErr w:type="gramStart"/>
      <w:r>
        <w:t>Direct</w:t>
      </w:r>
      <w:proofErr w:type="gramEnd"/>
      <w:r>
        <w:t xml:space="preserve"> email protocol and send secure email to</w:t>
      </w:r>
      <w:r w:rsidR="0095110C">
        <w:t xml:space="preserve"> the</w:t>
      </w:r>
      <w:r>
        <w:t xml:space="preserve"> HealthVault user. HealthVault users get free </w:t>
      </w:r>
      <w:r w:rsidR="0095110C">
        <w:t>D</w:t>
      </w:r>
      <w:r>
        <w:t>irect email address</w:t>
      </w:r>
      <w:r w:rsidR="0095110C">
        <w:t>es</w:t>
      </w:r>
      <w:proofErr w:type="gramStart"/>
      <w:r>
        <w:t>.&lt;</w:t>
      </w:r>
      <w:proofErr w:type="gramEnd"/>
      <w:r>
        <w:t>/aside&gt;</w:t>
      </w:r>
    </w:p>
    <w:p w:rsidR="00D60454" w:rsidRDefault="009A407A" w:rsidP="009A407A">
      <w:pPr>
        <w:pStyle w:val="Heading3"/>
      </w:pPr>
      <w:r>
        <w:t>Terminology</w:t>
      </w:r>
    </w:p>
    <w:p w:rsidR="00583EE7" w:rsidRDefault="00391D66" w:rsidP="009A407A">
      <w:r>
        <w:t>Terminologies</w:t>
      </w:r>
      <w:r w:rsidR="007758F4">
        <w:t>, also known as vocabularies,</w:t>
      </w:r>
      <w:r>
        <w:t xml:space="preserve"> are</w:t>
      </w:r>
      <w:r w:rsidR="00C40EB9">
        <w:t xml:space="preserve"> a list of codes associated with well-known terms in a particular domain.</w:t>
      </w:r>
      <w:r w:rsidR="00E325F2">
        <w:t>]</w:t>
      </w:r>
      <w:r>
        <w:t xml:space="preserve"> </w:t>
      </w:r>
      <w:r w:rsidR="00F60D9D">
        <w:t xml:space="preserve">HealthVault hosts numerous terminologies. </w:t>
      </w:r>
      <w:r w:rsidR="00583EE7">
        <w:t xml:space="preserve">Most as tagged as </w:t>
      </w:r>
      <w:proofErr w:type="spellStart"/>
      <w:proofErr w:type="gramStart"/>
      <w:r w:rsidR="00583EE7">
        <w:t>wc</w:t>
      </w:r>
      <w:proofErr w:type="spellEnd"/>
      <w:proofErr w:type="gramEnd"/>
      <w:r w:rsidR="00583EE7">
        <w:t xml:space="preserve">, and are created by Microsoft. However several third party terminologies from </w:t>
      </w:r>
      <w:r>
        <w:t xml:space="preserve">the </w:t>
      </w:r>
      <w:r w:rsidR="00583EE7">
        <w:t>National Library of Medicine, USDA, HL7</w:t>
      </w:r>
      <w:r>
        <w:t>,</w:t>
      </w:r>
      <w:r w:rsidR="00583EE7">
        <w:t xml:space="preserve"> and other institutions are also hosted.</w:t>
      </w:r>
    </w:p>
    <w:p w:rsidR="00F60D9D" w:rsidRDefault="00583EE7" w:rsidP="009A407A">
      <w:r>
        <w:t>&lt;</w:t>
      </w:r>
      <w:proofErr w:type="gramStart"/>
      <w:r>
        <w:t>aside</w:t>
      </w:r>
      <w:proofErr w:type="gramEnd"/>
      <w:r>
        <w:t>&gt;</w:t>
      </w:r>
      <w:r>
        <w:br/>
      </w:r>
      <w:r w:rsidR="00411462">
        <w:t>You can u</w:t>
      </w:r>
      <w:r w:rsidR="00F60D9D">
        <w:t xml:space="preserve">se the PowerShell HealthVault plugin (Listing 2.4) to </w:t>
      </w:r>
      <w:r w:rsidR="00411462">
        <w:t>verify that</w:t>
      </w:r>
      <w:r w:rsidR="00392FB4">
        <w:t xml:space="preserve"> approximately 150 terminologies</w:t>
      </w:r>
      <w:r w:rsidR="00C23B7C">
        <w:t xml:space="preserve"> are</w:t>
      </w:r>
      <w:r w:rsidR="00392FB4">
        <w:t xml:space="preserve"> hosted by</w:t>
      </w:r>
      <w:r w:rsidR="0091016D">
        <w:t xml:space="preserve"> </w:t>
      </w:r>
      <w:r w:rsidR="00F60D9D">
        <w:t>HealthVault.</w:t>
      </w:r>
    </w:p>
    <w:p w:rsidR="00583EE7" w:rsidRPr="00583EE7" w:rsidRDefault="00F60D9D" w:rsidP="00F60D9D">
      <w:r w:rsidRPr="00F60D9D">
        <w:rPr>
          <w:b/>
        </w:rPr>
        <w:t xml:space="preserve">PS </w:t>
      </w:r>
      <w:proofErr w:type="gramStart"/>
      <w:r w:rsidRPr="00F60D9D">
        <w:rPr>
          <w:b/>
        </w:rPr>
        <w:t>C:</w:t>
      </w:r>
      <w:proofErr w:type="gramEnd"/>
      <w:r w:rsidRPr="00F60D9D">
        <w:rPr>
          <w:b/>
        </w:rPr>
        <w:t>\&gt; (Get-Vocabulary).Count</w:t>
      </w:r>
      <w:r w:rsidRPr="00F60D9D">
        <w:rPr>
          <w:b/>
        </w:rPr>
        <w:br/>
        <w:t>150</w:t>
      </w:r>
      <w:r>
        <w:rPr>
          <w:b/>
        </w:rPr>
        <w:br/>
      </w:r>
      <w:r w:rsidRPr="00F60D9D">
        <w:t xml:space="preserve">Listing 2.4 Using </w:t>
      </w:r>
      <w:proofErr w:type="spellStart"/>
      <w:r w:rsidRPr="00F60D9D">
        <w:t>HvPosh</w:t>
      </w:r>
      <w:proofErr w:type="spellEnd"/>
      <w:r w:rsidRPr="00F60D9D">
        <w:t xml:space="preserve"> to use Get-Vocabulary</w:t>
      </w:r>
      <w:r w:rsidR="00583EE7">
        <w:br/>
        <w:t>&lt;/aside&gt;</w:t>
      </w:r>
    </w:p>
    <w:p w:rsidR="009D0A6E" w:rsidRDefault="00F60D9D" w:rsidP="009A407A">
      <w:r>
        <w:t>The terminologie</w:t>
      </w:r>
      <w:r w:rsidR="009D0A6E">
        <w:t>s can be accessed</w:t>
      </w:r>
      <w:r>
        <w:t xml:space="preserve"> using the GetVocabulary API. Accessing the terminologies does not require user authentication</w:t>
      </w:r>
      <w:r w:rsidR="0091016D">
        <w:t xml:space="preserve">; </w:t>
      </w:r>
      <w:r>
        <w:t xml:space="preserve">these are application only APIs. </w:t>
      </w:r>
      <w:r w:rsidR="009D0A6E">
        <w:t xml:space="preserve"> Some terminologies hosted by HealthVault</w:t>
      </w:r>
      <w:r w:rsidR="008545E5">
        <w:t>, like RxNorm,</w:t>
      </w:r>
      <w:r w:rsidR="009D0A6E">
        <w:t xml:space="preserve"> are huge. RxNorm is a terminology </w:t>
      </w:r>
      <w:r w:rsidR="00CD1D7C">
        <w:t xml:space="preserve">that </w:t>
      </w:r>
      <w:r w:rsidR="009D0A6E">
        <w:t>attempt</w:t>
      </w:r>
      <w:r w:rsidR="00CD1D7C">
        <w:t>s</w:t>
      </w:r>
      <w:r w:rsidR="009D0A6E">
        <w:t xml:space="preserve"> to normalize all medication names</w:t>
      </w:r>
      <w:r w:rsidR="00CD1D7C">
        <w:t xml:space="preserve"> and</w:t>
      </w:r>
      <w:r w:rsidR="009D0A6E">
        <w:t xml:space="preserve"> contains more than 200,000 entries. The SearchVocabulary API </w:t>
      </w:r>
      <w:r w:rsidR="006E0F45">
        <w:t>provides</w:t>
      </w:r>
      <w:r w:rsidR="009D0A6E">
        <w:t xml:space="preserve"> an XML </w:t>
      </w:r>
      <w:r w:rsidR="00CD1D7C">
        <w:t xml:space="preserve">interface </w:t>
      </w:r>
      <w:r w:rsidR="009D0A6E">
        <w:t xml:space="preserve">as well as </w:t>
      </w:r>
      <w:r w:rsidR="00CD1D7C">
        <w:t xml:space="preserve">a </w:t>
      </w:r>
      <w:r w:rsidR="009D0A6E">
        <w:t>JSON interface to search vocabularies. In</w:t>
      </w:r>
      <w:r w:rsidR="00CD1D7C">
        <w:t xml:space="preserve"> </w:t>
      </w:r>
      <w:r w:rsidR="009D0A6E">
        <w:t xml:space="preserve">fact, one can get </w:t>
      </w:r>
      <w:r w:rsidR="00CD1D7C">
        <w:t xml:space="preserve">an </w:t>
      </w:r>
      <w:r w:rsidR="006E0F45">
        <w:t>auto completion</w:t>
      </w:r>
      <w:r w:rsidR="009D0A6E">
        <w:t xml:space="preserve"> text box for entering</w:t>
      </w:r>
      <w:r w:rsidR="00013196">
        <w:t xml:space="preserve"> a</w:t>
      </w:r>
      <w:r w:rsidR="009D0A6E">
        <w:t xml:space="preserve"> medication by using SearchVocabulary on RxNorm</w:t>
      </w:r>
      <w:r w:rsidR="00C40EB9">
        <w:t xml:space="preserve">. </w:t>
      </w:r>
      <w:r w:rsidR="009D0A6E">
        <w:t xml:space="preserve">The HealthVault user interface provides </w:t>
      </w:r>
      <w:r w:rsidR="00814451">
        <w:t>auto completion</w:t>
      </w:r>
      <w:r w:rsidR="009D0A6E">
        <w:t xml:space="preserve"> for medications, condition</w:t>
      </w:r>
      <w:r w:rsidR="00013196">
        <w:t>s,</w:t>
      </w:r>
      <w:r w:rsidR="009D0A6E">
        <w:t xml:space="preserve"> and other health item types using the SearchVocabulary API. </w:t>
      </w:r>
    </w:p>
    <w:p w:rsidR="009A407A" w:rsidRDefault="009A407A" w:rsidP="009A407A">
      <w:pPr>
        <w:pStyle w:val="Heading3"/>
      </w:pPr>
      <w:r>
        <w:t>Application Management</w:t>
      </w:r>
    </w:p>
    <w:p w:rsidR="002758C0" w:rsidRDefault="002758C0" w:rsidP="009A407A">
      <w:r>
        <w:t xml:space="preserve">The </w:t>
      </w:r>
      <w:proofErr w:type="spellStart"/>
      <w:r>
        <w:t>SetApplicationSettings</w:t>
      </w:r>
      <w:proofErr w:type="spellEnd"/>
      <w:r>
        <w:t xml:space="preserve"> and </w:t>
      </w:r>
      <w:proofErr w:type="spellStart"/>
      <w:r>
        <w:t>GetApplicationSettings</w:t>
      </w:r>
      <w:proofErr w:type="spellEnd"/>
      <w:r>
        <w:t xml:space="preserve"> </w:t>
      </w:r>
      <w:r w:rsidR="00986408">
        <w:t xml:space="preserve">functions </w:t>
      </w:r>
      <w:r w:rsidR="009D2B93">
        <w:t>provide</w:t>
      </w:r>
      <w:r>
        <w:t xml:space="preserve"> a way for applications to store and retrieve their </w:t>
      </w:r>
      <w:r w:rsidR="009D2B93">
        <w:t xml:space="preserve">record-specific </w:t>
      </w:r>
      <w:r>
        <w:t>settings in HealthVault. Information like theme</w:t>
      </w:r>
      <w:r w:rsidR="009D2B93">
        <w:t xml:space="preserve"> selection by a particular user or order of authorized records can be stored in application settings.</w:t>
      </w:r>
      <w:r w:rsidR="00814451">
        <w:t xml:space="preserve"> The </w:t>
      </w:r>
      <w:r w:rsidR="004D744E">
        <w:t>multiple record management (</w:t>
      </w:r>
      <w:r w:rsidR="00814451">
        <w:t>MRA</w:t>
      </w:r>
      <w:r w:rsidR="004D744E">
        <w:t>)</w:t>
      </w:r>
      <w:r w:rsidR="00814451">
        <w:t xml:space="preserve"> functionality </w:t>
      </w:r>
      <w:r w:rsidR="004D744E">
        <w:t xml:space="preserve">detailed </w:t>
      </w:r>
      <w:r w:rsidR="00814451">
        <w:t>in Section 2.4.2 can be implemented using these APIs.</w:t>
      </w:r>
    </w:p>
    <w:p w:rsidR="009D2B93" w:rsidRDefault="009D2B93" w:rsidP="009D2B93">
      <w:r>
        <w:t xml:space="preserve">HealthVault </w:t>
      </w:r>
      <w:r w:rsidR="00986408">
        <w:t xml:space="preserve">also </w:t>
      </w:r>
      <w:r>
        <w:t>allows certain kind of applications, Master Applications, to create and manage other application</w:t>
      </w:r>
      <w:r w:rsidR="0091016D">
        <w:t>s</w:t>
      </w:r>
      <w:r>
        <w:t xml:space="preserve">. Master </w:t>
      </w:r>
      <w:r w:rsidR="00986408">
        <w:t>A</w:t>
      </w:r>
      <w:r>
        <w:t>pplication</w:t>
      </w:r>
      <w:r w:rsidR="00986408">
        <w:t>s</w:t>
      </w:r>
      <w:r>
        <w:t xml:space="preserve"> use the </w:t>
      </w:r>
      <w:proofErr w:type="spellStart"/>
      <w:r>
        <w:t>AddApplicaiton</w:t>
      </w:r>
      <w:proofErr w:type="spellEnd"/>
      <w:r>
        <w:t xml:space="preserve"> and </w:t>
      </w:r>
      <w:proofErr w:type="spellStart"/>
      <w:r>
        <w:t>UpdateApplication</w:t>
      </w:r>
      <w:proofErr w:type="spellEnd"/>
      <w:r>
        <w:t xml:space="preserve"> </w:t>
      </w:r>
      <w:r w:rsidR="00986408">
        <w:t xml:space="preserve">functions </w:t>
      </w:r>
      <w:r>
        <w:t xml:space="preserve">to manage the </w:t>
      </w:r>
      <w:r w:rsidR="00465AA4">
        <w:t xml:space="preserve">“child” </w:t>
      </w:r>
      <w:r>
        <w:t>application</w:t>
      </w:r>
      <w:r w:rsidR="00986408">
        <w:t>s</w:t>
      </w:r>
      <w:r>
        <w:t xml:space="preserve"> they create.</w:t>
      </w:r>
    </w:p>
    <w:p w:rsidR="009D2B93" w:rsidRDefault="009D2B93" w:rsidP="009D2B93">
      <w:r>
        <w:lastRenderedPageBreak/>
        <w:t>&lt;</w:t>
      </w:r>
      <w:proofErr w:type="gramStart"/>
      <w:r>
        <w:t>aside</w:t>
      </w:r>
      <w:proofErr w:type="gramEnd"/>
      <w:r>
        <w:t xml:space="preserve">&gt; There are very few </w:t>
      </w:r>
      <w:r w:rsidR="00986408">
        <w:t>M</w:t>
      </w:r>
      <w:r>
        <w:t xml:space="preserve">aster </w:t>
      </w:r>
      <w:r w:rsidR="00986408">
        <w:t>A</w:t>
      </w:r>
      <w:r>
        <w:t xml:space="preserve">pplications in </w:t>
      </w:r>
      <w:r w:rsidR="00986408">
        <w:t xml:space="preserve">the </w:t>
      </w:r>
      <w:r>
        <w:t xml:space="preserve">HealthVault ecosystem. The </w:t>
      </w:r>
      <w:proofErr w:type="spellStart"/>
      <w:r>
        <w:t>GoLive</w:t>
      </w:r>
      <w:proofErr w:type="spellEnd"/>
      <w:r>
        <w:t xml:space="preserve"> or publication bar for these applications is high. Once an application is created</w:t>
      </w:r>
      <w:r w:rsidR="00986408">
        <w:t>,</w:t>
      </w:r>
      <w:r>
        <w:t xml:space="preserve"> it cannot be deleted. &lt;/aside&gt;</w:t>
      </w:r>
    </w:p>
    <w:p w:rsidR="009A407A" w:rsidRDefault="009A407A" w:rsidP="009A407A">
      <w:pPr>
        <w:pStyle w:val="Heading3"/>
      </w:pPr>
      <w:r>
        <w:t>Service Discovery</w:t>
      </w:r>
    </w:p>
    <w:p w:rsidR="00583EE7" w:rsidRDefault="00583EE7" w:rsidP="009A407A">
      <w:r>
        <w:t xml:space="preserve">The </w:t>
      </w:r>
      <w:r w:rsidR="00C36999">
        <w:t xml:space="preserve">GetServiceDefinition </w:t>
      </w:r>
      <w:r w:rsidR="00BE6150">
        <w:t>function</w:t>
      </w:r>
      <w:r w:rsidR="00C36999">
        <w:t xml:space="preserve"> provide</w:t>
      </w:r>
      <w:r w:rsidR="00BE6150">
        <w:t>s access to</w:t>
      </w:r>
      <w:r w:rsidR="00C36999">
        <w:t xml:space="preserve"> all the details of HealthVault applications</w:t>
      </w:r>
      <w:r w:rsidR="00BE6150">
        <w:t>,</w:t>
      </w:r>
      <w:r w:rsidR="00C36999">
        <w:t xml:space="preserve"> including Methods, Schemas</w:t>
      </w:r>
      <w:r w:rsidR="00BE6150">
        <w:t>,</w:t>
      </w:r>
      <w:r w:rsidR="00C36999">
        <w:t xml:space="preserve"> and Configurations for the service. Using GetServiceDefinition</w:t>
      </w:r>
      <w:r w:rsidR="00BE6150">
        <w:t>, an</w:t>
      </w:r>
      <w:r w:rsidR="00C36999">
        <w:t xml:space="preserve"> application can programmatically discover HealthVault service information </w:t>
      </w:r>
      <w:r w:rsidR="004E7EE7">
        <w:t xml:space="preserve">and keep it </w:t>
      </w:r>
      <w:r w:rsidR="00C36999">
        <w:t>up to date.</w:t>
      </w:r>
    </w:p>
    <w:p w:rsidR="00C36999" w:rsidRDefault="00C36999" w:rsidP="00C36999">
      <w:r>
        <w:t>&lt;</w:t>
      </w:r>
      <w:proofErr w:type="gramStart"/>
      <w:r>
        <w:t>aside</w:t>
      </w:r>
      <w:proofErr w:type="gramEnd"/>
      <w:r>
        <w:t>&gt;</w:t>
      </w:r>
      <w:r>
        <w:br/>
      </w:r>
      <w:r w:rsidR="00822F91">
        <w:t xml:space="preserve">You </w:t>
      </w:r>
      <w:r>
        <w:t>can use the PowerShell HealthVault plugin (</w:t>
      </w:r>
      <w:r w:rsidR="008E275F">
        <w:t>Fig 3-4</w:t>
      </w:r>
      <w:r>
        <w:t xml:space="preserve">) to explore </w:t>
      </w:r>
      <w:proofErr w:type="spellStart"/>
      <w:r>
        <w:t>GerServiceDefinition</w:t>
      </w:r>
      <w:proofErr w:type="spellEnd"/>
      <w:r>
        <w:t>.</w:t>
      </w:r>
    </w:p>
    <w:p w:rsidR="00C36999" w:rsidRPr="00C36999" w:rsidRDefault="00C36999" w:rsidP="00C36999">
      <w:pPr>
        <w:rPr>
          <w:b/>
        </w:rPr>
      </w:pPr>
      <w:r>
        <w:rPr>
          <w:noProof/>
        </w:rPr>
        <w:drawing>
          <wp:inline distT="0" distB="0" distL="0" distR="0" wp14:anchorId="4582D06B" wp14:editId="468284EB">
            <wp:extent cx="5943600" cy="1250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1250315"/>
                    </a:xfrm>
                    <a:prstGeom prst="rect">
                      <a:avLst/>
                    </a:prstGeom>
                  </pic:spPr>
                </pic:pic>
              </a:graphicData>
            </a:graphic>
          </wp:inline>
        </w:drawing>
      </w:r>
      <w:r>
        <w:rPr>
          <w:b/>
        </w:rPr>
        <w:br/>
      </w:r>
      <w:r w:rsidR="008E275F">
        <w:t xml:space="preserve">Figure </w:t>
      </w:r>
      <w:proofErr w:type="gramStart"/>
      <w:r w:rsidR="008E275F">
        <w:t>3-4</w:t>
      </w:r>
      <w:r w:rsidRPr="00F60D9D">
        <w:t xml:space="preserve"> Us</w:t>
      </w:r>
      <w:r>
        <w:t>ing GetServiceDefinition</w:t>
      </w:r>
      <w:r w:rsidR="00822F91" w:rsidRPr="00822F91">
        <w:t xml:space="preserve"> </w:t>
      </w:r>
      <w:r w:rsidR="00822F91">
        <w:t xml:space="preserve">in </w:t>
      </w:r>
      <w:proofErr w:type="spellStart"/>
      <w:r w:rsidR="00822F91">
        <w:t>HvPosh</w:t>
      </w:r>
      <w:proofErr w:type="spellEnd"/>
      <w:r>
        <w:br/>
        <w:t>&lt;/aside&gt;</w:t>
      </w:r>
      <w:proofErr w:type="gramEnd"/>
    </w:p>
    <w:p w:rsidR="00C36999" w:rsidRDefault="00C36999" w:rsidP="009A407A"/>
    <w:p w:rsidR="0011178C" w:rsidRDefault="00674258" w:rsidP="00674258">
      <w:pPr>
        <w:pStyle w:val="Heading3"/>
      </w:pPr>
      <w:r>
        <w:t>Open Query</w:t>
      </w:r>
    </w:p>
    <w:p w:rsidR="00AD2581" w:rsidRDefault="00A8555B" w:rsidP="005A5060">
      <w:r>
        <w:t xml:space="preserve">Open Query is an </w:t>
      </w:r>
      <w:r w:rsidR="00AD2581">
        <w:t>in</w:t>
      </w:r>
      <w:r>
        <w:t xml:space="preserve">secure mechanism </w:t>
      </w:r>
      <w:r w:rsidR="00AD2581">
        <w:t xml:space="preserve">for </w:t>
      </w:r>
      <w:r>
        <w:t>run</w:t>
      </w:r>
      <w:r w:rsidR="00AD2581">
        <w:t>ning</w:t>
      </w:r>
      <w:r>
        <w:t xml:space="preserve"> preconfigured queries invoke</w:t>
      </w:r>
      <w:r w:rsidR="00AD2581">
        <w:t>d</w:t>
      </w:r>
      <w:r>
        <w:t xml:space="preserve"> with an identifier on HealthVault data. For example</w:t>
      </w:r>
      <w:r w:rsidR="00AD2581">
        <w:t>, the following query:</w:t>
      </w:r>
    </w:p>
    <w:p w:rsidR="00AD2581" w:rsidRDefault="00A36CBD" w:rsidP="005A5060">
      <w:hyperlink r:id="rId23" w:history="1">
        <w:r w:rsidR="00AD2581" w:rsidRPr="009D1FB4">
          <w:rPr>
            <w:rStyle w:val="Hyperlink"/>
          </w:rPr>
          <w:t>https://platform.healthvault.com/platform/openquery.ashx?id=9C4C77CF-1DF0-4c41-BD3D-EC9232B5BC8A</w:t>
        </w:r>
      </w:hyperlink>
    </w:p>
    <w:p w:rsidR="00A8555B" w:rsidRDefault="00A8555B" w:rsidP="005A5060">
      <w:r w:rsidRPr="00A8555B">
        <w:t>invoke</w:t>
      </w:r>
      <w:r w:rsidR="00AD2581">
        <w:t>s</w:t>
      </w:r>
      <w:r w:rsidRPr="00A8555B">
        <w:t xml:space="preserve"> a saved request that corresponds to the specified identifier.</w:t>
      </w:r>
      <w:r>
        <w:t xml:space="preserve"> Only queries associated with GetThings can be saved with </w:t>
      </w:r>
      <w:proofErr w:type="spellStart"/>
      <w:r>
        <w:t>SaveOpenQuery</w:t>
      </w:r>
      <w:proofErr w:type="spellEnd"/>
      <w:r>
        <w:t>. The invocation of the open query doesn’t require authentication and authorization and</w:t>
      </w:r>
      <w:r w:rsidR="00AD2581">
        <w:t xml:space="preserve"> the</w:t>
      </w:r>
      <w:r>
        <w:t xml:space="preserve"> HealthVault team discourages</w:t>
      </w:r>
      <w:r w:rsidR="00AD2581">
        <w:t xml:space="preserve"> its</w:t>
      </w:r>
      <w:r>
        <w:t xml:space="preserve"> use</w:t>
      </w:r>
      <w:r w:rsidR="00F37581">
        <w:t xml:space="preserve"> and it might be removed in future updates.</w:t>
      </w:r>
    </w:p>
    <w:p w:rsidR="004B2668" w:rsidRDefault="00173B72" w:rsidP="004B2668">
      <w:pPr>
        <w:pStyle w:val="Heading2"/>
      </w:pPr>
      <w:r>
        <w:t xml:space="preserve">Read and Write API - </w:t>
      </w:r>
      <w:r w:rsidR="004B2668">
        <w:t>Diving Deep</w:t>
      </w:r>
    </w:p>
    <w:p w:rsidR="004B2668" w:rsidRPr="004B2668" w:rsidRDefault="00176721" w:rsidP="004B2668">
      <w:r>
        <w:t xml:space="preserve">The most important HealthVault </w:t>
      </w:r>
      <w:r w:rsidR="00073625">
        <w:t xml:space="preserve">functions </w:t>
      </w:r>
      <w:r>
        <w:t xml:space="preserve">an application should become familiar with </w:t>
      </w:r>
      <w:r w:rsidR="00073625">
        <w:t xml:space="preserve">are </w:t>
      </w:r>
      <w:r>
        <w:t xml:space="preserve">GetThings and PutThings. In the following sections we will dive deeper in to each of these </w:t>
      </w:r>
      <w:r w:rsidR="00073625">
        <w:t>functions</w:t>
      </w:r>
      <w:r>
        <w:t>, discuss</w:t>
      </w:r>
      <w:r w:rsidR="00073625">
        <w:t xml:space="preserve"> </w:t>
      </w:r>
      <w:r w:rsidR="006E0F45">
        <w:t>how their</w:t>
      </w:r>
      <w:r w:rsidR="00125979">
        <w:t xml:space="preserve"> treatment i</w:t>
      </w:r>
      <w:r w:rsidR="00544E10">
        <w:t xml:space="preserve">n </w:t>
      </w:r>
      <w:r w:rsidR="00073625">
        <w:t xml:space="preserve">the </w:t>
      </w:r>
      <w:r w:rsidR="00544E10">
        <w:t>HealthVault .NET SDK</w:t>
      </w:r>
      <w:r w:rsidR="00073625">
        <w:t>,</w:t>
      </w:r>
      <w:r w:rsidR="00544E10">
        <w:t xml:space="preserve"> and see </w:t>
      </w:r>
      <w:r>
        <w:t>some examples.</w:t>
      </w:r>
      <w:r w:rsidR="002B5159">
        <w:t xml:space="preserve"> The code in this chapter can be a starting point for the more complex applications introduced in the rest of the book.</w:t>
      </w:r>
    </w:p>
    <w:p w:rsidR="00F859E9" w:rsidRPr="00176721" w:rsidRDefault="00F859E9" w:rsidP="00176721">
      <w:pPr>
        <w:pStyle w:val="Heading3"/>
      </w:pPr>
      <w:r w:rsidRPr="00176721">
        <w:t>GetThings</w:t>
      </w:r>
    </w:p>
    <w:p w:rsidR="00EB7A8D" w:rsidRDefault="00EB7A8D" w:rsidP="00176721">
      <w:r>
        <w:t xml:space="preserve">The best way to understand GetThings API is to look at the XML </w:t>
      </w:r>
      <w:r w:rsidR="00BF3DBB">
        <w:t xml:space="preserve">that </w:t>
      </w:r>
      <w:r>
        <w:t xml:space="preserve">an application would send to HealthVault platform </w:t>
      </w:r>
      <w:r w:rsidR="00BF3DBB">
        <w:t>to</w:t>
      </w:r>
      <w:r>
        <w:t xml:space="preserve"> request a set of things.</w:t>
      </w:r>
    </w:p>
    <w:p w:rsidR="006E1AB5" w:rsidRDefault="006E1AB5" w:rsidP="006E1AB5">
      <w:pPr>
        <w:jc w:val="center"/>
      </w:pPr>
      <w:r>
        <w:rPr>
          <w:noProof/>
        </w:rPr>
        <w:lastRenderedPageBreak/>
        <w:drawing>
          <wp:inline distT="0" distB="0" distL="0" distR="0" wp14:anchorId="1832025E" wp14:editId="51917F34">
            <wp:extent cx="5320689" cy="29626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321242" cy="2962964"/>
                    </a:xfrm>
                    <a:prstGeom prst="rect">
                      <a:avLst/>
                    </a:prstGeom>
                  </pic:spPr>
                </pic:pic>
              </a:graphicData>
            </a:graphic>
          </wp:inline>
        </w:drawing>
      </w:r>
    </w:p>
    <w:p w:rsidR="00A03D12" w:rsidRDefault="008E275F" w:rsidP="006E1AB5">
      <w:pPr>
        <w:jc w:val="center"/>
      </w:pPr>
      <w:r>
        <w:t>Listing 3-1</w:t>
      </w:r>
      <w:r w:rsidR="008D4F94">
        <w:t xml:space="preserve"> GetThings XML request</w:t>
      </w:r>
    </w:p>
    <w:p w:rsidR="00B30717" w:rsidRDefault="00B30717" w:rsidP="00A03D12">
      <w:r>
        <w:t xml:space="preserve">Each GetThings request can have multiple queries called </w:t>
      </w:r>
      <w:r w:rsidR="007C6EE3">
        <w:t xml:space="preserve">a </w:t>
      </w:r>
      <w:r w:rsidRPr="00204967">
        <w:rPr>
          <w:b/>
        </w:rPr>
        <w:t>group</w:t>
      </w:r>
      <w:r>
        <w:t xml:space="preserve"> (Line 23)</w:t>
      </w:r>
      <w:r w:rsidR="00204967">
        <w:t xml:space="preserve">. Each group is identified by its </w:t>
      </w:r>
      <w:r w:rsidR="00204967" w:rsidRPr="00204967">
        <w:rPr>
          <w:b/>
        </w:rPr>
        <w:t>name</w:t>
      </w:r>
      <w:r w:rsidR="00204967">
        <w:t xml:space="preserve">. The response </w:t>
      </w:r>
      <w:r w:rsidR="00AF6E2E">
        <w:t>from</w:t>
      </w:r>
      <w:r w:rsidR="00204967">
        <w:t xml:space="preserve"> HealthVault </w:t>
      </w:r>
      <w:r w:rsidR="004D744E">
        <w:t xml:space="preserve">combines </w:t>
      </w:r>
      <w:r w:rsidR="00204967">
        <w:t xml:space="preserve">the items </w:t>
      </w:r>
      <w:r w:rsidR="00AF6E2E">
        <w:t xml:space="preserve">returned </w:t>
      </w:r>
      <w:r w:rsidR="00204967">
        <w:t xml:space="preserve">by the </w:t>
      </w:r>
      <w:r w:rsidR="00AF6E2E">
        <w:t>group</w:t>
      </w:r>
      <w:r w:rsidR="004D744E">
        <w:t>; group</w:t>
      </w:r>
      <w:r w:rsidR="00204967">
        <w:t xml:space="preserve">-name </w:t>
      </w:r>
      <w:r w:rsidR="00AF6E2E">
        <w:t>is</w:t>
      </w:r>
      <w:r w:rsidR="00204967">
        <w:t xml:space="preserve"> used to </w:t>
      </w:r>
      <w:r w:rsidR="00C40EB9">
        <w:t xml:space="preserve">index </w:t>
      </w:r>
      <w:r w:rsidR="00204967">
        <w:t xml:space="preserve">items returned </w:t>
      </w:r>
      <w:r w:rsidR="00C40EB9">
        <w:t xml:space="preserve">for </w:t>
      </w:r>
      <w:r w:rsidR="00AF6E2E">
        <w:t xml:space="preserve">a </w:t>
      </w:r>
      <w:r w:rsidR="00204967">
        <w:t>particular query</w:t>
      </w:r>
      <w:r w:rsidR="00AF6E2E">
        <w:t xml:space="preserve"> group</w:t>
      </w:r>
      <w:r w:rsidR="00204967">
        <w:t xml:space="preserve">. The group element </w:t>
      </w:r>
      <w:r w:rsidR="00BA4965">
        <w:t xml:space="preserve">can take one or more </w:t>
      </w:r>
      <w:r w:rsidR="00204967">
        <w:t>attribute</w:t>
      </w:r>
      <w:r w:rsidR="00AF6E2E">
        <w:t>s</w:t>
      </w:r>
      <w:r w:rsidR="00BA4965">
        <w:t xml:space="preserve"> to </w:t>
      </w:r>
      <w:r w:rsidR="003653C0">
        <w:t>control the</w:t>
      </w:r>
      <w:r w:rsidR="00BA4965">
        <w:t xml:space="preserve"> results</w:t>
      </w:r>
      <w:r w:rsidR="003B4E92">
        <w:t>.</w:t>
      </w:r>
      <w:r w:rsidR="00204967">
        <w:t xml:space="preserve"> </w:t>
      </w:r>
      <w:r w:rsidR="003B4E92">
        <w:t xml:space="preserve">The </w:t>
      </w:r>
      <w:r w:rsidR="00BA4965">
        <w:t xml:space="preserve">attribute </w:t>
      </w:r>
      <w:r w:rsidR="00204967">
        <w:t>use</w:t>
      </w:r>
      <w:r w:rsidR="00AF6E2E">
        <w:t>d</w:t>
      </w:r>
      <w:r w:rsidR="00204967">
        <w:t xml:space="preserve"> </w:t>
      </w:r>
      <w:r w:rsidR="003B4E92">
        <w:t>in the previous example</w:t>
      </w:r>
      <w:r w:rsidR="00204967">
        <w:t xml:space="preserve"> is </w:t>
      </w:r>
      <w:r w:rsidR="00AF6E2E" w:rsidRPr="00204967">
        <w:rPr>
          <w:b/>
        </w:rPr>
        <w:t>max</w:t>
      </w:r>
      <w:r w:rsidR="00467398">
        <w:rPr>
          <w:b/>
        </w:rPr>
        <w:t>,</w:t>
      </w:r>
      <w:r w:rsidR="00204967">
        <w:rPr>
          <w:b/>
        </w:rPr>
        <w:t xml:space="preserve"> </w:t>
      </w:r>
      <w:r w:rsidR="00467398">
        <w:t>which</w:t>
      </w:r>
      <w:r w:rsidR="00204967">
        <w:t xml:space="preserve"> tells the HealthVault platform to return the </w:t>
      </w:r>
      <w:r w:rsidR="00AF6E2E">
        <w:t>top 10</w:t>
      </w:r>
      <w:r w:rsidR="00204967">
        <w:t xml:space="preserve"> items for this query.</w:t>
      </w:r>
    </w:p>
    <w:p w:rsidR="0006004A" w:rsidRDefault="00AF6E2E" w:rsidP="00E82837">
      <w:r>
        <w:t>Each query group</w:t>
      </w:r>
      <w:r w:rsidR="003653C0">
        <w:t xml:space="preserve"> can contain &lt;filter&gt; </w:t>
      </w:r>
      <w:r w:rsidR="005E4862">
        <w:t>sub elements</w:t>
      </w:r>
      <w:r>
        <w:t xml:space="preserve"> to return</w:t>
      </w:r>
      <w:r w:rsidR="003653C0">
        <w:t xml:space="preserve"> particular</w:t>
      </w:r>
      <w:r>
        <w:t xml:space="preserve"> items with specific </w:t>
      </w:r>
      <w:r w:rsidR="00EA2113">
        <w:t>identification</w:t>
      </w:r>
      <w:r>
        <w:t xml:space="preserve">. </w:t>
      </w:r>
      <w:r w:rsidR="008E275F">
        <w:t>Listing 3-1</w:t>
      </w:r>
      <w:r>
        <w:t xml:space="preserve"> request</w:t>
      </w:r>
      <w:r w:rsidR="003653C0">
        <w:t>s</w:t>
      </w:r>
      <w:r>
        <w:t xml:space="preserve"> items with a specific type-id (Line 24). The </w:t>
      </w:r>
      <w:r w:rsidRPr="00A96AF8">
        <w:rPr>
          <w:b/>
        </w:rPr>
        <w:t>d84..52</w:t>
      </w:r>
      <w:r>
        <w:t xml:space="preserve"> identifier is ass</w:t>
      </w:r>
      <w:r w:rsidR="00A96AF8">
        <w:t xml:space="preserve">ociated with </w:t>
      </w:r>
      <w:r w:rsidR="00245236">
        <w:t xml:space="preserve">a particular instance of </w:t>
      </w:r>
      <w:r w:rsidR="007D3E7C">
        <w:t xml:space="preserve">the </w:t>
      </w:r>
      <w:r w:rsidR="00A96AF8">
        <w:t xml:space="preserve">Weight type. Multiple </w:t>
      </w:r>
      <w:r w:rsidR="007D3E7C">
        <w:t xml:space="preserve">IDs </w:t>
      </w:r>
      <w:r w:rsidR="00A96AF8">
        <w:t>can be s</w:t>
      </w:r>
      <w:r w:rsidR="0006004A">
        <w:t>pecified in each request. Other elements</w:t>
      </w:r>
      <w:r w:rsidR="00E82837">
        <w:t>,</w:t>
      </w:r>
      <w:r w:rsidR="0006004A">
        <w:t xml:space="preserve"> </w:t>
      </w:r>
      <w:r w:rsidR="007D3E7C">
        <w:t xml:space="preserve">such as </w:t>
      </w:r>
      <w:r w:rsidR="0006004A">
        <w:t>client identifiers and thing keys</w:t>
      </w:r>
      <w:r w:rsidR="00E82837">
        <w:t>,</w:t>
      </w:r>
      <w:r w:rsidR="0006004A">
        <w:t xml:space="preserve"> can also be used instead of </w:t>
      </w:r>
      <w:r w:rsidR="00EB21CA">
        <w:t>an ID</w:t>
      </w:r>
      <w:r w:rsidR="0006004A">
        <w:t>.</w:t>
      </w:r>
      <w:r w:rsidR="00E82837">
        <w:t xml:space="preserve"> The</w:t>
      </w:r>
      <w:r w:rsidR="006E1AB5">
        <w:t xml:space="preserve"> </w:t>
      </w:r>
      <w:r w:rsidR="006E1AB5" w:rsidRPr="00FD2CB1">
        <w:rPr>
          <w:b/>
        </w:rPr>
        <w:t>filter</w:t>
      </w:r>
      <w:r w:rsidR="00E10B7F">
        <w:t xml:space="preserve"> </w:t>
      </w:r>
      <w:r w:rsidR="00E82837">
        <w:t>also restricts results</w:t>
      </w:r>
      <w:r w:rsidR="00465AA4">
        <w:t xml:space="preserve"> </w:t>
      </w:r>
      <w:r w:rsidR="00E82837">
        <w:t xml:space="preserve">to those that </w:t>
      </w:r>
      <w:r w:rsidR="00AB06F3">
        <w:t xml:space="preserve">have </w:t>
      </w:r>
      <w:r w:rsidR="00E82837">
        <w:t xml:space="preserve">an active </w:t>
      </w:r>
      <w:r w:rsidR="00AB06F3">
        <w:t>thing-state (Line 27</w:t>
      </w:r>
      <w:r w:rsidR="00465AA4">
        <w:t xml:space="preserve">) </w:t>
      </w:r>
      <w:r w:rsidR="004D744E">
        <w:t>and were</w:t>
      </w:r>
      <w:r w:rsidR="00E82837">
        <w:t xml:space="preserve"> </w:t>
      </w:r>
      <w:r w:rsidR="00AB06F3">
        <w:t>create</w:t>
      </w:r>
      <w:r w:rsidR="00465AA4">
        <w:t>d</w:t>
      </w:r>
      <w:r w:rsidR="00AB06F3">
        <w:t xml:space="preserve"> using the Withings Application (Line 28). Items can also be filtered by using XPath</w:t>
      </w:r>
      <w:r w:rsidR="00465AA4">
        <w:t xml:space="preserve">; </w:t>
      </w:r>
      <w:r w:rsidR="00AB06F3">
        <w:t xml:space="preserve">on Line 29 we are looking </w:t>
      </w:r>
      <w:r w:rsidR="00E82837">
        <w:t xml:space="preserve">for </w:t>
      </w:r>
      <w:r w:rsidR="00AB06F3">
        <w:t>Weight item</w:t>
      </w:r>
      <w:r w:rsidR="005E4862">
        <w:t xml:space="preserve">, </w:t>
      </w:r>
      <w:r w:rsidR="00E82837">
        <w:t xml:space="preserve">whose values </w:t>
      </w:r>
      <w:r w:rsidR="00AB06F3">
        <w:t xml:space="preserve">are </w:t>
      </w:r>
      <w:r w:rsidR="00E82837">
        <w:t xml:space="preserve">greater </w:t>
      </w:r>
      <w:r w:rsidR="00AB06F3">
        <w:t xml:space="preserve">than 60kg, maybe </w:t>
      </w:r>
      <w:r w:rsidR="00E82837">
        <w:t xml:space="preserve">because </w:t>
      </w:r>
      <w:r w:rsidR="00AB06F3">
        <w:t>we know that the scale was misconfigured during this time.</w:t>
      </w:r>
      <w:r w:rsidR="00E028D3" w:rsidRPr="00E028D3">
        <w:t xml:space="preserve"> </w:t>
      </w:r>
      <w:r w:rsidR="00E028D3">
        <w:t xml:space="preserve">To sum up, </w:t>
      </w:r>
      <w:r w:rsidR="00C40EB9">
        <w:t>t</w:t>
      </w:r>
      <w:r w:rsidR="00E028D3">
        <w:t>he query in Fig 2.11 returns the core xml sections of the top ten weight elements that were created by the Withings application and have value</w:t>
      </w:r>
      <w:r w:rsidR="00A95494">
        <w:t>s greater</w:t>
      </w:r>
      <w:r w:rsidR="00E028D3">
        <w:t xml:space="preserve"> than 60kg.</w:t>
      </w:r>
    </w:p>
    <w:p w:rsidR="006426A1" w:rsidRDefault="00824E19" w:rsidP="00A03D12">
      <w:r>
        <w:t xml:space="preserve">The </w:t>
      </w:r>
      <w:r w:rsidR="007F2592">
        <w:t xml:space="preserve">format and quantity of information returned by </w:t>
      </w:r>
      <w:r w:rsidR="00284327">
        <w:t xml:space="preserve">the </w:t>
      </w:r>
      <w:r w:rsidR="007F2592">
        <w:t xml:space="preserve">GetThings query can be controlled by </w:t>
      </w:r>
      <w:r w:rsidR="007F2592" w:rsidRPr="007F2592">
        <w:rPr>
          <w:b/>
        </w:rPr>
        <w:t>format</w:t>
      </w:r>
      <w:r w:rsidR="007F2592">
        <w:rPr>
          <w:b/>
        </w:rPr>
        <w:t xml:space="preserve"> </w:t>
      </w:r>
      <w:r w:rsidR="007F2592">
        <w:t xml:space="preserve">specifiers. Using the </w:t>
      </w:r>
      <w:r w:rsidR="007F2592" w:rsidRPr="007F2592">
        <w:rPr>
          <w:b/>
        </w:rPr>
        <w:t>section</w:t>
      </w:r>
      <w:r w:rsidR="007F2592">
        <w:t xml:space="preserve"> tag</w:t>
      </w:r>
      <w:r w:rsidR="00284327">
        <w:t>,</w:t>
      </w:r>
      <w:r w:rsidR="007F2592">
        <w:t xml:space="preserve"> we can specify </w:t>
      </w:r>
      <w:r w:rsidR="00465AA4">
        <w:t xml:space="preserve">that </w:t>
      </w:r>
      <w:r w:rsidR="007F2592">
        <w:t xml:space="preserve">we just want the </w:t>
      </w:r>
      <w:r w:rsidR="007F2592" w:rsidRPr="007F2592">
        <w:rPr>
          <w:b/>
        </w:rPr>
        <w:t>core</w:t>
      </w:r>
      <w:r w:rsidR="007F2592">
        <w:rPr>
          <w:b/>
        </w:rPr>
        <w:t xml:space="preserve"> </w:t>
      </w:r>
      <w:r w:rsidR="007F2592">
        <w:t>elements of the request</w:t>
      </w:r>
      <w:r w:rsidR="003C1E8F">
        <w:t>ed</w:t>
      </w:r>
      <w:r w:rsidR="007F2592">
        <w:t xml:space="preserve"> thing-types (Line 32). Other section </w:t>
      </w:r>
      <w:r w:rsidR="00284327">
        <w:t xml:space="preserve">tags </w:t>
      </w:r>
      <w:r w:rsidR="007F2592">
        <w:t xml:space="preserve">could </w:t>
      </w:r>
      <w:r w:rsidR="00284327">
        <w:t>specify</w:t>
      </w:r>
      <w:r w:rsidR="007F2592">
        <w:t xml:space="preserve"> digital signatures, audit information</w:t>
      </w:r>
      <w:r w:rsidR="00284327">
        <w:t>,</w:t>
      </w:r>
      <w:r w:rsidR="007F2592">
        <w:t xml:space="preserve"> or </w:t>
      </w:r>
      <w:r w:rsidR="007F2592" w:rsidRPr="004D744E">
        <w:rPr>
          <w:i/>
        </w:rPr>
        <w:t>effective</w:t>
      </w:r>
      <w:r w:rsidR="007F2592">
        <w:t xml:space="preserve"> permissions</w:t>
      </w:r>
      <w:r w:rsidR="003C1E8F">
        <w:t xml:space="preserve"> for the request</w:t>
      </w:r>
      <w:r w:rsidR="007F2592">
        <w:t xml:space="preserve">. Using the </w:t>
      </w:r>
      <w:r w:rsidR="007F2592" w:rsidRPr="007F2592">
        <w:rPr>
          <w:b/>
        </w:rPr>
        <w:t>xml</w:t>
      </w:r>
      <w:r w:rsidR="007F2592">
        <w:rPr>
          <w:b/>
        </w:rPr>
        <w:t xml:space="preserve"> </w:t>
      </w:r>
      <w:r w:rsidR="008115DE">
        <w:rPr>
          <w:b/>
        </w:rPr>
        <w:t xml:space="preserve">tag </w:t>
      </w:r>
      <w:r w:rsidR="007F2592">
        <w:t xml:space="preserve">(Line 33) one can </w:t>
      </w:r>
      <w:r w:rsidR="008115DE">
        <w:t xml:space="preserve">run </w:t>
      </w:r>
      <w:r w:rsidR="007F2592">
        <w:t xml:space="preserve">an </w:t>
      </w:r>
      <w:r w:rsidR="008115DE">
        <w:t xml:space="preserve">XSL </w:t>
      </w:r>
      <w:r w:rsidR="007F2592">
        <w:t>transform on the thing-types or choose from existing transforms available for the type</w:t>
      </w:r>
      <w:r w:rsidR="00465AA4">
        <w:t xml:space="preserve">. </w:t>
      </w:r>
      <w:r w:rsidR="00BA1BF5">
        <w:t>Our xml tag is empty, so no transform is run in the sample query.</w:t>
      </w:r>
      <w:r w:rsidR="00465AA4">
        <w:t xml:space="preserve"> We </w:t>
      </w:r>
      <w:r w:rsidR="007F2592">
        <w:t>will discuss MTT, STT</w:t>
      </w:r>
      <w:r w:rsidR="008115DE">
        <w:t>,</w:t>
      </w:r>
      <w:r w:rsidR="007F2592">
        <w:t xml:space="preserve"> and other transforms in Chapter </w:t>
      </w:r>
      <w:r w:rsidR="00B760F4">
        <w:t>4</w:t>
      </w:r>
      <w:r w:rsidR="007F2592">
        <w:t xml:space="preserve">. </w:t>
      </w:r>
    </w:p>
    <w:p w:rsidR="004B7CF2" w:rsidRPr="007F2592" w:rsidRDefault="007C5A5B" w:rsidP="00A03D12">
      <w:r>
        <w:t>A</w:t>
      </w:r>
      <w:r w:rsidR="008E68F2">
        <w:t>n a</w:t>
      </w:r>
      <w:r>
        <w:t>pplication can request only the current-versions of HealthVault thing types (Line 35), although the platform does store older versions of the data.</w:t>
      </w:r>
    </w:p>
    <w:p w:rsidR="00A03D12" w:rsidRDefault="007C5A5B" w:rsidP="00A03D12">
      <w:r>
        <w:lastRenderedPageBreak/>
        <w:t xml:space="preserve">To complete the discussion on the format of </w:t>
      </w:r>
      <w:r w:rsidR="00652839">
        <w:t xml:space="preserve">the </w:t>
      </w:r>
      <w:r>
        <w:t>GetThings request, note that</w:t>
      </w:r>
      <w:r w:rsidR="00652839">
        <w:t xml:space="preserve"> I have collapsed the</w:t>
      </w:r>
      <w:r>
        <w:t xml:space="preserve"> auth (Line2) and header (Line 5) </w:t>
      </w:r>
      <w:r w:rsidR="00652839">
        <w:t>tags</w:t>
      </w:r>
      <w:r>
        <w:t>. The</w:t>
      </w:r>
      <w:r w:rsidR="00652839">
        <w:t>se</w:t>
      </w:r>
      <w:r>
        <w:t xml:space="preserve"> elements specify the authorization information for the method and various other header elements</w:t>
      </w:r>
      <w:r w:rsidR="00652839">
        <w:t>,</w:t>
      </w:r>
      <w:r>
        <w:t xml:space="preserve"> like method name, </w:t>
      </w:r>
      <w:r w:rsidR="003C1E8F">
        <w:t>final-</w:t>
      </w:r>
      <w:proofErr w:type="spellStart"/>
      <w:r w:rsidR="003C1E8F">
        <w:t>xsl</w:t>
      </w:r>
      <w:proofErr w:type="spellEnd"/>
      <w:r w:rsidR="003C1E8F">
        <w:t xml:space="preserve">, </w:t>
      </w:r>
      <w:r>
        <w:t xml:space="preserve">version, user, </w:t>
      </w:r>
      <w:r w:rsidR="00652839">
        <w:t xml:space="preserve">and </w:t>
      </w:r>
      <w:r>
        <w:t>application tokens.</w:t>
      </w:r>
    </w:p>
    <w:p w:rsidR="00F36429" w:rsidRDefault="00F36429" w:rsidP="00F36429">
      <w:r>
        <w:t xml:space="preserve">Table </w:t>
      </w:r>
      <w:r w:rsidR="008E275F">
        <w:t>3-4</w:t>
      </w:r>
      <w:r>
        <w:t xml:space="preserve"> summarizes the querying ability of GetThings method. To learn more</w:t>
      </w:r>
      <w:r w:rsidR="00283801">
        <w:t>,</w:t>
      </w:r>
      <w:r>
        <w:t xml:space="preserve"> please refer to the methods schema </w:t>
      </w:r>
      <w:r w:rsidR="003850F8">
        <w:t xml:space="preserve">documentation at </w:t>
      </w:r>
      <w:hyperlink r:id="rId25" w:history="1">
        <w:r w:rsidR="003850F8">
          <w:rPr>
            <w:rStyle w:val="Hyperlink"/>
          </w:rPr>
          <w:t>http://developer.healthvault.com/pages/methods/methods.aspx</w:t>
        </w:r>
      </w:hyperlink>
      <w:r w:rsidR="003850F8">
        <w:t xml:space="preserve">  </w:t>
      </w:r>
      <w:r>
        <w:t xml:space="preserve">and associated HealthVault SDK reference </w:t>
      </w:r>
      <w:r w:rsidR="003850F8">
        <w:t xml:space="preserve">at </w:t>
      </w:r>
      <w:hyperlink r:id="rId26" w:history="1">
        <w:r w:rsidR="003850F8">
          <w:rPr>
            <w:rStyle w:val="Hyperlink"/>
          </w:rPr>
          <w:t>http://msdn.microsoft.com/en-us/library/hh672196.aspx</w:t>
        </w:r>
      </w:hyperlink>
      <w:r w:rsidR="003850F8" w:rsidDel="003850F8">
        <w:t xml:space="preserve"> </w:t>
      </w:r>
      <w:r>
        <w:t>.</w:t>
      </w:r>
    </w:p>
    <w:tbl>
      <w:tblPr>
        <w:tblStyle w:val="TableGrid"/>
        <w:tblW w:w="9828" w:type="dxa"/>
        <w:tblLayout w:type="fixed"/>
        <w:tblLook w:val="04A0" w:firstRow="1" w:lastRow="0" w:firstColumn="1" w:lastColumn="0" w:noHBand="0" w:noVBand="1"/>
      </w:tblPr>
      <w:tblGrid>
        <w:gridCol w:w="1818"/>
        <w:gridCol w:w="2070"/>
        <w:gridCol w:w="2700"/>
        <w:gridCol w:w="3240"/>
      </w:tblGrid>
      <w:tr w:rsidR="00F36429" w:rsidRPr="007E61FA" w:rsidTr="00881AB1">
        <w:trPr>
          <w:trHeight w:val="104"/>
        </w:trPr>
        <w:tc>
          <w:tcPr>
            <w:tcW w:w="1818" w:type="dxa"/>
            <w:vMerge w:val="restart"/>
          </w:tcPr>
          <w:p w:rsidR="00F36429" w:rsidRPr="007E61FA" w:rsidRDefault="00F36429" w:rsidP="00881AB1">
            <w:pPr>
              <w:rPr>
                <w:b/>
                <w:sz w:val="20"/>
              </w:rPr>
            </w:pPr>
            <w:r w:rsidRPr="007E61FA">
              <w:rPr>
                <w:b/>
                <w:sz w:val="20"/>
              </w:rPr>
              <w:t>Search Criteria</w:t>
            </w:r>
          </w:p>
        </w:tc>
        <w:tc>
          <w:tcPr>
            <w:tcW w:w="8010" w:type="dxa"/>
            <w:gridSpan w:val="3"/>
          </w:tcPr>
          <w:p w:rsidR="00F36429" w:rsidRPr="007E61FA" w:rsidRDefault="00F36429" w:rsidP="00881AB1">
            <w:pPr>
              <w:rPr>
                <w:b/>
                <w:sz w:val="20"/>
              </w:rPr>
            </w:pPr>
          </w:p>
        </w:tc>
      </w:tr>
      <w:tr w:rsidR="00F36429" w:rsidRPr="007E61FA" w:rsidTr="00881AB1">
        <w:trPr>
          <w:trHeight w:val="103"/>
        </w:trPr>
        <w:tc>
          <w:tcPr>
            <w:tcW w:w="1818" w:type="dxa"/>
            <w:vMerge/>
          </w:tcPr>
          <w:p w:rsidR="00F36429" w:rsidRPr="007E61FA" w:rsidRDefault="00F36429" w:rsidP="00881AB1">
            <w:pPr>
              <w:rPr>
                <w:b/>
                <w:sz w:val="20"/>
              </w:rPr>
            </w:pPr>
          </w:p>
        </w:tc>
        <w:tc>
          <w:tcPr>
            <w:tcW w:w="8010" w:type="dxa"/>
            <w:gridSpan w:val="3"/>
          </w:tcPr>
          <w:p w:rsidR="00F36429" w:rsidRPr="007E61FA" w:rsidRDefault="00F36429" w:rsidP="00881AB1">
            <w:pPr>
              <w:rPr>
                <w:b/>
                <w:sz w:val="20"/>
              </w:rPr>
            </w:pPr>
            <w:r w:rsidRPr="007E61FA">
              <w:rPr>
                <w:b/>
                <w:sz w:val="20"/>
              </w:rPr>
              <w:t>.NET SDK Name                  XML Element Name                                Description</w:t>
            </w:r>
          </w:p>
        </w:tc>
      </w:tr>
      <w:tr w:rsidR="005B4BD6" w:rsidRPr="007E61FA" w:rsidTr="005B4BD6">
        <w:trPr>
          <w:trHeight w:val="350"/>
        </w:trPr>
        <w:tc>
          <w:tcPr>
            <w:tcW w:w="1818" w:type="dxa"/>
            <w:vMerge w:val="restart"/>
          </w:tcPr>
          <w:p w:rsidR="005B4BD6" w:rsidRPr="007E61FA" w:rsidRDefault="005B4BD6" w:rsidP="00881AB1">
            <w:pPr>
              <w:rPr>
                <w:b/>
                <w:sz w:val="20"/>
              </w:rPr>
            </w:pPr>
            <w:r w:rsidRPr="007E61FA">
              <w:rPr>
                <w:b/>
                <w:sz w:val="20"/>
              </w:rPr>
              <w:t>Group Attribute</w:t>
            </w:r>
          </w:p>
        </w:tc>
        <w:tc>
          <w:tcPr>
            <w:tcW w:w="2070" w:type="dxa"/>
          </w:tcPr>
          <w:p w:rsidR="005B4BD6" w:rsidRPr="007E61FA" w:rsidRDefault="005B4BD6" w:rsidP="00881AB1">
            <w:pPr>
              <w:rPr>
                <w:sz w:val="20"/>
              </w:rPr>
            </w:pPr>
            <w:r w:rsidRPr="007E61FA">
              <w:rPr>
                <w:sz w:val="20"/>
              </w:rPr>
              <w:t>Name</w:t>
            </w:r>
          </w:p>
        </w:tc>
        <w:tc>
          <w:tcPr>
            <w:tcW w:w="2700" w:type="dxa"/>
          </w:tcPr>
          <w:p w:rsidR="005B4BD6" w:rsidRPr="007E61FA" w:rsidRDefault="005B4BD6" w:rsidP="00881AB1">
            <w:pPr>
              <w:rPr>
                <w:rFonts w:ascii="Courier New" w:hAnsi="Courier New" w:cs="Courier New"/>
                <w:color w:val="1A1AA6"/>
                <w:sz w:val="20"/>
                <w:szCs w:val="20"/>
              </w:rPr>
            </w:pPr>
            <w:r w:rsidRPr="007E61FA">
              <w:rPr>
                <w:rStyle w:val="apple-style-span"/>
                <w:rFonts w:ascii="Courier New" w:hAnsi="Courier New" w:cs="Courier New"/>
                <w:color w:val="1A1AA6"/>
                <w:sz w:val="20"/>
                <w:szCs w:val="20"/>
              </w:rPr>
              <w:t>name</w:t>
            </w:r>
          </w:p>
        </w:tc>
        <w:tc>
          <w:tcPr>
            <w:tcW w:w="3240" w:type="dxa"/>
          </w:tcPr>
          <w:p w:rsidR="005B4BD6" w:rsidRPr="007E61FA" w:rsidRDefault="004D744E" w:rsidP="00881AB1">
            <w:pPr>
              <w:rPr>
                <w:sz w:val="20"/>
              </w:rPr>
            </w:pPr>
            <w:r>
              <w:rPr>
                <w:sz w:val="20"/>
              </w:rPr>
              <w:t>i</w:t>
            </w:r>
            <w:r w:rsidRPr="007E61FA">
              <w:rPr>
                <w:sz w:val="20"/>
              </w:rPr>
              <w:t>dentifies</w:t>
            </w:r>
            <w:r w:rsidR="005B4BD6" w:rsidRPr="007E61FA">
              <w:rPr>
                <w:sz w:val="20"/>
              </w:rPr>
              <w:t xml:space="preserve"> the group</w:t>
            </w:r>
          </w:p>
        </w:tc>
      </w:tr>
      <w:tr w:rsidR="005B4BD6" w:rsidRPr="007E61FA" w:rsidTr="00881AB1">
        <w:trPr>
          <w:trHeight w:val="349"/>
        </w:trPr>
        <w:tc>
          <w:tcPr>
            <w:tcW w:w="1818" w:type="dxa"/>
            <w:vMerge/>
          </w:tcPr>
          <w:p w:rsidR="005B4BD6" w:rsidRPr="007E61FA" w:rsidRDefault="005B4BD6" w:rsidP="00881AB1">
            <w:pPr>
              <w:rPr>
                <w:b/>
                <w:sz w:val="20"/>
              </w:rPr>
            </w:pPr>
          </w:p>
        </w:tc>
        <w:tc>
          <w:tcPr>
            <w:tcW w:w="2070" w:type="dxa"/>
          </w:tcPr>
          <w:p w:rsidR="005B4BD6" w:rsidRPr="007E61FA" w:rsidRDefault="005B4BD6" w:rsidP="005B4BD6">
            <w:pPr>
              <w:rPr>
                <w:sz w:val="20"/>
              </w:rPr>
            </w:pPr>
            <w:r w:rsidRPr="007E61FA">
              <w:rPr>
                <w:sz w:val="20"/>
              </w:rPr>
              <w:t xml:space="preserve">Max </w:t>
            </w:r>
          </w:p>
        </w:tc>
        <w:tc>
          <w:tcPr>
            <w:tcW w:w="2700" w:type="dxa"/>
          </w:tcPr>
          <w:p w:rsidR="005B4BD6" w:rsidRPr="007E61FA" w:rsidRDefault="005B4BD6" w:rsidP="005B4BD6">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max</w:t>
            </w:r>
          </w:p>
          <w:p w:rsidR="005B4BD6" w:rsidRPr="007E61FA" w:rsidRDefault="005B4BD6" w:rsidP="00881AB1">
            <w:pPr>
              <w:rPr>
                <w:rStyle w:val="apple-style-span"/>
                <w:rFonts w:ascii="Courier New" w:hAnsi="Courier New" w:cs="Courier New"/>
                <w:color w:val="1A1AA6"/>
                <w:sz w:val="20"/>
                <w:szCs w:val="20"/>
              </w:rPr>
            </w:pPr>
          </w:p>
        </w:tc>
        <w:tc>
          <w:tcPr>
            <w:tcW w:w="3240" w:type="dxa"/>
          </w:tcPr>
          <w:p w:rsidR="005B4BD6" w:rsidRPr="007E61FA" w:rsidRDefault="005B4BD6" w:rsidP="00881AB1">
            <w:pPr>
              <w:rPr>
                <w:sz w:val="20"/>
              </w:rPr>
            </w:pPr>
            <w:r w:rsidRPr="007E61FA">
              <w:rPr>
                <w:sz w:val="20"/>
              </w:rPr>
              <w:t>Max</w:t>
            </w:r>
            <w:r w:rsidR="00283801">
              <w:rPr>
                <w:sz w:val="20"/>
              </w:rPr>
              <w:t>imum</w:t>
            </w:r>
            <w:r w:rsidRPr="007E61FA">
              <w:rPr>
                <w:sz w:val="20"/>
              </w:rPr>
              <w:t xml:space="preserve"> number of things to be returned</w:t>
            </w:r>
          </w:p>
        </w:tc>
      </w:tr>
      <w:tr w:rsidR="005B4BD6" w:rsidRPr="007E61FA" w:rsidTr="00881AB1">
        <w:trPr>
          <w:trHeight w:val="349"/>
        </w:trPr>
        <w:tc>
          <w:tcPr>
            <w:tcW w:w="1818" w:type="dxa"/>
            <w:vMerge/>
          </w:tcPr>
          <w:p w:rsidR="005B4BD6" w:rsidRPr="007E61FA" w:rsidRDefault="005B4BD6" w:rsidP="00881AB1">
            <w:pPr>
              <w:rPr>
                <w:b/>
                <w:sz w:val="20"/>
              </w:rPr>
            </w:pPr>
          </w:p>
        </w:tc>
        <w:tc>
          <w:tcPr>
            <w:tcW w:w="2070" w:type="dxa"/>
          </w:tcPr>
          <w:p w:rsidR="005B4BD6" w:rsidRPr="007E61FA" w:rsidRDefault="005B4BD6" w:rsidP="00881AB1">
            <w:pPr>
              <w:rPr>
                <w:sz w:val="20"/>
              </w:rPr>
            </w:pPr>
            <w:r w:rsidRPr="007E61FA">
              <w:rPr>
                <w:sz w:val="20"/>
              </w:rPr>
              <w:t>Max-Full</w:t>
            </w:r>
          </w:p>
        </w:tc>
        <w:tc>
          <w:tcPr>
            <w:tcW w:w="2700" w:type="dxa"/>
          </w:tcPr>
          <w:p w:rsidR="005B4BD6" w:rsidRPr="007E61FA" w:rsidRDefault="005B4BD6"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max-full</w:t>
            </w:r>
          </w:p>
        </w:tc>
        <w:tc>
          <w:tcPr>
            <w:tcW w:w="3240" w:type="dxa"/>
          </w:tcPr>
          <w:p w:rsidR="005B4BD6" w:rsidRPr="007E61FA" w:rsidRDefault="005B4BD6" w:rsidP="00881AB1">
            <w:pPr>
              <w:rPr>
                <w:sz w:val="20"/>
              </w:rPr>
            </w:pPr>
            <w:r w:rsidRPr="007E61FA">
              <w:rPr>
                <w:sz w:val="20"/>
              </w:rPr>
              <w:t>Maximum number of full things</w:t>
            </w:r>
          </w:p>
        </w:tc>
      </w:tr>
      <w:tr w:rsidR="005B4BD6" w:rsidRPr="007E61FA" w:rsidTr="00881AB1">
        <w:tc>
          <w:tcPr>
            <w:tcW w:w="1818" w:type="dxa"/>
            <w:vMerge w:val="restart"/>
          </w:tcPr>
          <w:p w:rsidR="005B4BD6" w:rsidRPr="007E61FA" w:rsidRDefault="005B4BD6" w:rsidP="00881AB1">
            <w:pPr>
              <w:rPr>
                <w:b/>
                <w:sz w:val="20"/>
              </w:rPr>
            </w:pPr>
            <w:r w:rsidRPr="007E61FA">
              <w:rPr>
                <w:b/>
                <w:sz w:val="20"/>
              </w:rPr>
              <w:t>Identifiers</w:t>
            </w:r>
          </w:p>
        </w:tc>
        <w:tc>
          <w:tcPr>
            <w:tcW w:w="2070" w:type="dxa"/>
          </w:tcPr>
          <w:p w:rsidR="005B4BD6" w:rsidRPr="007E61FA" w:rsidRDefault="005B4BD6" w:rsidP="00881AB1">
            <w:pPr>
              <w:rPr>
                <w:rStyle w:val="apple-style-span"/>
                <w:sz w:val="20"/>
              </w:rPr>
            </w:pPr>
            <w:proofErr w:type="spellStart"/>
            <w:r w:rsidRPr="007E61FA">
              <w:rPr>
                <w:sz w:val="20"/>
              </w:rPr>
              <w:t>ClientItemIds</w:t>
            </w:r>
            <w:proofErr w:type="spellEnd"/>
          </w:p>
        </w:tc>
        <w:tc>
          <w:tcPr>
            <w:tcW w:w="2700" w:type="dxa"/>
          </w:tcPr>
          <w:p w:rsidR="005B4BD6" w:rsidRPr="007E61FA" w:rsidRDefault="005B4BD6" w:rsidP="00881AB1">
            <w:pPr>
              <w:rPr>
                <w:rFonts w:ascii="Courier New" w:hAnsi="Courier New" w:cs="Courier New"/>
                <w:color w:val="1A1AA6"/>
                <w:sz w:val="20"/>
                <w:szCs w:val="20"/>
              </w:rPr>
            </w:pPr>
            <w:r w:rsidRPr="007E61FA">
              <w:rPr>
                <w:rStyle w:val="apple-style-span"/>
                <w:rFonts w:ascii="Courier New" w:hAnsi="Courier New" w:cs="Courier New"/>
                <w:color w:val="1A1AA6"/>
                <w:sz w:val="20"/>
                <w:szCs w:val="20"/>
              </w:rPr>
              <w:t>client-thing-id</w:t>
            </w:r>
          </w:p>
        </w:tc>
        <w:tc>
          <w:tcPr>
            <w:tcW w:w="3240" w:type="dxa"/>
          </w:tcPr>
          <w:p w:rsidR="005B4BD6" w:rsidRPr="007E61FA" w:rsidRDefault="005B4BD6" w:rsidP="00881AB1">
            <w:pPr>
              <w:rPr>
                <w:sz w:val="20"/>
              </w:rPr>
            </w:pPr>
            <w:r w:rsidRPr="007E61FA">
              <w:rPr>
                <w:sz w:val="20"/>
              </w:rPr>
              <w:t xml:space="preserve">Client Id of the </w:t>
            </w:r>
            <w:r w:rsidR="00283801">
              <w:rPr>
                <w:sz w:val="20"/>
              </w:rPr>
              <w:t>t</w:t>
            </w:r>
            <w:r w:rsidRPr="007E61FA">
              <w:rPr>
                <w:sz w:val="20"/>
              </w:rPr>
              <w:t>hing</w:t>
            </w:r>
          </w:p>
        </w:tc>
      </w:tr>
      <w:tr w:rsidR="005B4BD6" w:rsidRPr="007E61FA" w:rsidTr="00881AB1">
        <w:tc>
          <w:tcPr>
            <w:tcW w:w="1818" w:type="dxa"/>
            <w:vMerge/>
          </w:tcPr>
          <w:p w:rsidR="005B4BD6" w:rsidRPr="007E61FA" w:rsidRDefault="005B4BD6" w:rsidP="00881AB1">
            <w:pPr>
              <w:rPr>
                <w:b/>
                <w:sz w:val="20"/>
              </w:rPr>
            </w:pPr>
          </w:p>
        </w:tc>
        <w:tc>
          <w:tcPr>
            <w:tcW w:w="2070" w:type="dxa"/>
          </w:tcPr>
          <w:p w:rsidR="005B4BD6" w:rsidRPr="007E61FA" w:rsidRDefault="005B4BD6" w:rsidP="005B4BD6">
            <w:pPr>
              <w:rPr>
                <w:sz w:val="20"/>
              </w:rPr>
            </w:pPr>
            <w:proofErr w:type="spellStart"/>
            <w:r w:rsidRPr="007E61FA">
              <w:rPr>
                <w:sz w:val="20"/>
              </w:rPr>
              <w:t>ItemIds</w:t>
            </w:r>
            <w:proofErr w:type="spellEnd"/>
            <w:r w:rsidRPr="007E61FA">
              <w:rPr>
                <w:sz w:val="20"/>
              </w:rPr>
              <w:t xml:space="preserve">, </w:t>
            </w:r>
          </w:p>
        </w:tc>
        <w:tc>
          <w:tcPr>
            <w:tcW w:w="2700" w:type="dxa"/>
          </w:tcPr>
          <w:p w:rsidR="005B4BD6" w:rsidRPr="007E61FA" w:rsidRDefault="005B4BD6" w:rsidP="005B4BD6">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Id</w:t>
            </w:r>
          </w:p>
        </w:tc>
        <w:tc>
          <w:tcPr>
            <w:tcW w:w="3240" w:type="dxa"/>
          </w:tcPr>
          <w:p w:rsidR="005B4BD6" w:rsidRPr="007E61FA" w:rsidRDefault="005B4BD6" w:rsidP="00881AB1">
            <w:pPr>
              <w:rPr>
                <w:sz w:val="20"/>
              </w:rPr>
            </w:pPr>
            <w:r w:rsidRPr="007E61FA">
              <w:rPr>
                <w:sz w:val="20"/>
              </w:rPr>
              <w:t>Thing Instance Id</w:t>
            </w:r>
          </w:p>
        </w:tc>
      </w:tr>
      <w:tr w:rsidR="005B4BD6" w:rsidRPr="007E61FA" w:rsidTr="00881AB1">
        <w:tc>
          <w:tcPr>
            <w:tcW w:w="1818" w:type="dxa"/>
            <w:vMerge/>
          </w:tcPr>
          <w:p w:rsidR="005B4BD6" w:rsidRPr="007E61FA" w:rsidRDefault="005B4BD6" w:rsidP="00881AB1">
            <w:pPr>
              <w:rPr>
                <w:b/>
                <w:sz w:val="20"/>
              </w:rPr>
            </w:pPr>
          </w:p>
        </w:tc>
        <w:tc>
          <w:tcPr>
            <w:tcW w:w="2070" w:type="dxa"/>
          </w:tcPr>
          <w:p w:rsidR="005B4BD6" w:rsidRPr="007E61FA" w:rsidRDefault="005B4BD6" w:rsidP="00881AB1">
            <w:pPr>
              <w:rPr>
                <w:sz w:val="20"/>
              </w:rPr>
            </w:pPr>
            <w:proofErr w:type="spellStart"/>
            <w:r w:rsidRPr="007E61FA">
              <w:rPr>
                <w:sz w:val="20"/>
              </w:rPr>
              <w:t>ItemKeys</w:t>
            </w:r>
            <w:proofErr w:type="spellEnd"/>
          </w:p>
        </w:tc>
        <w:tc>
          <w:tcPr>
            <w:tcW w:w="2700" w:type="dxa"/>
          </w:tcPr>
          <w:p w:rsidR="005B4BD6" w:rsidRPr="007E61FA" w:rsidRDefault="005B4BD6"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key</w:t>
            </w:r>
          </w:p>
        </w:tc>
        <w:tc>
          <w:tcPr>
            <w:tcW w:w="3240" w:type="dxa"/>
          </w:tcPr>
          <w:p w:rsidR="005B4BD6" w:rsidRPr="007E61FA" w:rsidRDefault="005B4BD6" w:rsidP="00881AB1">
            <w:pPr>
              <w:rPr>
                <w:sz w:val="20"/>
              </w:rPr>
            </w:pPr>
            <w:r w:rsidRPr="007E61FA">
              <w:rPr>
                <w:sz w:val="20"/>
              </w:rPr>
              <w:t>Thing Key</w:t>
            </w:r>
          </w:p>
        </w:tc>
      </w:tr>
      <w:tr w:rsidR="00F36429" w:rsidRPr="007E61FA" w:rsidTr="00881AB1">
        <w:tc>
          <w:tcPr>
            <w:tcW w:w="1818" w:type="dxa"/>
          </w:tcPr>
          <w:p w:rsidR="00F36429" w:rsidRPr="007E61FA" w:rsidRDefault="00F36429" w:rsidP="00881AB1">
            <w:pPr>
              <w:rPr>
                <w:b/>
                <w:sz w:val="20"/>
              </w:rPr>
            </w:pPr>
            <w:r w:rsidRPr="007E61FA">
              <w:rPr>
                <w:b/>
                <w:sz w:val="20"/>
              </w:rPr>
              <w:t>Filters</w:t>
            </w:r>
          </w:p>
        </w:tc>
        <w:tc>
          <w:tcPr>
            <w:tcW w:w="2070" w:type="dxa"/>
          </w:tcPr>
          <w:p w:rsidR="00F36429" w:rsidRPr="007E61FA" w:rsidRDefault="00F36429" w:rsidP="00881AB1">
            <w:pPr>
              <w:rPr>
                <w:sz w:val="20"/>
              </w:rPr>
            </w:pPr>
            <w:proofErr w:type="spellStart"/>
            <w:r w:rsidRPr="007E61FA">
              <w:rPr>
                <w:sz w:val="20"/>
              </w:rPr>
              <w:t>EffectiveDateMax</w:t>
            </w:r>
            <w:proofErr w:type="spellEnd"/>
            <w:r w:rsidRPr="007E61FA">
              <w:rPr>
                <w:sz w:val="20"/>
              </w:rPr>
              <w:t xml:space="preserve">, EffectiveDateMin, </w:t>
            </w:r>
            <w:proofErr w:type="spellStart"/>
            <w:r w:rsidRPr="007E61FA">
              <w:rPr>
                <w:sz w:val="20"/>
              </w:rPr>
              <w:t>UpdatedDateMax</w:t>
            </w:r>
            <w:proofErr w:type="spellEnd"/>
            <w:r w:rsidRPr="007E61FA">
              <w:rPr>
                <w:sz w:val="20"/>
              </w:rPr>
              <w:t xml:space="preserve">, </w:t>
            </w:r>
            <w:proofErr w:type="spellStart"/>
            <w:r w:rsidRPr="007E61FA">
              <w:rPr>
                <w:sz w:val="20"/>
              </w:rPr>
              <w:t>UpdatedDateMin</w:t>
            </w:r>
            <w:proofErr w:type="spellEnd"/>
          </w:p>
          <w:p w:rsidR="00F36429" w:rsidRPr="007E61FA" w:rsidRDefault="00F36429" w:rsidP="00881AB1">
            <w:pPr>
              <w:rPr>
                <w:sz w:val="20"/>
              </w:rPr>
            </w:pPr>
          </w:p>
          <w:p w:rsidR="00F36429" w:rsidRPr="007E61FA" w:rsidRDefault="00F36429" w:rsidP="00881AB1">
            <w:pPr>
              <w:rPr>
                <w:sz w:val="20"/>
              </w:rPr>
            </w:pPr>
            <w:proofErr w:type="spellStart"/>
            <w:r w:rsidRPr="007E61FA">
              <w:rPr>
                <w:sz w:val="20"/>
              </w:rPr>
              <w:t>CreatedDateMax</w:t>
            </w:r>
            <w:proofErr w:type="spellEnd"/>
            <w:r w:rsidRPr="007E61FA">
              <w:rPr>
                <w:sz w:val="20"/>
              </w:rPr>
              <w:t xml:space="preserve">, </w:t>
            </w:r>
            <w:proofErr w:type="spellStart"/>
            <w:r w:rsidRPr="007E61FA">
              <w:rPr>
                <w:sz w:val="20"/>
              </w:rPr>
              <w:t>CreatedDateMin</w:t>
            </w:r>
            <w:proofErr w:type="spellEnd"/>
          </w:p>
          <w:p w:rsidR="00F36429" w:rsidRPr="007E61FA" w:rsidRDefault="00F36429" w:rsidP="00881AB1">
            <w:pPr>
              <w:rPr>
                <w:sz w:val="20"/>
              </w:rPr>
            </w:pPr>
          </w:p>
          <w:p w:rsidR="00F36429" w:rsidRPr="007E61FA" w:rsidRDefault="00F36429" w:rsidP="00881AB1">
            <w:pPr>
              <w:rPr>
                <w:sz w:val="20"/>
              </w:rPr>
            </w:pPr>
            <w:proofErr w:type="spellStart"/>
            <w:r w:rsidRPr="007E61FA">
              <w:rPr>
                <w:sz w:val="20"/>
              </w:rPr>
              <w:t>CreatedPerson</w:t>
            </w:r>
            <w:proofErr w:type="spellEnd"/>
            <w:r w:rsidRPr="007E61FA">
              <w:rPr>
                <w:sz w:val="20"/>
              </w:rPr>
              <w:t xml:space="preserve">, </w:t>
            </w:r>
          </w:p>
          <w:p w:rsidR="00F36429" w:rsidRPr="007E61FA" w:rsidRDefault="00F36429" w:rsidP="00881AB1">
            <w:pPr>
              <w:rPr>
                <w:sz w:val="20"/>
              </w:rPr>
            </w:pPr>
            <w:proofErr w:type="spellStart"/>
            <w:r w:rsidRPr="007E61FA">
              <w:rPr>
                <w:sz w:val="20"/>
              </w:rPr>
              <w:t>UpdatedPerson</w:t>
            </w:r>
            <w:proofErr w:type="spellEnd"/>
            <w:r w:rsidRPr="007E61FA">
              <w:rPr>
                <w:sz w:val="20"/>
              </w:rPr>
              <w:t>,</w:t>
            </w:r>
          </w:p>
          <w:p w:rsidR="00F36429" w:rsidRPr="007E61FA" w:rsidRDefault="00F36429" w:rsidP="00881AB1">
            <w:pPr>
              <w:rPr>
                <w:sz w:val="20"/>
              </w:rPr>
            </w:pPr>
          </w:p>
          <w:p w:rsidR="00F36429" w:rsidRPr="007E61FA" w:rsidRDefault="00F36429" w:rsidP="00881AB1">
            <w:pPr>
              <w:rPr>
                <w:sz w:val="20"/>
              </w:rPr>
            </w:pPr>
            <w:proofErr w:type="spellStart"/>
            <w:r w:rsidRPr="007E61FA">
              <w:rPr>
                <w:sz w:val="20"/>
              </w:rPr>
              <w:t>CreatedApplication</w:t>
            </w:r>
            <w:proofErr w:type="spellEnd"/>
            <w:r w:rsidRPr="007E61FA">
              <w:rPr>
                <w:sz w:val="20"/>
              </w:rPr>
              <w:t xml:space="preserve">, </w:t>
            </w:r>
            <w:proofErr w:type="spellStart"/>
            <w:r w:rsidRPr="007E61FA">
              <w:rPr>
                <w:sz w:val="20"/>
              </w:rPr>
              <w:t>UpdatedApplication</w:t>
            </w:r>
            <w:proofErr w:type="spellEnd"/>
          </w:p>
          <w:p w:rsidR="00F36429" w:rsidRPr="007E61FA" w:rsidRDefault="00F36429" w:rsidP="00881AB1">
            <w:pPr>
              <w:rPr>
                <w:sz w:val="20"/>
              </w:rPr>
            </w:pPr>
          </w:p>
          <w:p w:rsidR="00F36429" w:rsidRPr="007E61FA" w:rsidRDefault="00F36429" w:rsidP="00881AB1">
            <w:pPr>
              <w:rPr>
                <w:sz w:val="20"/>
              </w:rPr>
            </w:pPr>
            <w:r w:rsidRPr="007E61FA">
              <w:rPr>
                <w:sz w:val="20"/>
              </w:rPr>
              <w:t>XPath</w:t>
            </w:r>
          </w:p>
          <w:p w:rsidR="00F36429" w:rsidRPr="007E61FA" w:rsidRDefault="00F36429" w:rsidP="00881AB1">
            <w:pPr>
              <w:rPr>
                <w:sz w:val="20"/>
              </w:rPr>
            </w:pPr>
          </w:p>
          <w:p w:rsidR="00F36429" w:rsidRPr="007E61FA" w:rsidRDefault="00F36429" w:rsidP="00881AB1">
            <w:pPr>
              <w:rPr>
                <w:sz w:val="20"/>
              </w:rPr>
            </w:pPr>
            <w:r w:rsidRPr="007E61FA">
              <w:rPr>
                <w:sz w:val="20"/>
              </w:rPr>
              <w:t>States</w:t>
            </w:r>
          </w:p>
        </w:tc>
        <w:tc>
          <w:tcPr>
            <w:tcW w:w="2700" w:type="dxa"/>
          </w:tcPr>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eff-date-min</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eff-date-max</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updated-date-min</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updated-date-max</w:t>
            </w: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created-date-min</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created-date-max</w:t>
            </w: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br/>
              <w:t>created-person-id</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updated-person-id</w:t>
            </w: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created-app-id</w:t>
            </w: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updated-app-id</w:t>
            </w: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proofErr w:type="spellStart"/>
            <w:r w:rsidRPr="007E61FA">
              <w:rPr>
                <w:rStyle w:val="apple-style-span"/>
                <w:rFonts w:ascii="Courier New" w:hAnsi="Courier New" w:cs="Courier New"/>
                <w:color w:val="1A1AA6"/>
                <w:sz w:val="20"/>
                <w:szCs w:val="20"/>
              </w:rPr>
              <w:t>xpath</w:t>
            </w:r>
            <w:proofErr w:type="spellEnd"/>
          </w:p>
          <w:p w:rsidR="00F36429" w:rsidRPr="007E61FA" w:rsidRDefault="00F36429" w:rsidP="00881AB1">
            <w:pPr>
              <w:rPr>
                <w:rStyle w:val="apple-style-span"/>
                <w:rFonts w:ascii="Courier New" w:hAnsi="Courier New" w:cs="Courier New"/>
                <w:color w:val="1A1AA6"/>
                <w:sz w:val="20"/>
                <w:szCs w:val="20"/>
              </w:rPr>
            </w:pPr>
          </w:p>
          <w:p w:rsidR="00F36429" w:rsidRPr="007E61FA" w:rsidRDefault="00F36429"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thing-state</w:t>
            </w:r>
          </w:p>
        </w:tc>
        <w:tc>
          <w:tcPr>
            <w:tcW w:w="3240" w:type="dxa"/>
          </w:tcPr>
          <w:p w:rsidR="00F36429" w:rsidRPr="007E61FA" w:rsidRDefault="00602018" w:rsidP="00881AB1">
            <w:pPr>
              <w:rPr>
                <w:sz w:val="20"/>
              </w:rPr>
            </w:pPr>
            <w:r>
              <w:rPr>
                <w:sz w:val="20"/>
              </w:rPr>
              <w:t>Various thing</w:t>
            </w:r>
            <w:r w:rsidR="00FE6767" w:rsidRPr="007E61FA">
              <w:rPr>
                <w:sz w:val="20"/>
              </w:rPr>
              <w:t xml:space="preserve"> </w:t>
            </w:r>
            <w:r w:rsidRPr="007E61FA">
              <w:rPr>
                <w:sz w:val="20"/>
              </w:rPr>
              <w:t>filter</w:t>
            </w:r>
            <w:r>
              <w:rPr>
                <w:sz w:val="20"/>
              </w:rPr>
              <w:t>s</w:t>
            </w:r>
          </w:p>
        </w:tc>
      </w:tr>
      <w:tr w:rsidR="007E61FA" w:rsidRPr="007E61FA" w:rsidTr="007E61FA">
        <w:trPr>
          <w:trHeight w:val="440"/>
        </w:trPr>
        <w:tc>
          <w:tcPr>
            <w:tcW w:w="1818" w:type="dxa"/>
            <w:vMerge w:val="restart"/>
          </w:tcPr>
          <w:p w:rsidR="007E61FA" w:rsidRPr="007E61FA" w:rsidRDefault="007E61FA" w:rsidP="00881AB1">
            <w:pPr>
              <w:rPr>
                <w:b/>
                <w:sz w:val="20"/>
              </w:rPr>
            </w:pPr>
            <w:r w:rsidRPr="007E61FA">
              <w:rPr>
                <w:b/>
                <w:sz w:val="20"/>
              </w:rPr>
              <w:t>Formats</w:t>
            </w:r>
          </w:p>
        </w:tc>
        <w:tc>
          <w:tcPr>
            <w:tcW w:w="2070" w:type="dxa"/>
            <w:vMerge w:val="restart"/>
          </w:tcPr>
          <w:p w:rsidR="007E61FA" w:rsidRPr="007E61FA" w:rsidRDefault="007E61FA" w:rsidP="00881AB1">
            <w:pPr>
              <w:rPr>
                <w:b/>
                <w:sz w:val="20"/>
              </w:rPr>
            </w:pPr>
            <w:r w:rsidRPr="007E61FA">
              <w:rPr>
                <w:b/>
                <w:sz w:val="20"/>
              </w:rPr>
              <w:t>View</w:t>
            </w:r>
          </w:p>
        </w:tc>
        <w:tc>
          <w:tcPr>
            <w:tcW w:w="2700" w:type="dxa"/>
          </w:tcPr>
          <w:p w:rsidR="007E61FA" w:rsidRPr="007E61FA" w:rsidRDefault="007E61FA"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Section</w:t>
            </w:r>
          </w:p>
          <w:p w:rsidR="007E61FA" w:rsidRPr="007E61FA" w:rsidRDefault="007E61FA" w:rsidP="00881AB1">
            <w:pPr>
              <w:rPr>
                <w:rStyle w:val="apple-style-span"/>
                <w:rFonts w:ascii="Courier New" w:hAnsi="Courier New" w:cs="Courier New"/>
                <w:color w:val="1A1AA6"/>
                <w:sz w:val="20"/>
                <w:szCs w:val="20"/>
              </w:rPr>
            </w:pPr>
          </w:p>
        </w:tc>
        <w:tc>
          <w:tcPr>
            <w:tcW w:w="3240" w:type="dxa"/>
          </w:tcPr>
          <w:p w:rsidR="007E61FA" w:rsidRPr="007E61FA" w:rsidRDefault="007E61FA" w:rsidP="00881AB1">
            <w:pPr>
              <w:rPr>
                <w:rStyle w:val="apple-style-span"/>
                <w:sz w:val="20"/>
              </w:rPr>
            </w:pPr>
            <w:r w:rsidRPr="007E61FA">
              <w:rPr>
                <w:sz w:val="20"/>
              </w:rPr>
              <w:t xml:space="preserve">Section to be retrieved (core, audits, </w:t>
            </w:r>
            <w:proofErr w:type="spellStart"/>
            <w:r w:rsidRPr="007E61FA">
              <w:rPr>
                <w:sz w:val="20"/>
              </w:rPr>
              <w:t>effectivepermissions</w:t>
            </w:r>
            <w:proofErr w:type="spellEnd"/>
            <w:r w:rsidRPr="007E61FA">
              <w:rPr>
                <w:sz w:val="20"/>
              </w:rPr>
              <w:t xml:space="preserve">, </w:t>
            </w:r>
            <w:proofErr w:type="spellStart"/>
            <w:r w:rsidRPr="007E61FA">
              <w:rPr>
                <w:sz w:val="20"/>
              </w:rPr>
              <w:t>digitalsignatures</w:t>
            </w:r>
            <w:proofErr w:type="spellEnd"/>
            <w:r w:rsidRPr="007E61FA">
              <w:rPr>
                <w:sz w:val="20"/>
              </w:rPr>
              <w:t>)</w:t>
            </w:r>
          </w:p>
        </w:tc>
      </w:tr>
      <w:tr w:rsidR="007E61FA" w:rsidRPr="007E61FA" w:rsidTr="007E61FA">
        <w:trPr>
          <w:trHeight w:val="350"/>
        </w:trPr>
        <w:tc>
          <w:tcPr>
            <w:tcW w:w="1818" w:type="dxa"/>
            <w:vMerge/>
          </w:tcPr>
          <w:p w:rsidR="007E61FA" w:rsidRPr="007E61FA" w:rsidRDefault="007E61FA" w:rsidP="00881AB1">
            <w:pPr>
              <w:rPr>
                <w:b/>
                <w:sz w:val="20"/>
              </w:rPr>
            </w:pPr>
          </w:p>
        </w:tc>
        <w:tc>
          <w:tcPr>
            <w:tcW w:w="2070" w:type="dxa"/>
            <w:vMerge/>
          </w:tcPr>
          <w:p w:rsidR="007E61FA" w:rsidRPr="007E61FA" w:rsidRDefault="007E61FA" w:rsidP="00881AB1">
            <w:pPr>
              <w:rPr>
                <w:b/>
                <w:sz w:val="20"/>
              </w:rPr>
            </w:pPr>
          </w:p>
        </w:tc>
        <w:tc>
          <w:tcPr>
            <w:tcW w:w="2700" w:type="dxa"/>
          </w:tcPr>
          <w:p w:rsidR="007E61FA" w:rsidRPr="007E61FA" w:rsidRDefault="007E61FA" w:rsidP="007E61FA">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Xml</w:t>
            </w:r>
          </w:p>
        </w:tc>
        <w:tc>
          <w:tcPr>
            <w:tcW w:w="3240" w:type="dxa"/>
          </w:tcPr>
          <w:p w:rsidR="007E61FA" w:rsidRPr="007E61FA" w:rsidRDefault="007E61FA" w:rsidP="007E61FA">
            <w:pPr>
              <w:rPr>
                <w:sz w:val="20"/>
              </w:rPr>
            </w:pPr>
            <w:r w:rsidRPr="007E61FA">
              <w:rPr>
                <w:sz w:val="20"/>
              </w:rPr>
              <w:t>Name of  transform to apply</w:t>
            </w:r>
          </w:p>
        </w:tc>
      </w:tr>
      <w:tr w:rsidR="007E61FA" w:rsidRPr="007E61FA" w:rsidTr="007E61FA">
        <w:trPr>
          <w:trHeight w:val="350"/>
        </w:trPr>
        <w:tc>
          <w:tcPr>
            <w:tcW w:w="1818" w:type="dxa"/>
            <w:vMerge/>
          </w:tcPr>
          <w:p w:rsidR="007E61FA" w:rsidRPr="007E61FA" w:rsidRDefault="007E61FA" w:rsidP="00881AB1">
            <w:pPr>
              <w:rPr>
                <w:b/>
                <w:sz w:val="20"/>
              </w:rPr>
            </w:pPr>
          </w:p>
        </w:tc>
        <w:tc>
          <w:tcPr>
            <w:tcW w:w="2070" w:type="dxa"/>
            <w:vMerge/>
          </w:tcPr>
          <w:p w:rsidR="007E61FA" w:rsidRPr="007E61FA" w:rsidRDefault="007E61FA" w:rsidP="00881AB1">
            <w:pPr>
              <w:rPr>
                <w:b/>
                <w:sz w:val="20"/>
              </w:rPr>
            </w:pPr>
          </w:p>
        </w:tc>
        <w:tc>
          <w:tcPr>
            <w:tcW w:w="2700" w:type="dxa"/>
          </w:tcPr>
          <w:p w:rsidR="007E61FA" w:rsidRPr="007E61FA" w:rsidRDefault="007E61FA" w:rsidP="007E61FA">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type-version-format</w:t>
            </w:r>
          </w:p>
        </w:tc>
        <w:tc>
          <w:tcPr>
            <w:tcW w:w="3240" w:type="dxa"/>
          </w:tcPr>
          <w:p w:rsidR="007E61FA" w:rsidRPr="007E61FA" w:rsidRDefault="007E61FA" w:rsidP="007E61FA">
            <w:pPr>
              <w:rPr>
                <w:sz w:val="20"/>
              </w:rPr>
            </w:pPr>
            <w:r w:rsidRPr="007E61FA">
              <w:rPr>
                <w:sz w:val="20"/>
              </w:rPr>
              <w:t>Version ID of type format</w:t>
            </w:r>
          </w:p>
        </w:tc>
      </w:tr>
      <w:tr w:rsidR="007E61FA" w:rsidRPr="007E61FA" w:rsidTr="00881AB1">
        <w:trPr>
          <w:trHeight w:val="567"/>
        </w:trPr>
        <w:tc>
          <w:tcPr>
            <w:tcW w:w="1818" w:type="dxa"/>
            <w:vMerge/>
          </w:tcPr>
          <w:p w:rsidR="007E61FA" w:rsidRPr="007E61FA" w:rsidRDefault="007E61FA" w:rsidP="00881AB1">
            <w:pPr>
              <w:rPr>
                <w:b/>
                <w:sz w:val="20"/>
              </w:rPr>
            </w:pPr>
          </w:p>
        </w:tc>
        <w:tc>
          <w:tcPr>
            <w:tcW w:w="2070" w:type="dxa"/>
            <w:vMerge/>
          </w:tcPr>
          <w:p w:rsidR="007E61FA" w:rsidRPr="007E61FA" w:rsidRDefault="007E61FA" w:rsidP="00881AB1">
            <w:pPr>
              <w:rPr>
                <w:b/>
                <w:sz w:val="20"/>
              </w:rPr>
            </w:pPr>
          </w:p>
        </w:tc>
        <w:tc>
          <w:tcPr>
            <w:tcW w:w="2700" w:type="dxa"/>
          </w:tcPr>
          <w:p w:rsidR="007E61FA" w:rsidRPr="007E61FA" w:rsidRDefault="007E61FA" w:rsidP="00881AB1">
            <w:pPr>
              <w:rPr>
                <w:rStyle w:val="apple-style-span"/>
                <w:rFonts w:ascii="Courier New" w:hAnsi="Courier New" w:cs="Courier New"/>
                <w:color w:val="1A1AA6"/>
                <w:sz w:val="20"/>
                <w:szCs w:val="20"/>
              </w:rPr>
            </w:pPr>
            <w:r w:rsidRPr="007E61FA">
              <w:rPr>
                <w:rStyle w:val="apple-style-span"/>
                <w:rFonts w:ascii="Courier New" w:hAnsi="Courier New" w:cs="Courier New"/>
                <w:color w:val="1A1AA6"/>
                <w:sz w:val="20"/>
                <w:szCs w:val="20"/>
              </w:rPr>
              <w:t>blob-payload-request</w:t>
            </w:r>
          </w:p>
        </w:tc>
        <w:tc>
          <w:tcPr>
            <w:tcW w:w="3240" w:type="dxa"/>
          </w:tcPr>
          <w:p w:rsidR="007E61FA" w:rsidRPr="007E61FA" w:rsidRDefault="007E61FA" w:rsidP="00881AB1">
            <w:pPr>
              <w:rPr>
                <w:sz w:val="20"/>
              </w:rPr>
            </w:pPr>
            <w:r w:rsidRPr="007E61FA">
              <w:rPr>
                <w:sz w:val="20"/>
              </w:rPr>
              <w:t>Sequence of blob-filters (blob names) and blob-format-spec (information, inline or streamed)</w:t>
            </w:r>
          </w:p>
        </w:tc>
      </w:tr>
      <w:tr w:rsidR="00F36429" w:rsidRPr="007E61FA" w:rsidTr="00881AB1">
        <w:tc>
          <w:tcPr>
            <w:tcW w:w="1818" w:type="dxa"/>
          </w:tcPr>
          <w:p w:rsidR="00F36429" w:rsidRPr="007E61FA" w:rsidRDefault="00F36429" w:rsidP="00881AB1">
            <w:pPr>
              <w:rPr>
                <w:b/>
                <w:sz w:val="20"/>
              </w:rPr>
            </w:pPr>
            <w:r w:rsidRPr="007E61FA">
              <w:rPr>
                <w:b/>
                <w:sz w:val="20"/>
              </w:rPr>
              <w:t>Versions</w:t>
            </w:r>
          </w:p>
        </w:tc>
        <w:tc>
          <w:tcPr>
            <w:tcW w:w="2070" w:type="dxa"/>
          </w:tcPr>
          <w:p w:rsidR="00F36429" w:rsidRPr="007E61FA" w:rsidRDefault="00F36429" w:rsidP="00881AB1">
            <w:pPr>
              <w:rPr>
                <w:sz w:val="20"/>
              </w:rPr>
            </w:pPr>
            <w:proofErr w:type="spellStart"/>
            <w:r w:rsidRPr="007E61FA">
              <w:rPr>
                <w:sz w:val="20"/>
              </w:rPr>
              <w:t>CurrentVersionOnly</w:t>
            </w:r>
            <w:proofErr w:type="spellEnd"/>
          </w:p>
        </w:tc>
        <w:tc>
          <w:tcPr>
            <w:tcW w:w="2700" w:type="dxa"/>
          </w:tcPr>
          <w:p w:rsidR="00F36429" w:rsidRPr="007E61FA" w:rsidRDefault="00F36429" w:rsidP="00881AB1">
            <w:pPr>
              <w:rPr>
                <w:sz w:val="20"/>
              </w:rPr>
            </w:pPr>
            <w:r w:rsidRPr="007E61FA">
              <w:rPr>
                <w:rStyle w:val="apple-style-span"/>
                <w:rFonts w:ascii="Courier New" w:hAnsi="Courier New" w:cs="Courier New"/>
                <w:color w:val="1A1AA6"/>
                <w:sz w:val="20"/>
                <w:szCs w:val="20"/>
              </w:rPr>
              <w:t>current-version-only</w:t>
            </w:r>
          </w:p>
        </w:tc>
        <w:tc>
          <w:tcPr>
            <w:tcW w:w="3240" w:type="dxa"/>
          </w:tcPr>
          <w:p w:rsidR="00F36429" w:rsidRPr="007E61FA" w:rsidRDefault="00F36429" w:rsidP="00881AB1">
            <w:pPr>
              <w:rPr>
                <w:rStyle w:val="apple-style-span"/>
                <w:rFonts w:ascii="Courier New" w:hAnsi="Courier New" w:cs="Courier New"/>
                <w:color w:val="1A1AA6"/>
                <w:sz w:val="20"/>
                <w:szCs w:val="20"/>
              </w:rPr>
            </w:pPr>
          </w:p>
        </w:tc>
      </w:tr>
    </w:tbl>
    <w:p w:rsidR="00F36429" w:rsidRDefault="00F36429" w:rsidP="00F36429">
      <w:pPr>
        <w:jc w:val="center"/>
      </w:pPr>
      <w:r>
        <w:t xml:space="preserve">Table </w:t>
      </w:r>
      <w:r w:rsidR="008E275F">
        <w:t>3-4</w:t>
      </w:r>
      <w:r>
        <w:t xml:space="preserve"> GetThings </w:t>
      </w:r>
      <w:r w:rsidR="00283801">
        <w:t>q</w:t>
      </w:r>
      <w:r>
        <w:t xml:space="preserve">uery </w:t>
      </w:r>
      <w:r w:rsidR="00283801">
        <w:t>p</w:t>
      </w:r>
      <w:r>
        <w:t>aram</w:t>
      </w:r>
      <w:r w:rsidR="00283801">
        <w:t>eter</w:t>
      </w:r>
      <w:r>
        <w:t>s</w:t>
      </w:r>
    </w:p>
    <w:p w:rsidR="00F36429" w:rsidRDefault="00F36429" w:rsidP="008D4F94">
      <w:r>
        <w:t xml:space="preserve">Having understood the paradigm </w:t>
      </w:r>
      <w:r w:rsidR="00644BF7">
        <w:t xml:space="preserve">through </w:t>
      </w:r>
      <w:r>
        <w:t>which one can access things from HealthVault using the GetThings methods, let’s look at how we can utilize querying to display Weight values in our application.</w:t>
      </w:r>
    </w:p>
    <w:p w:rsidR="00F36429" w:rsidRDefault="00F36429" w:rsidP="008D4F94">
      <w:r>
        <w:lastRenderedPageBreak/>
        <w:t xml:space="preserve">Our application currently fetches all the weight readings. However we want to be able to explore the readings on a graph </w:t>
      </w:r>
      <w:r w:rsidR="00644BF7">
        <w:t>one</w:t>
      </w:r>
      <w:r>
        <w:t xml:space="preserve"> week at a time. Listing </w:t>
      </w:r>
      <w:r w:rsidR="008E275F">
        <w:t>3-2</w:t>
      </w:r>
      <w:r>
        <w:t xml:space="preserve"> shows how we can do it. As Line 52 shows, we begin by creating a searcher object for the record we are working with, and then create a new filter for Weight type (Line 53). On</w:t>
      </w:r>
      <w:r w:rsidR="003C1E8F">
        <w:t>c</w:t>
      </w:r>
      <w:r>
        <w:t>e we have the filter</w:t>
      </w:r>
      <w:r w:rsidR="00644BF7">
        <w:t>,</w:t>
      </w:r>
      <w:r>
        <w:t xml:space="preserve"> we add properties to filter the value </w:t>
      </w:r>
      <w:r w:rsidR="00644BF7">
        <w:t xml:space="preserve">so that we get </w:t>
      </w:r>
      <w:r>
        <w:t xml:space="preserve">only weight items </w:t>
      </w:r>
      <w:r w:rsidR="00644BF7">
        <w:t xml:space="preserve">that </w:t>
      </w:r>
      <w:r>
        <w:t>are dated</w:t>
      </w:r>
      <w:r w:rsidR="000932E9">
        <w:t xml:space="preserve"> for </w:t>
      </w:r>
      <w:r w:rsidR="001D3B16">
        <w:t xml:space="preserve">previous </w:t>
      </w:r>
      <w:r w:rsidR="000932E9">
        <w:t>week using the EffectiveDateMin (Line 54).</w:t>
      </w:r>
    </w:p>
    <w:p w:rsidR="000932E9" w:rsidRDefault="000932E9" w:rsidP="008D4F94">
      <w:r>
        <w:t>On</w:t>
      </w:r>
      <w:r w:rsidR="003C1E8F">
        <w:t>c</w:t>
      </w:r>
      <w:r>
        <w:t>e the query is constructed</w:t>
      </w:r>
      <w:r w:rsidR="00103BC9">
        <w:t>,</w:t>
      </w:r>
      <w:r>
        <w:t xml:space="preserve"> we issue a GetThings request to HealthVault (Line 57). Since we have only one group</w:t>
      </w:r>
      <w:r w:rsidR="00103BC9">
        <w:t>,</w:t>
      </w:r>
      <w:r>
        <w:t xml:space="preserve"> we </w:t>
      </w:r>
      <w:r w:rsidR="003C1E8F">
        <w:t>index for the results</w:t>
      </w:r>
      <w:r>
        <w:t xml:space="preserve"> in the first set of matching results (</w:t>
      </w:r>
      <w:r w:rsidRPr="000932E9">
        <w:rPr>
          <w:b/>
        </w:rPr>
        <w:t>GetMatchingItems()[0]</w:t>
      </w:r>
      <w:r>
        <w:t>).</w:t>
      </w:r>
    </w:p>
    <w:p w:rsidR="00F36429" w:rsidRDefault="00F36429" w:rsidP="00F36429">
      <w:pPr>
        <w:jc w:val="center"/>
      </w:pPr>
      <w:r>
        <w:rPr>
          <w:noProof/>
        </w:rPr>
        <w:drawing>
          <wp:inline distT="0" distB="0" distL="0" distR="0" wp14:anchorId="55C9CA6D" wp14:editId="39679DF3">
            <wp:extent cx="5805121" cy="2816352"/>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807832" cy="2817667"/>
                    </a:xfrm>
                    <a:prstGeom prst="rect">
                      <a:avLst/>
                    </a:prstGeom>
                  </pic:spPr>
                </pic:pic>
              </a:graphicData>
            </a:graphic>
          </wp:inline>
        </w:drawing>
      </w:r>
    </w:p>
    <w:p w:rsidR="00F36429" w:rsidRDefault="00F36429" w:rsidP="00F36429">
      <w:pPr>
        <w:jc w:val="center"/>
      </w:pPr>
      <w:r>
        <w:t xml:space="preserve">Listing </w:t>
      </w:r>
      <w:r w:rsidR="008E275F">
        <w:t>3-2</w:t>
      </w:r>
      <w:r>
        <w:t xml:space="preserve"> Using the EffectiveDateMin filter to get weekly data</w:t>
      </w:r>
    </w:p>
    <w:p w:rsidR="000932E9" w:rsidRDefault="000932E9" w:rsidP="000932E9">
      <w:r>
        <w:t>After getting the matching items</w:t>
      </w:r>
      <w:r w:rsidR="00E10D5D">
        <w:t>,</w:t>
      </w:r>
      <w:r>
        <w:t xml:space="preserve"> we create a new </w:t>
      </w:r>
      <w:proofErr w:type="spellStart"/>
      <w:r>
        <w:t>TimeSeries</w:t>
      </w:r>
      <w:proofErr w:type="spellEnd"/>
      <w:r>
        <w:t xml:space="preserve"> (Line 59) and add each item individually to the series. </w:t>
      </w:r>
      <w:r w:rsidR="00B9016C">
        <w:t xml:space="preserve">The </w:t>
      </w:r>
      <w:proofErr w:type="spellStart"/>
      <w:r>
        <w:t>TimeSeries.ascx.cs</w:t>
      </w:r>
      <w:proofErr w:type="spellEnd"/>
      <w:r>
        <w:t xml:space="preserve"> </w:t>
      </w:r>
      <w:r w:rsidR="00B9016C">
        <w:t xml:space="preserve">file </w:t>
      </w:r>
      <w:r>
        <w:t>contains</w:t>
      </w:r>
      <w:r w:rsidR="00226705">
        <w:t xml:space="preserve"> </w:t>
      </w:r>
      <w:r w:rsidR="00977332">
        <w:t>an</w:t>
      </w:r>
      <w:r w:rsidR="00B9016C">
        <w:t xml:space="preserve"> </w:t>
      </w:r>
      <w:r>
        <w:t xml:space="preserve">implementation of this class. You can choose to use your own implementation with any other graphing library. In this example, I’m using the </w:t>
      </w:r>
      <w:proofErr w:type="spellStart"/>
      <w:r>
        <w:t>Flot</w:t>
      </w:r>
      <w:proofErr w:type="spellEnd"/>
      <w:r>
        <w:t xml:space="preserve"> </w:t>
      </w:r>
      <w:proofErr w:type="spellStart"/>
      <w:r>
        <w:t>javascript</w:t>
      </w:r>
      <w:proofErr w:type="spellEnd"/>
      <w:r>
        <w:t xml:space="preserve"> graphing library </w:t>
      </w:r>
      <w:r w:rsidR="003850F8">
        <w:t>(</w:t>
      </w:r>
      <w:hyperlink r:id="rId28" w:history="1">
        <w:r w:rsidR="003850F8">
          <w:rPr>
            <w:rStyle w:val="Hyperlink"/>
          </w:rPr>
          <w:t>http://code.google.com/p/flot/</w:t>
        </w:r>
      </w:hyperlink>
      <w:r w:rsidR="003850F8">
        <w:t>).</w:t>
      </w:r>
      <w:r>
        <w:t xml:space="preserve">TimeplotView (Line 67) is an instance of a user control </w:t>
      </w:r>
      <w:r w:rsidR="00977332">
        <w:t xml:space="preserve">that </w:t>
      </w:r>
      <w:r>
        <w:t xml:space="preserve">has a </w:t>
      </w:r>
      <w:proofErr w:type="spellStart"/>
      <w:r>
        <w:t>Flot</w:t>
      </w:r>
      <w:proofErr w:type="spellEnd"/>
      <w:r>
        <w:t xml:space="preserve"> graphing object.</w:t>
      </w:r>
    </w:p>
    <w:p w:rsidR="000932E9" w:rsidRDefault="000932E9" w:rsidP="000932E9">
      <w:r>
        <w:t xml:space="preserve">In line 67-69 we add the constructed </w:t>
      </w:r>
      <w:proofErr w:type="spellStart"/>
      <w:r>
        <w:t>TimeSeries</w:t>
      </w:r>
      <w:proofErr w:type="spellEnd"/>
      <w:r>
        <w:t xml:space="preserve"> to the Graphing object and make it visible on the screen. Fig </w:t>
      </w:r>
      <w:r w:rsidR="008E275F">
        <w:t>3-5</w:t>
      </w:r>
      <w:r>
        <w:t xml:space="preserve"> shows results of running this information on the selected record.</w:t>
      </w:r>
    </w:p>
    <w:p w:rsidR="00DA52BA" w:rsidRDefault="00DA52BA" w:rsidP="000932E9">
      <w:pPr>
        <w:jc w:val="center"/>
      </w:pPr>
      <w:r>
        <w:rPr>
          <w:noProof/>
        </w:rPr>
        <w:lastRenderedPageBreak/>
        <w:drawing>
          <wp:inline distT="0" distB="0" distL="0" distR="0" wp14:anchorId="572351C3" wp14:editId="0104818E">
            <wp:extent cx="3762966" cy="1975104"/>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761034" cy="1974090"/>
                    </a:xfrm>
                    <a:prstGeom prst="rect">
                      <a:avLst/>
                    </a:prstGeom>
                  </pic:spPr>
                </pic:pic>
              </a:graphicData>
            </a:graphic>
          </wp:inline>
        </w:drawing>
      </w:r>
    </w:p>
    <w:p w:rsidR="00DA52BA" w:rsidRDefault="00DA52BA" w:rsidP="000932E9">
      <w:pPr>
        <w:jc w:val="center"/>
      </w:pPr>
      <w:r>
        <w:t xml:space="preserve">Fig </w:t>
      </w:r>
      <w:r w:rsidR="008E275F">
        <w:t>3-5</w:t>
      </w:r>
      <w:r w:rsidR="00752A28">
        <w:t xml:space="preserve"> </w:t>
      </w:r>
      <w:r>
        <w:t xml:space="preserve">Filtering </w:t>
      </w:r>
      <w:r w:rsidR="00B334C7">
        <w:t>w</w:t>
      </w:r>
      <w:r>
        <w:t xml:space="preserve">eight </w:t>
      </w:r>
      <w:r w:rsidR="00B334C7">
        <w:t>d</w:t>
      </w:r>
      <w:r>
        <w:t xml:space="preserve">ata for the </w:t>
      </w:r>
      <w:r w:rsidR="00B334C7">
        <w:t>w</w:t>
      </w:r>
      <w:r>
        <w:t>eek</w:t>
      </w:r>
    </w:p>
    <w:p w:rsidR="00DA52BA" w:rsidRDefault="00DA52BA" w:rsidP="00DA52BA"/>
    <w:p w:rsidR="00CD3E98" w:rsidRDefault="00CD3E98" w:rsidP="00173B72">
      <w:pPr>
        <w:pStyle w:val="Heading3"/>
      </w:pPr>
      <w:r>
        <w:t>PutThings</w:t>
      </w:r>
    </w:p>
    <w:p w:rsidR="00FC6203" w:rsidRDefault="0032428C" w:rsidP="00FC6203">
      <w:r>
        <w:t>As with GetThings, we’ll begin our coverage of t</w:t>
      </w:r>
      <w:r w:rsidR="00FC6203">
        <w:t>he PutThings API</w:t>
      </w:r>
      <w:r>
        <w:t xml:space="preserve"> by</w:t>
      </w:r>
      <w:r w:rsidR="00FC6203">
        <w:t xml:space="preserve"> look</w:t>
      </w:r>
      <w:r>
        <w:t>ing</w:t>
      </w:r>
      <w:r w:rsidR="00FC6203">
        <w:t xml:space="preserve"> at the XML an application would send to HealthVault </w:t>
      </w:r>
      <w:r>
        <w:t>to create or</w:t>
      </w:r>
      <w:r w:rsidR="00FC6203">
        <w:t xml:space="preserve"> </w:t>
      </w:r>
      <w:r w:rsidR="00030197">
        <w:t>updat</w:t>
      </w:r>
      <w:r>
        <w:t>e</w:t>
      </w:r>
      <w:r w:rsidR="00FC6203">
        <w:t xml:space="preserve"> a set of things.</w:t>
      </w:r>
      <w:r w:rsidR="005D1572">
        <w:t xml:space="preserve"> Compared to GetThings</w:t>
      </w:r>
      <w:r>
        <w:t>,</w:t>
      </w:r>
      <w:r w:rsidR="005D1572">
        <w:t xml:space="preserve"> this is a simple </w:t>
      </w:r>
      <w:r>
        <w:t>request</w:t>
      </w:r>
      <w:r w:rsidR="005D1572">
        <w:t>.</w:t>
      </w:r>
    </w:p>
    <w:p w:rsidR="00E43F96" w:rsidRDefault="00150249" w:rsidP="004D744E">
      <w:pPr>
        <w:jc w:val="center"/>
      </w:pPr>
      <w:r>
        <w:rPr>
          <w:noProof/>
        </w:rPr>
        <w:drawing>
          <wp:inline distT="0" distB="0" distL="0" distR="0" wp14:anchorId="24EAE4A7" wp14:editId="625299C2">
            <wp:extent cx="5515661" cy="199802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512961" cy="1997042"/>
                    </a:xfrm>
                    <a:prstGeom prst="rect">
                      <a:avLst/>
                    </a:prstGeom>
                  </pic:spPr>
                </pic:pic>
              </a:graphicData>
            </a:graphic>
          </wp:inline>
        </w:drawing>
      </w:r>
      <w:r w:rsidR="00684C94">
        <w:br/>
      </w:r>
      <w:r w:rsidR="008E275F">
        <w:t>Listing 3-3</w:t>
      </w:r>
      <w:r w:rsidR="00E43F96">
        <w:t>. Put-Things XML Sample</w:t>
      </w:r>
    </w:p>
    <w:p w:rsidR="00030197" w:rsidRDefault="00F6432F" w:rsidP="00E43EED">
      <w:r>
        <w:t xml:space="preserve">Each PutThings request can </w:t>
      </w:r>
      <w:r w:rsidR="00EF1E75">
        <w:t xml:space="preserve">add instances of a </w:t>
      </w:r>
      <w:r w:rsidR="00EF1E75" w:rsidRPr="00EF1E75">
        <w:rPr>
          <w:b/>
        </w:rPr>
        <w:t>thing</w:t>
      </w:r>
      <w:r w:rsidR="00EF1E75">
        <w:t xml:space="preserve"> (Line 23). Each thing has a type-id (Line 24) </w:t>
      </w:r>
      <w:r w:rsidR="006E334B">
        <w:t>that</w:t>
      </w:r>
      <w:r w:rsidR="00EF1E75">
        <w:t xml:space="preserve"> identifies what kind of data item it is. In </w:t>
      </w:r>
      <w:r w:rsidR="008E275F">
        <w:t>Listing 3-3</w:t>
      </w:r>
      <w:r w:rsidR="006E334B">
        <w:t>,</w:t>
      </w:r>
      <w:r w:rsidR="00EF1E75">
        <w:t xml:space="preserve"> the thing is of type </w:t>
      </w:r>
      <w:r w:rsidR="00EF1E75" w:rsidRPr="00EF1E75">
        <w:rPr>
          <w:b/>
        </w:rPr>
        <w:t>Weight</w:t>
      </w:r>
      <w:r w:rsidR="00EF1E75">
        <w:t xml:space="preserve">. </w:t>
      </w:r>
      <w:r w:rsidR="008E275F">
        <w:t>Because</w:t>
      </w:r>
      <w:r w:rsidR="00290B04">
        <w:t xml:space="preserve"> </w:t>
      </w:r>
      <w:r w:rsidR="00EF1E75">
        <w:t>we are adding a weight thing</w:t>
      </w:r>
      <w:r w:rsidR="00290B04">
        <w:t>,</w:t>
      </w:r>
      <w:r w:rsidR="00EF1E75">
        <w:t xml:space="preserve"> the </w:t>
      </w:r>
      <w:r w:rsidR="00EF1E75" w:rsidRPr="00EF1E75">
        <w:rPr>
          <w:b/>
        </w:rPr>
        <w:t>data-xml</w:t>
      </w:r>
      <w:r w:rsidR="00EF1E75">
        <w:t xml:space="preserve"> (Line 23) part of this request needs to adhere </w:t>
      </w:r>
      <w:r w:rsidR="00290B04">
        <w:t xml:space="preserve">to </w:t>
      </w:r>
      <w:r w:rsidR="00EF1E75">
        <w:t xml:space="preserve">the schema for this particular type. In Chapter </w:t>
      </w:r>
      <w:r w:rsidR="00B760F4">
        <w:t>4</w:t>
      </w:r>
      <w:r w:rsidR="00EF1E75">
        <w:t>, we will discuss the thing-type</w:t>
      </w:r>
      <w:r w:rsidR="00290B04" w:rsidRPr="00290B04">
        <w:t xml:space="preserve"> </w:t>
      </w:r>
      <w:r w:rsidR="00290B04">
        <w:t>schema</w:t>
      </w:r>
      <w:r w:rsidR="00EF1E75">
        <w:t xml:space="preserve">. The important </w:t>
      </w:r>
      <w:r w:rsidR="00290B04">
        <w:t>aspect of using</w:t>
      </w:r>
      <w:r w:rsidR="00EF1E75">
        <w:t xml:space="preserve"> this schema is to make sure t</w:t>
      </w:r>
      <w:r w:rsidR="00290B04">
        <w:t>o use a unique</w:t>
      </w:r>
      <w:r w:rsidR="00EF1E75">
        <w:t xml:space="preserve"> thing-id. In case of an update</w:t>
      </w:r>
      <w:r w:rsidR="00290B04">
        <w:t>,</w:t>
      </w:r>
      <w:r w:rsidR="00EF1E75">
        <w:t xml:space="preserve"> the thing-id is the instance of weigh</w:t>
      </w:r>
      <w:r w:rsidR="00290B04">
        <w:t>t you want to</w:t>
      </w:r>
      <w:r w:rsidR="00EF1E75">
        <w:t xml:space="preserve"> updat</w:t>
      </w:r>
      <w:r w:rsidR="00290B04">
        <w:t>e</w:t>
      </w:r>
      <w:r w:rsidR="00465AA4">
        <w:t xml:space="preserve">. Additionally </w:t>
      </w:r>
      <w:r w:rsidR="00EF1E75">
        <w:t xml:space="preserve">the thing-version-id element should be the version id of the element </w:t>
      </w:r>
      <w:r w:rsidR="00290B04">
        <w:t xml:space="preserve">that </w:t>
      </w:r>
      <w:r w:rsidR="00EF1E75">
        <w:t>is currently in the HealthVault. HealthVault offers optimistic concurrency</w:t>
      </w:r>
      <w:r w:rsidR="00290B04">
        <w:t>:</w:t>
      </w:r>
      <w:r w:rsidR="00EF1E75">
        <w:t xml:space="preserve"> </w:t>
      </w:r>
      <w:r w:rsidR="00290B04">
        <w:t>i</w:t>
      </w:r>
      <w:r w:rsidR="00EF1E75">
        <w:t xml:space="preserve">f an application tries to update an old thing </w:t>
      </w:r>
      <w:r w:rsidR="00290B04">
        <w:t xml:space="preserve">that </w:t>
      </w:r>
      <w:r w:rsidR="00EF1E75">
        <w:t>has already been updated by some other application</w:t>
      </w:r>
      <w:r w:rsidR="00290B04">
        <w:t>,</w:t>
      </w:r>
      <w:r w:rsidR="00EF1E75">
        <w:t xml:space="preserve"> </w:t>
      </w:r>
      <w:r w:rsidR="00290B04">
        <w:t xml:space="preserve">its version ID will have changed and </w:t>
      </w:r>
      <w:r w:rsidR="00EF1E75">
        <w:t xml:space="preserve">the </w:t>
      </w:r>
      <w:r w:rsidR="00290B04">
        <w:t xml:space="preserve">new </w:t>
      </w:r>
      <w:r w:rsidR="00EF1E75">
        <w:t>put won’t succeed</w:t>
      </w:r>
      <w:r w:rsidR="00290B04">
        <w:t>. The</w:t>
      </w:r>
      <w:r w:rsidR="00EF1E75">
        <w:t xml:space="preserve"> thing-version-id is critical </w:t>
      </w:r>
      <w:r w:rsidR="00290B04">
        <w:t>to make sure one update does not override another</w:t>
      </w:r>
      <w:r w:rsidR="00EF1E75">
        <w:t>.</w:t>
      </w:r>
    </w:p>
    <w:p w:rsidR="00F8661E" w:rsidRDefault="00F8661E" w:rsidP="00E43EED">
      <w:r>
        <w:lastRenderedPageBreak/>
        <w:t xml:space="preserve">Let’s modify our application to add </w:t>
      </w:r>
      <w:r w:rsidR="00542834">
        <w:t xml:space="preserve">a </w:t>
      </w:r>
      <w:r>
        <w:t>new Weight element to HealthVault. On the Default.aspx page we construct a text box to enter weigh</w:t>
      </w:r>
      <w:r w:rsidR="00542834">
        <w:t>t</w:t>
      </w:r>
      <w:r>
        <w:t xml:space="preserve"> in pounds and associate a “save” button with it</w:t>
      </w:r>
      <w:r w:rsidR="00542834">
        <w:t>,</w:t>
      </w:r>
      <w:r>
        <w:t xml:space="preserve"> with</w:t>
      </w:r>
      <w:r w:rsidR="00542834">
        <w:t xml:space="preserve"> the</w:t>
      </w:r>
      <w:r>
        <w:t xml:space="preserve"> action as “</w:t>
      </w:r>
      <w:proofErr w:type="spellStart"/>
      <w:r>
        <w:t>Btn_SubmitWeight_Click</w:t>
      </w:r>
      <w:proofErr w:type="spellEnd"/>
      <w:r>
        <w:t>”.</w:t>
      </w:r>
    </w:p>
    <w:p w:rsidR="00EF1E75" w:rsidRPr="00EF1E75" w:rsidRDefault="00F8661E" w:rsidP="00E43EED">
      <w:r>
        <w:t xml:space="preserve">Listing </w:t>
      </w:r>
      <w:r w:rsidR="008E275F">
        <w:t>3-</w:t>
      </w:r>
      <w:r>
        <w:t xml:space="preserve">4 illustrates how we will go about saving a new element to HealthVault. Notice </w:t>
      </w:r>
      <w:r w:rsidR="00D66F57">
        <w:t>the</w:t>
      </w:r>
      <w:r>
        <w:t xml:space="preserve"> HealthVault</w:t>
      </w:r>
      <w:r w:rsidR="00D66F57">
        <w:t>-</w:t>
      </w:r>
      <w:r>
        <w:t xml:space="preserve">specific </w:t>
      </w:r>
      <w:proofErr w:type="spellStart"/>
      <w:r>
        <w:t>DateTime</w:t>
      </w:r>
      <w:proofErr w:type="spellEnd"/>
      <w:r w:rsidR="00D66F57">
        <w:t xml:space="preserve"> field</w:t>
      </w:r>
      <w:r>
        <w:t xml:space="preserve"> </w:t>
      </w:r>
      <w:r w:rsidR="00D66F57">
        <w:t>(</w:t>
      </w:r>
      <w:proofErr w:type="spellStart"/>
      <w:r>
        <w:t>HealthServiceDateTime</w:t>
      </w:r>
      <w:proofErr w:type="spellEnd"/>
      <w:r w:rsidR="00D66F57">
        <w:t>)</w:t>
      </w:r>
      <w:r>
        <w:t xml:space="preserve"> on Line 37 and a way to differentiate </w:t>
      </w:r>
      <w:r w:rsidR="00D66F57">
        <w:t xml:space="preserve">the </w:t>
      </w:r>
      <w:r>
        <w:t xml:space="preserve">actual </w:t>
      </w:r>
      <w:proofErr w:type="spellStart"/>
      <w:r>
        <w:t>WeightValue</w:t>
      </w:r>
      <w:proofErr w:type="spellEnd"/>
      <w:r>
        <w:t xml:space="preserve"> from </w:t>
      </w:r>
      <w:proofErr w:type="spellStart"/>
      <w:r>
        <w:t>DisplayValue</w:t>
      </w:r>
      <w:proofErr w:type="spellEnd"/>
      <w:r>
        <w:t xml:space="preserve"> on Line</w:t>
      </w:r>
      <w:r w:rsidR="00D66F57">
        <w:t>s</w:t>
      </w:r>
      <w:r>
        <w:t xml:space="preserve"> 38-39.  HealthVault enables health</w:t>
      </w:r>
      <w:r w:rsidR="00AB47D2">
        <w:t xml:space="preserve"> </w:t>
      </w:r>
      <w:r>
        <w:t xml:space="preserve">items to have a flexible date time. It also stores v measurements in </w:t>
      </w:r>
      <w:r w:rsidR="00D66F57">
        <w:t xml:space="preserve">a </w:t>
      </w:r>
      <w:r>
        <w:t xml:space="preserve">canonical format and allows the user to see them </w:t>
      </w:r>
      <w:r w:rsidR="00D66F57">
        <w:t xml:space="preserve">in </w:t>
      </w:r>
      <w:r w:rsidR="00D84F97">
        <w:t>the</w:t>
      </w:r>
      <w:r>
        <w:t xml:space="preserve"> format </w:t>
      </w:r>
      <w:r w:rsidR="00D84F97">
        <w:t xml:space="preserve">in which </w:t>
      </w:r>
      <w:r>
        <w:t>they entered the data. In</w:t>
      </w:r>
      <w:r w:rsidR="00D66F57">
        <w:t xml:space="preserve"> the</w:t>
      </w:r>
      <w:r>
        <w:t xml:space="preserve"> case of Weight</w:t>
      </w:r>
      <w:r w:rsidR="00D66F57">
        <w:t>,</w:t>
      </w:r>
      <w:r>
        <w:t xml:space="preserve"> it is store</w:t>
      </w:r>
      <w:r w:rsidR="00D84F97">
        <w:t>d</w:t>
      </w:r>
      <w:r>
        <w:t xml:space="preserve"> canonically in kilogram</w:t>
      </w:r>
      <w:r w:rsidR="00D84F97">
        <w:t>s</w:t>
      </w:r>
      <w:r w:rsidR="00D66F57">
        <w:t>,</w:t>
      </w:r>
      <w:r>
        <w:t xml:space="preserve"> </w:t>
      </w:r>
      <w:r w:rsidR="00BC4133">
        <w:t>but we assume the user prefers to enter and display the weight in pounds. S</w:t>
      </w:r>
      <w:r w:rsidR="00D66F57">
        <w:t xml:space="preserve">o </w:t>
      </w:r>
      <w:r>
        <w:t xml:space="preserve">on Line 39 we multiply the value entered by the user </w:t>
      </w:r>
      <w:r w:rsidR="00D66F57">
        <w:t xml:space="preserve">by </w:t>
      </w:r>
      <w:r>
        <w:t xml:space="preserve">1.6.  </w:t>
      </w:r>
      <w:r w:rsidR="00BC4133">
        <w:t>T</w:t>
      </w:r>
      <w:r>
        <w:t xml:space="preserve">he </w:t>
      </w:r>
      <w:proofErr w:type="spellStart"/>
      <w:r>
        <w:t>DisplayValue</w:t>
      </w:r>
      <w:proofErr w:type="spellEnd"/>
      <w:r>
        <w:t xml:space="preserve"> of </w:t>
      </w:r>
      <w:r w:rsidR="00BC4133">
        <w:t xml:space="preserve">the </w:t>
      </w:r>
      <w:r>
        <w:t xml:space="preserve">weight is </w:t>
      </w:r>
      <w:r w:rsidR="003850F8">
        <w:t>in pounds (</w:t>
      </w:r>
      <w:r w:rsidR="00BC4133">
        <w:t>lbs</w:t>
      </w:r>
      <w:r w:rsidR="003850F8">
        <w:t>)</w:t>
      </w:r>
      <w:r w:rsidR="003C1E8F">
        <w:t>, which the applications working with this type can use to show the value to the user</w:t>
      </w:r>
    </w:p>
    <w:p w:rsidR="00577295" w:rsidRDefault="004E1555" w:rsidP="004E1555">
      <w:pPr>
        <w:autoSpaceDE w:val="0"/>
        <w:autoSpaceDN w:val="0"/>
        <w:adjustRightInd w:val="0"/>
        <w:spacing w:after="0" w:line="240" w:lineRule="auto"/>
        <w:jc w:val="center"/>
        <w:rPr>
          <w:rFonts w:ascii="Consolas" w:hAnsi="Consolas" w:cs="Consolas"/>
          <w:sz w:val="19"/>
          <w:szCs w:val="19"/>
        </w:rPr>
      </w:pPr>
      <w:r>
        <w:rPr>
          <w:noProof/>
        </w:rPr>
        <w:drawing>
          <wp:inline distT="0" distB="0" distL="0" distR="0" wp14:anchorId="15E18A92" wp14:editId="088DD22B">
            <wp:extent cx="5943600" cy="15182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943600" cy="1518285"/>
                    </a:xfrm>
                    <a:prstGeom prst="rect">
                      <a:avLst/>
                    </a:prstGeom>
                  </pic:spPr>
                </pic:pic>
              </a:graphicData>
            </a:graphic>
          </wp:inline>
        </w:drawing>
      </w:r>
    </w:p>
    <w:p w:rsidR="00577295" w:rsidRDefault="00684C94" w:rsidP="004E1555">
      <w:pPr>
        <w:autoSpaceDE w:val="0"/>
        <w:autoSpaceDN w:val="0"/>
        <w:adjustRightInd w:val="0"/>
        <w:spacing w:after="0" w:line="240" w:lineRule="auto"/>
        <w:jc w:val="center"/>
      </w:pPr>
      <w:r>
        <w:t xml:space="preserve">Listing </w:t>
      </w:r>
      <w:r w:rsidR="008E275F">
        <w:t>3-4</w:t>
      </w:r>
      <w:r w:rsidR="00577295" w:rsidRPr="00577295">
        <w:t xml:space="preserve"> Put-Things Example</w:t>
      </w:r>
    </w:p>
    <w:p w:rsidR="00F8661E" w:rsidRDefault="00F8661E" w:rsidP="00577295">
      <w:pPr>
        <w:autoSpaceDE w:val="0"/>
        <w:autoSpaceDN w:val="0"/>
        <w:adjustRightInd w:val="0"/>
        <w:spacing w:after="0" w:line="240" w:lineRule="auto"/>
      </w:pPr>
    </w:p>
    <w:p w:rsidR="00577295" w:rsidRDefault="00F8661E" w:rsidP="00577295">
      <w:pPr>
        <w:autoSpaceDE w:val="0"/>
        <w:autoSpaceDN w:val="0"/>
        <w:adjustRightInd w:val="0"/>
        <w:spacing w:after="0" w:line="240" w:lineRule="auto"/>
      </w:pPr>
      <w:r>
        <w:t>Having a well-formed weight health item</w:t>
      </w:r>
      <w:r w:rsidR="00AA2F9A">
        <w:t>,</w:t>
      </w:r>
      <w:r>
        <w:t xml:space="preserve"> we can send it to HealthVault </w:t>
      </w:r>
      <w:r w:rsidR="00AA2F9A">
        <w:t>by call</w:t>
      </w:r>
      <w:r w:rsidR="004D744E">
        <w:t>i</w:t>
      </w:r>
      <w:r>
        <w:t xml:space="preserve">ng </w:t>
      </w:r>
      <w:proofErr w:type="spellStart"/>
      <w:r w:rsidR="004D744E">
        <w:t>NewItem</w:t>
      </w:r>
      <w:proofErr w:type="spellEnd"/>
      <w:r w:rsidR="004D744E">
        <w:t xml:space="preserve"> method in HealthVault .NET SDK.  Under the hood </w:t>
      </w:r>
      <w:proofErr w:type="spellStart"/>
      <w:r w:rsidR="004D744E">
        <w:t>NewItem</w:t>
      </w:r>
      <w:proofErr w:type="spellEnd"/>
      <w:r w:rsidR="004D744E">
        <w:t xml:space="preserve"> call issues a PutThings request to HealthVault platform. The HealthVault SDK also has as an </w:t>
      </w:r>
      <w:proofErr w:type="spellStart"/>
      <w:r w:rsidR="004D744E">
        <w:t>UpdateItem</w:t>
      </w:r>
      <w:proofErr w:type="spellEnd"/>
      <w:r w:rsidR="004D744E">
        <w:t xml:space="preserve"> method which saves changes to an existing item using the PutThings method.</w:t>
      </w:r>
    </w:p>
    <w:p w:rsidR="00F8661E" w:rsidRDefault="00F8661E" w:rsidP="00577295">
      <w:pPr>
        <w:autoSpaceDE w:val="0"/>
        <w:autoSpaceDN w:val="0"/>
        <w:adjustRightInd w:val="0"/>
        <w:spacing w:after="0" w:line="240" w:lineRule="auto"/>
      </w:pPr>
    </w:p>
    <w:p w:rsidR="003850F8" w:rsidRDefault="003850F8" w:rsidP="003850F8">
      <w:pPr>
        <w:autoSpaceDE w:val="0"/>
        <w:autoSpaceDN w:val="0"/>
        <w:adjustRightInd w:val="0"/>
        <w:spacing w:after="0" w:line="240" w:lineRule="auto"/>
      </w:pPr>
      <w:r>
        <w:t xml:space="preserve">To update an existing item, one essentially does the same thing as shown, except you use the </w:t>
      </w:r>
      <w:proofErr w:type="spellStart"/>
      <w:r>
        <w:t>UpdateItem</w:t>
      </w:r>
      <w:proofErr w:type="spellEnd"/>
      <w:r>
        <w:t xml:space="preserve"> SDK method instead of </w:t>
      </w:r>
      <w:proofErr w:type="spellStart"/>
      <w:r>
        <w:t>NewItem</w:t>
      </w:r>
      <w:proofErr w:type="spellEnd"/>
      <w:r>
        <w:t>.</w:t>
      </w:r>
    </w:p>
    <w:p w:rsidR="003850F8" w:rsidRDefault="003850F8" w:rsidP="00577295">
      <w:pPr>
        <w:autoSpaceDE w:val="0"/>
        <w:autoSpaceDN w:val="0"/>
        <w:adjustRightInd w:val="0"/>
        <w:spacing w:after="0" w:line="240" w:lineRule="auto"/>
      </w:pPr>
    </w:p>
    <w:p w:rsidR="00E20315" w:rsidRDefault="00E20315" w:rsidP="00577295">
      <w:pPr>
        <w:autoSpaceDE w:val="0"/>
        <w:autoSpaceDN w:val="0"/>
        <w:adjustRightInd w:val="0"/>
        <w:spacing w:after="0" w:line="240" w:lineRule="auto"/>
      </w:pPr>
      <w:r>
        <w:t>&lt;</w:t>
      </w:r>
      <w:proofErr w:type="gramStart"/>
      <w:r>
        <w:t>aside</w:t>
      </w:r>
      <w:proofErr w:type="gramEnd"/>
      <w:r>
        <w:t>&gt;</w:t>
      </w:r>
    </w:p>
    <w:p w:rsidR="009231E8" w:rsidRDefault="009231E8" w:rsidP="00577295">
      <w:pPr>
        <w:autoSpaceDE w:val="0"/>
        <w:autoSpaceDN w:val="0"/>
        <w:adjustRightInd w:val="0"/>
        <w:spacing w:after="0" w:line="240" w:lineRule="auto"/>
      </w:pPr>
    </w:p>
    <w:p w:rsidR="009231E8" w:rsidRDefault="009231E8" w:rsidP="00577295">
      <w:pPr>
        <w:autoSpaceDE w:val="0"/>
        <w:autoSpaceDN w:val="0"/>
        <w:adjustRightInd w:val="0"/>
        <w:spacing w:after="0" w:line="240" w:lineRule="auto"/>
      </w:pPr>
      <w:r>
        <w:t xml:space="preserve">The following code in Java is equivalent of the .NET Listing in </w:t>
      </w:r>
      <w:r w:rsidR="008E275F">
        <w:t>3-</w:t>
      </w:r>
      <w:r>
        <w:t xml:space="preserve">4. The </w:t>
      </w:r>
      <w:proofErr w:type="spellStart"/>
      <w:r>
        <w:t>OnlineRequestTemplate</w:t>
      </w:r>
      <w:proofErr w:type="spellEnd"/>
      <w:r>
        <w:t xml:space="preserve"> is generated using the libraries </w:t>
      </w:r>
      <w:proofErr w:type="spellStart"/>
      <w:r>
        <w:t>SimpleRequestTemplate</w:t>
      </w:r>
      <w:proofErr w:type="spellEnd"/>
      <w:r>
        <w:t xml:space="preserve">, and it sets appropriate </w:t>
      </w:r>
      <w:proofErr w:type="spellStart"/>
      <w:r>
        <w:t>UserAuthToken</w:t>
      </w:r>
      <w:proofErr w:type="spellEnd"/>
      <w:r>
        <w:t xml:space="preserve"> and PersonId on the request.</w:t>
      </w:r>
    </w:p>
    <w:p w:rsidR="00284EB2" w:rsidRDefault="00284EB2" w:rsidP="00577295">
      <w:pPr>
        <w:autoSpaceDE w:val="0"/>
        <w:autoSpaceDN w:val="0"/>
        <w:adjustRightInd w:val="0"/>
        <w:spacing w:after="0" w:line="240" w:lineRule="auto"/>
      </w:pPr>
    </w:p>
    <w:p w:rsidR="00E20315" w:rsidRDefault="004E180E" w:rsidP="00577295">
      <w:pPr>
        <w:autoSpaceDE w:val="0"/>
        <w:autoSpaceDN w:val="0"/>
        <w:adjustRightInd w:val="0"/>
        <w:spacing w:after="0" w:line="240" w:lineRule="auto"/>
      </w:pPr>
      <w:r>
        <w:rPr>
          <w:noProof/>
        </w:rPr>
        <w:lastRenderedPageBreak/>
        <w:drawing>
          <wp:inline distT="0" distB="0" distL="0" distR="0" wp14:anchorId="43C467E7" wp14:editId="60D2F02B">
            <wp:extent cx="4467225" cy="3124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467225" cy="3124194"/>
                    </a:xfrm>
                    <a:prstGeom prst="rect">
                      <a:avLst/>
                    </a:prstGeom>
                  </pic:spPr>
                </pic:pic>
              </a:graphicData>
            </a:graphic>
          </wp:inline>
        </w:drawing>
      </w:r>
    </w:p>
    <w:p w:rsidR="00E20315" w:rsidRDefault="008E275F" w:rsidP="00577295">
      <w:pPr>
        <w:autoSpaceDE w:val="0"/>
        <w:autoSpaceDN w:val="0"/>
        <w:adjustRightInd w:val="0"/>
        <w:spacing w:after="0" w:line="240" w:lineRule="auto"/>
      </w:pPr>
      <w:r>
        <w:t>Listing 3-5 Reading Weight Using Java SDK</w:t>
      </w:r>
    </w:p>
    <w:p w:rsidR="00E20315" w:rsidRDefault="00E20315" w:rsidP="00577295">
      <w:pPr>
        <w:autoSpaceDE w:val="0"/>
        <w:autoSpaceDN w:val="0"/>
        <w:adjustRightInd w:val="0"/>
        <w:spacing w:after="0" w:line="240" w:lineRule="auto"/>
      </w:pPr>
      <w:r>
        <w:t>&lt;/aside&gt;</w:t>
      </w:r>
    </w:p>
    <w:p w:rsidR="00151525" w:rsidRDefault="00151525" w:rsidP="00577295">
      <w:pPr>
        <w:autoSpaceDE w:val="0"/>
        <w:autoSpaceDN w:val="0"/>
        <w:adjustRightInd w:val="0"/>
        <w:spacing w:after="0" w:line="240" w:lineRule="auto"/>
      </w:pPr>
    </w:p>
    <w:p w:rsidR="005E572F" w:rsidRDefault="005E572F" w:rsidP="005E572F">
      <w:pPr>
        <w:pStyle w:val="Heading2"/>
      </w:pPr>
      <w:r>
        <w:t>Record Management – Diving deep</w:t>
      </w:r>
    </w:p>
    <w:p w:rsidR="005E572F" w:rsidRPr="005E572F" w:rsidRDefault="005E572F" w:rsidP="00353EB8">
      <w:pPr>
        <w:pStyle w:val="Heading3"/>
      </w:pPr>
      <w:r>
        <w:t>Single Record Application (SRA)</w:t>
      </w:r>
    </w:p>
    <w:p w:rsidR="005E572F" w:rsidRPr="00212B05" w:rsidRDefault="005E572F" w:rsidP="005E572F">
      <w:r>
        <w:t>For an application working with single record, HealthVault provides a simple mechanism to switch to another record using a switch record hyperlink. In order for an application to switch to a different record, the application needs to tell the HealthVault shell to give the user the ability to switch the record and have a pre-configured receiving end-point for HealthVault shell to send the user back to a notification to change the selected record, termed a SELECTEDRECORD. The application redirects the user with the hyperlink URL as in the following example, t</w:t>
      </w:r>
      <w:r w:rsidRPr="00212B05">
        <w:t>he AUTH target implies an authentication request</w:t>
      </w:r>
      <w:r>
        <w:t xml:space="preserve">, the </w:t>
      </w:r>
      <w:r>
        <w:rPr>
          <w:i/>
        </w:rPr>
        <w:t xml:space="preserve">appid </w:t>
      </w:r>
      <w:r>
        <w:t>implies the identifier associated with the calling application</w:t>
      </w:r>
      <w:r w:rsidRPr="00212B05">
        <w:t xml:space="preserve"> and the force</w:t>
      </w:r>
      <w:r>
        <w:t>appauth</w:t>
      </w:r>
      <w:r w:rsidRPr="00212B05">
        <w:t xml:space="preserve"> </w:t>
      </w:r>
      <w:r>
        <w:t xml:space="preserve">string </w:t>
      </w:r>
      <w:r w:rsidRPr="00212B05">
        <w:t>makes sure that the user gets an ability to change the record.</w:t>
      </w:r>
    </w:p>
    <w:p w:rsidR="005E572F" w:rsidRDefault="005E572F" w:rsidP="005E572F">
      <w:pPr>
        <w:rPr>
          <w:rFonts w:ascii="Courier New" w:eastAsia="Times New Roman" w:hAnsi="Courier New" w:cs="Courier New"/>
          <w:color w:val="000000"/>
          <w:sz w:val="20"/>
          <w:szCs w:val="20"/>
        </w:rPr>
      </w:pPr>
      <w:r w:rsidRPr="00795194">
        <w:rPr>
          <w:rFonts w:ascii="Courier New" w:eastAsia="Times New Roman" w:hAnsi="Courier New" w:cs="Courier New"/>
          <w:color w:val="000000"/>
          <w:sz w:val="20"/>
          <w:szCs w:val="20"/>
        </w:rPr>
        <w:t>https://account.healthvault-ppe.com/redirect.aspx?target=</w:t>
      </w:r>
      <w:r w:rsidRPr="00212B05">
        <w:rPr>
          <w:rFonts w:ascii="Courier New" w:eastAsia="Times New Roman" w:hAnsi="Courier New" w:cs="Courier New"/>
          <w:b/>
          <w:color w:val="000000"/>
          <w:sz w:val="20"/>
          <w:szCs w:val="20"/>
        </w:rPr>
        <w:t>AUTH</w:t>
      </w:r>
      <w:r w:rsidRPr="00795194">
        <w:rPr>
          <w:rFonts w:ascii="Courier New" w:eastAsia="Times New Roman" w:hAnsi="Courier New" w:cs="Courier New"/>
          <w:color w:val="000000"/>
          <w:sz w:val="20"/>
          <w:szCs w:val="20"/>
        </w:rPr>
        <w:t>&amp;targetqs=appid%3D82d47a5a-d435-4246-895a-746c475090d3%26</w:t>
      </w:r>
      <w:r w:rsidRPr="00212B05">
        <w:rPr>
          <w:rFonts w:ascii="Courier New" w:eastAsia="Times New Roman" w:hAnsi="Courier New" w:cs="Courier New"/>
          <w:b/>
          <w:bCs/>
          <w:color w:val="000000"/>
          <w:sz w:val="20"/>
          <w:szCs w:val="20"/>
        </w:rPr>
        <w:t>forceappauth</w:t>
      </w:r>
      <w:r w:rsidRPr="00795194">
        <w:rPr>
          <w:rFonts w:ascii="Courier New" w:eastAsia="Times New Roman" w:hAnsi="Courier New" w:cs="Courier New"/>
          <w:color w:val="000000"/>
          <w:sz w:val="20"/>
          <w:szCs w:val="20"/>
        </w:rPr>
        <w:t>%3Dtrue</w:t>
      </w:r>
      <w:r>
        <w:rPr>
          <w:rFonts w:ascii="Courier New" w:eastAsia="Times New Roman" w:hAnsi="Courier New" w:cs="Courier New"/>
          <w:color w:val="000000"/>
          <w:sz w:val="20"/>
          <w:szCs w:val="20"/>
        </w:rPr>
        <w:t xml:space="preserve">. </w:t>
      </w:r>
    </w:p>
    <w:p w:rsidR="005E572F" w:rsidRDefault="005E572F" w:rsidP="005E572F">
      <w:r w:rsidRPr="00212B05">
        <w:t xml:space="preserve">Using the </w:t>
      </w:r>
      <w:r>
        <w:t xml:space="preserve">HealthVault </w:t>
      </w:r>
      <w:r w:rsidRPr="00212B05">
        <w:t>.NET Web SDK this can be done with following line of code</w:t>
      </w:r>
      <w:r>
        <w:t>. The last variable enables applications to pass any optional parameters which need to pass-through the url redirection.</w:t>
      </w:r>
    </w:p>
    <w:p w:rsidR="005E572F" w:rsidRDefault="005E572F" w:rsidP="005E572F">
      <w:pPr>
        <w:rPr>
          <w:rFonts w:ascii="Courier New" w:hAnsi="Courier New" w:cs="Courier New"/>
          <w:sz w:val="20"/>
          <w:szCs w:val="20"/>
        </w:rPr>
      </w:pPr>
      <w:proofErr w:type="spellStart"/>
      <w:r w:rsidRPr="00795194">
        <w:rPr>
          <w:rFonts w:ascii="Courier New" w:hAnsi="Courier New" w:cs="Courier New"/>
          <w:sz w:val="20"/>
          <w:szCs w:val="20"/>
        </w:rPr>
        <w:t>this.RedirectToShellUrl</w:t>
      </w:r>
      <w:proofErr w:type="spellEnd"/>
      <w:r w:rsidRPr="00795194">
        <w:rPr>
          <w:rFonts w:ascii="Courier New" w:hAnsi="Courier New" w:cs="Courier New"/>
          <w:sz w:val="20"/>
          <w:szCs w:val="20"/>
        </w:rPr>
        <w:t xml:space="preserve">("AUTH", "appid=" + </w:t>
      </w:r>
      <w:proofErr w:type="spellStart"/>
      <w:r w:rsidRPr="00795194">
        <w:rPr>
          <w:rFonts w:ascii="Courier New" w:hAnsi="Courier New" w:cs="Courier New"/>
          <w:sz w:val="20"/>
          <w:szCs w:val="20"/>
        </w:rPr>
        <w:t>this.ApplicationId.ToString</w:t>
      </w:r>
      <w:proofErr w:type="spellEnd"/>
      <w:r w:rsidRPr="00795194">
        <w:rPr>
          <w:rFonts w:ascii="Courier New" w:hAnsi="Courier New" w:cs="Courier New"/>
          <w:sz w:val="20"/>
          <w:szCs w:val="20"/>
        </w:rPr>
        <w:t>() + "&amp;forceappauth=true", "</w:t>
      </w:r>
      <w:proofErr w:type="spellStart"/>
      <w:r w:rsidRPr="00795194">
        <w:rPr>
          <w:rFonts w:ascii="Courier New" w:hAnsi="Courier New" w:cs="Courier New"/>
          <w:sz w:val="20"/>
          <w:szCs w:val="20"/>
        </w:rPr>
        <w:t>passthroughParam</w:t>
      </w:r>
      <w:proofErr w:type="spellEnd"/>
      <w:r w:rsidRPr="00795194">
        <w:rPr>
          <w:rFonts w:ascii="Courier New" w:hAnsi="Courier New" w:cs="Courier New"/>
          <w:sz w:val="20"/>
          <w:szCs w:val="20"/>
        </w:rPr>
        <w:t>=optional");</w:t>
      </w:r>
    </w:p>
    <w:p w:rsidR="005E572F" w:rsidRDefault="005E572F" w:rsidP="005E572F">
      <w:pPr>
        <w:rPr>
          <w:rFonts w:ascii="Courier New" w:hAnsi="Courier New" w:cs="Courier New"/>
          <w:sz w:val="20"/>
          <w:szCs w:val="20"/>
        </w:rPr>
      </w:pPr>
      <w:r w:rsidRPr="00581806">
        <w:t>As a simple example</w:t>
      </w:r>
      <w:r>
        <w:t xml:space="preserve">, </w:t>
      </w:r>
      <w:r w:rsidRPr="00581806">
        <w:t xml:space="preserve">Fig 2.4 shows how one can associate “switch account” functionality to an existing HealthVault application. </w:t>
      </w:r>
      <w:r>
        <w:t xml:space="preserve">Enabling this functionality involves two steps. First is to create an appropriate URL to send the user to HealthVault, Listing </w:t>
      </w:r>
      <w:r w:rsidR="008E275F">
        <w:t>3-6</w:t>
      </w:r>
      <w:r>
        <w:t xml:space="preserve"> shows the associated code. Second step in this process is </w:t>
      </w:r>
      <w:r>
        <w:lastRenderedPageBreak/>
        <w:t xml:space="preserve">to create a receiving URL so that HealthVault can send the user back to your application, Listing </w:t>
      </w:r>
      <w:r w:rsidR="008E275F">
        <w:t>3-7</w:t>
      </w:r>
      <w:r>
        <w:t xml:space="preserve"> shows the associated code required to configure a </w:t>
      </w:r>
      <w:proofErr w:type="spellStart"/>
      <w:r>
        <w:t>SelectedRecordChanged</w:t>
      </w:r>
      <w:proofErr w:type="spellEnd"/>
      <w:r>
        <w:t xml:space="preserve"> end-point page in the HealthVault SDK’s </w:t>
      </w:r>
      <w:proofErr w:type="spellStart"/>
      <w:r>
        <w:t>web.config</w:t>
      </w:r>
      <w:proofErr w:type="spellEnd"/>
      <w:r>
        <w:t xml:space="preserve"> file.</w:t>
      </w:r>
      <w:r w:rsidRPr="00581806" w:rsidDel="00581806">
        <w:t xml:space="preserve"> </w:t>
      </w:r>
      <w:r>
        <w:t>These two steps are relatively simple and can be accomplished with any programming language, section 2.1 explains the HealthVault shell interface and section 3 lists the available libraries.</w:t>
      </w:r>
    </w:p>
    <w:p w:rsidR="005E572F" w:rsidRDefault="005E572F" w:rsidP="005E572F">
      <w:r>
        <w:rPr>
          <w:noProof/>
        </w:rPr>
        <w:drawing>
          <wp:inline distT="0" distB="0" distL="0" distR="0" wp14:anchorId="17548700" wp14:editId="20CBDBA0">
            <wp:extent cx="3262013" cy="74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262089" cy="746167"/>
                    </a:xfrm>
                    <a:prstGeom prst="rect">
                      <a:avLst/>
                    </a:prstGeom>
                  </pic:spPr>
                </pic:pic>
              </a:graphicData>
            </a:graphic>
          </wp:inline>
        </w:drawing>
      </w:r>
    </w:p>
    <w:p w:rsidR="005E572F" w:rsidRDefault="005E572F" w:rsidP="005E572F">
      <w:r>
        <w:t>Fig 2.4. Adding ability to switch accounts.</w:t>
      </w:r>
    </w:p>
    <w:p w:rsidR="005E572F" w:rsidRDefault="005E572F" w:rsidP="005E572F">
      <w:r>
        <w:t xml:space="preserve">In Listing </w:t>
      </w:r>
      <w:r w:rsidR="008E275F">
        <w:t>3-6</w:t>
      </w:r>
      <w:r>
        <w:t xml:space="preserve"> notice the Line 51, we are using the </w:t>
      </w:r>
      <w:proofErr w:type="spellStart"/>
      <w:r>
        <w:t>RedirectToShellUrl</w:t>
      </w:r>
      <w:proofErr w:type="spellEnd"/>
      <w:r>
        <w:t xml:space="preserve"> HealthVault SDK functionality to enable creating the appropriate redirection URL for HealthVault.</w:t>
      </w:r>
    </w:p>
    <w:p w:rsidR="005E572F" w:rsidRDefault="005E572F" w:rsidP="005E572F">
      <w:r>
        <w:rPr>
          <w:noProof/>
        </w:rPr>
        <w:drawing>
          <wp:inline distT="0" distB="0" distL="0" distR="0" wp14:anchorId="47B54DAF" wp14:editId="11721422">
            <wp:extent cx="5859475" cy="747459"/>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896212" cy="752145"/>
                    </a:xfrm>
                    <a:prstGeom prst="rect">
                      <a:avLst/>
                    </a:prstGeom>
                  </pic:spPr>
                </pic:pic>
              </a:graphicData>
            </a:graphic>
          </wp:inline>
        </w:drawing>
      </w:r>
    </w:p>
    <w:p w:rsidR="005E572F" w:rsidRDefault="005E572F" w:rsidP="005E572F">
      <w:r>
        <w:t xml:space="preserve">Listing </w:t>
      </w:r>
      <w:r w:rsidR="008E275F">
        <w:t>3-6</w:t>
      </w:r>
      <w:r>
        <w:t xml:space="preserve"> Adding Redirect Url in </w:t>
      </w:r>
      <w:proofErr w:type="spellStart"/>
      <w:r>
        <w:t>Default.aspx.cs</w:t>
      </w:r>
      <w:proofErr w:type="spellEnd"/>
    </w:p>
    <w:p w:rsidR="005E572F" w:rsidRDefault="005E572F" w:rsidP="005E572F">
      <w:r>
        <w:t xml:space="preserve">In Listing </w:t>
      </w:r>
      <w:r w:rsidR="008E275F">
        <w:t>3-7</w:t>
      </w:r>
      <w:r>
        <w:t xml:space="preserve">, we are creating a key in </w:t>
      </w:r>
      <w:proofErr w:type="spellStart"/>
      <w:r>
        <w:t>web.config</w:t>
      </w:r>
      <w:proofErr w:type="spellEnd"/>
      <w:r>
        <w:t xml:space="preserve"> file to associate a receiving end-point for selected record changed action. In the next section, we explain the HealthVault shell interface in detail. </w:t>
      </w:r>
    </w:p>
    <w:p w:rsidR="005E572F" w:rsidRDefault="005E572F" w:rsidP="005E572F">
      <w:r>
        <w:rPr>
          <w:noProof/>
        </w:rPr>
        <w:drawing>
          <wp:inline distT="0" distB="0" distL="0" distR="0" wp14:anchorId="607B22DC" wp14:editId="6EF528D6">
            <wp:extent cx="541972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419725" cy="400050"/>
                    </a:xfrm>
                    <a:prstGeom prst="rect">
                      <a:avLst/>
                    </a:prstGeom>
                  </pic:spPr>
                </pic:pic>
              </a:graphicData>
            </a:graphic>
          </wp:inline>
        </w:drawing>
      </w:r>
    </w:p>
    <w:p w:rsidR="005E572F" w:rsidRDefault="005E572F" w:rsidP="005E572F">
      <w:r>
        <w:t xml:space="preserve">Listing </w:t>
      </w:r>
      <w:r w:rsidR="008E275F">
        <w:t>3-7</w:t>
      </w:r>
      <w:r>
        <w:t xml:space="preserve"> Handling </w:t>
      </w:r>
      <w:proofErr w:type="spellStart"/>
      <w:r>
        <w:t>SelectRecordChanged</w:t>
      </w:r>
      <w:proofErr w:type="spellEnd"/>
      <w:r>
        <w:t xml:space="preserve"> Target in </w:t>
      </w:r>
      <w:proofErr w:type="spellStart"/>
      <w:r>
        <w:t>Web.Config</w:t>
      </w:r>
      <w:proofErr w:type="spellEnd"/>
    </w:p>
    <w:p w:rsidR="005E572F" w:rsidRPr="005E572F" w:rsidRDefault="005E572F" w:rsidP="00353EB8">
      <w:pPr>
        <w:pStyle w:val="Heading3"/>
      </w:pPr>
      <w:r>
        <w:t>Multiple Record Application (MRA)</w:t>
      </w:r>
    </w:p>
    <w:p w:rsidR="005E572F" w:rsidRPr="006D48FD" w:rsidRDefault="005E572F" w:rsidP="005E572F">
      <w:pPr>
        <w:rPr>
          <w:b/>
          <w:bCs/>
        </w:rPr>
      </w:pPr>
      <w:r>
        <w:t xml:space="preserve">The Mayo Clinic health manager works with all the records associated with the account and it termed as a multiple record application (MRA).  As illustrated in Fig </w:t>
      </w:r>
      <w:r w:rsidR="008E275F">
        <w:t>3-6</w:t>
      </w:r>
      <w:r>
        <w:t>, I can switch from my record to my Mom’s record seamlessly within the Mayo Clinic application. This flexibility can be achieved in a</w:t>
      </w:r>
      <w:r w:rsidRPr="00B450F8">
        <w:t xml:space="preserve">n application </w:t>
      </w:r>
      <w:r>
        <w:t>by including</w:t>
      </w:r>
      <w:r w:rsidRPr="00B450F8">
        <w:t xml:space="preserve"> </w:t>
      </w:r>
      <w:proofErr w:type="spellStart"/>
      <w:r w:rsidRPr="0005726C">
        <w:t>IsMRA</w:t>
      </w:r>
      <w:proofErr w:type="spellEnd"/>
      <w:r w:rsidRPr="00B450F8">
        <w:t xml:space="preserve">=true </w:t>
      </w:r>
      <w:r>
        <w:t>while communicating with HealthVault Shell’s Authentication (AUTH) mechanism, as detailed in Section 2.1</w:t>
      </w:r>
      <w:r w:rsidRPr="00B450F8">
        <w:t>.</w:t>
      </w:r>
      <w:r>
        <w:t xml:space="preserve"> Using this capability the application can then authenticate multiple records at the same time, and make requests to access health information for each one of them.  For the </w:t>
      </w:r>
      <w:r w:rsidR="004D744E">
        <w:t>application to</w:t>
      </w:r>
      <w:r>
        <w:t xml:space="preserve"> remember the previous active record before the switch any associated record, it should store the current record identifier in the application settings associated with the person before making the switch.</w:t>
      </w:r>
    </w:p>
    <w:p w:rsidR="005E572F" w:rsidRDefault="005E572F" w:rsidP="005E572F"/>
    <w:p w:rsidR="005E572F" w:rsidRDefault="005E572F" w:rsidP="005E572F">
      <w:r>
        <w:rPr>
          <w:noProof/>
        </w:rPr>
        <w:lastRenderedPageBreak/>
        <w:drawing>
          <wp:inline distT="0" distB="0" distL="0" distR="0" wp14:anchorId="4E2C8E8E" wp14:editId="1E65BE52">
            <wp:extent cx="2533650" cy="1928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2532902" cy="1928201"/>
                    </a:xfrm>
                    <a:prstGeom prst="rect">
                      <a:avLst/>
                    </a:prstGeom>
                  </pic:spPr>
                </pic:pic>
              </a:graphicData>
            </a:graphic>
          </wp:inline>
        </w:drawing>
      </w:r>
    </w:p>
    <w:p w:rsidR="005E572F" w:rsidRDefault="005E572F" w:rsidP="005E572F">
      <w:r>
        <w:t xml:space="preserve">Fig </w:t>
      </w:r>
      <w:r w:rsidR="008E275F">
        <w:t>3-6</w:t>
      </w:r>
      <w:r>
        <w:t>. An application working with multiple records</w:t>
      </w:r>
    </w:p>
    <w:p w:rsidR="005E572F" w:rsidRPr="005E572F" w:rsidRDefault="005E572F" w:rsidP="005E572F"/>
    <w:p w:rsidR="00151525" w:rsidRDefault="00151525" w:rsidP="00151525">
      <w:pPr>
        <w:pStyle w:val="Heading1"/>
      </w:pPr>
      <w:r>
        <w:t>HealthVault SDK</w:t>
      </w:r>
      <w:r w:rsidR="004F4EC4">
        <w:t xml:space="preserve"> and Open Source Libraries</w:t>
      </w:r>
    </w:p>
    <w:p w:rsidR="004F4EC4" w:rsidRDefault="004F4EC4" w:rsidP="00CF4438">
      <w:r>
        <w:t>The HealthVault team offers a .NET SDK [link]. Additionally</w:t>
      </w:r>
      <w:r w:rsidR="00352017">
        <w:t>,</w:t>
      </w:r>
      <w:r>
        <w:t xml:space="preserve"> a number of open-source libraries offer </w:t>
      </w:r>
      <w:r w:rsidR="00352017">
        <w:t xml:space="preserve">higher-level </w:t>
      </w:r>
      <w:r>
        <w:t xml:space="preserve">abstractions for interacting with the HealthVault platform. </w:t>
      </w:r>
      <w:r w:rsidR="00352017">
        <w:t>T</w:t>
      </w:r>
      <w:r>
        <w:t>his section outline</w:t>
      </w:r>
      <w:r w:rsidR="00352017">
        <w:t>s</w:t>
      </w:r>
      <w:r>
        <w:t xml:space="preserve"> the level of abstractions available in each of these.</w:t>
      </w:r>
    </w:p>
    <w:p w:rsidR="004F4EC4" w:rsidRDefault="004F4EC4" w:rsidP="00CF4438">
      <w:pPr>
        <w:pStyle w:val="Heading2"/>
      </w:pPr>
      <w:r>
        <w:t>HealthVault .NET SDK</w:t>
      </w:r>
    </w:p>
    <w:p w:rsidR="00947E8C" w:rsidRDefault="004F4EC4" w:rsidP="00CF4438">
      <w:r>
        <w:t>The HealthVault .NET SDK is the official SDK available from Microsoft for working with</w:t>
      </w:r>
      <w:r w:rsidR="004C4A83">
        <w:t xml:space="preserve"> the</w:t>
      </w:r>
      <w:r>
        <w:t xml:space="preserve"> HealthVault platform [link]. The HealthVault team maintains this SDK and provides interfaces for all HealthVault interfaces. </w:t>
      </w:r>
    </w:p>
    <w:p w:rsidR="00947E8C" w:rsidRDefault="00947E8C" w:rsidP="00CF4438">
      <w:r>
        <w:t xml:space="preserve">This SDK does not support the HealthVault Client APIs for mobile phones, </w:t>
      </w:r>
      <w:r w:rsidR="004C4A83">
        <w:t xml:space="preserve">but </w:t>
      </w:r>
      <w:r>
        <w:t>it does support the HealthVault Client APIs for Windows Applications. The Shell Redirect Interface is supported</w:t>
      </w:r>
      <w:r w:rsidR="00FC6C85">
        <w:t>,</w:t>
      </w:r>
      <w:r>
        <w:t xml:space="preserve"> but not all </w:t>
      </w:r>
      <w:r w:rsidR="002870EF">
        <w:t xml:space="preserve">capabilities </w:t>
      </w:r>
      <w:r>
        <w:t xml:space="preserve">are supported. Notably, this is the only SDK </w:t>
      </w:r>
      <w:r w:rsidR="00FC6C85">
        <w:t xml:space="preserve">that </w:t>
      </w:r>
      <w:r>
        <w:t xml:space="preserve">supports </w:t>
      </w:r>
      <w:r w:rsidR="003E6A39">
        <w:t xml:space="preserve">signing health items and </w:t>
      </w:r>
      <w:r>
        <w:t>streaming large files to HealthVault. HealthVault use</w:t>
      </w:r>
      <w:r w:rsidR="00FC6C85">
        <w:t>s</w:t>
      </w:r>
      <w:r>
        <w:t xml:space="preserve"> Azure</w:t>
      </w:r>
      <w:r w:rsidR="00FC6C85">
        <w:t>, Microsoft’s cloud storage service,</w:t>
      </w:r>
      <w:r>
        <w:t xml:space="preserve"> to store these large files.</w:t>
      </w:r>
    </w:p>
    <w:p w:rsidR="00947E8C" w:rsidRDefault="00947E8C" w:rsidP="00CF4438">
      <w:r>
        <w:t xml:space="preserve">Throughout this book, we will be looking at </w:t>
      </w:r>
      <w:r w:rsidR="00FC6C85">
        <w:t xml:space="preserve">code that </w:t>
      </w:r>
      <w:r>
        <w:t>us</w:t>
      </w:r>
      <w:r w:rsidR="00FC6C85">
        <w:t>es</w:t>
      </w:r>
      <w:r>
        <w:t xml:space="preserve"> this SDK, and refer</w:t>
      </w:r>
      <w:r w:rsidR="00FC6C85">
        <w:t xml:space="preserve"> to it </w:t>
      </w:r>
      <w:r>
        <w:t xml:space="preserve">as </w:t>
      </w:r>
      <w:r w:rsidR="00FC6C85">
        <w:t xml:space="preserve">the </w:t>
      </w:r>
      <w:r w:rsidR="003E6A39">
        <w:t>HealthVault</w:t>
      </w:r>
      <w:r>
        <w:t xml:space="preserve"> .NET SDK.</w:t>
      </w:r>
      <w:r w:rsidR="00FC6C85">
        <w:t xml:space="preserve"> </w:t>
      </w:r>
      <w:r>
        <w:t xml:space="preserve">Officially each major release of this SDK is supported for two years, and the SDK is currently compatible with .NET framework version 2.0. </w:t>
      </w:r>
    </w:p>
    <w:p w:rsidR="00947E8C" w:rsidRPr="004F4EC4" w:rsidRDefault="00947E8C" w:rsidP="00CF4438">
      <w:r>
        <w:t>The source code of this SDK is available for reference, but the license terms don’t allow modif</w:t>
      </w:r>
      <w:r w:rsidR="00FC6C85">
        <w:t>ications to</w:t>
      </w:r>
      <w:r>
        <w:t xml:space="preserve"> the SDK.</w:t>
      </w:r>
    </w:p>
    <w:p w:rsidR="00151525" w:rsidRDefault="00CF4438" w:rsidP="00CF4438">
      <w:pPr>
        <w:pStyle w:val="Heading2"/>
      </w:pPr>
      <w:r>
        <w:t>HealthVault Open Source</w:t>
      </w:r>
      <w:r w:rsidR="00947E8C">
        <w:t xml:space="preserve"> Java SDK</w:t>
      </w:r>
    </w:p>
    <w:p w:rsidR="00947E8C" w:rsidRDefault="003E6A39" w:rsidP="00CF4438">
      <w:r>
        <w:t xml:space="preserve">This is the second most popular SDK for </w:t>
      </w:r>
      <w:r w:rsidR="007579E8">
        <w:t xml:space="preserve">the </w:t>
      </w:r>
      <w:r>
        <w:t>HealthVault platform.</w:t>
      </w:r>
      <w:r w:rsidR="007579E8">
        <w:t xml:space="preserve"> </w:t>
      </w:r>
      <w:r w:rsidR="00947E8C">
        <w:t xml:space="preserve">The HealthVault open source Java SDK is available under a very permissive open source license [link]. This SDK was developed by </w:t>
      </w:r>
      <w:r>
        <w:t>members</w:t>
      </w:r>
      <w:r w:rsidR="00947E8C">
        <w:t xml:space="preserve"> of HealthVault team and provides </w:t>
      </w:r>
      <w:r w:rsidR="00B36709">
        <w:t>interfaces for most HealthVault interfaces.</w:t>
      </w:r>
      <w:r w:rsidR="003252DB">
        <w:t xml:space="preserve"> The source code of the SDK is </w:t>
      </w:r>
      <w:r w:rsidR="003252DB">
        <w:lastRenderedPageBreak/>
        <w:t>available under the Microsoft Public license, and modifications and redistribution of this code are permitted for commercial and non-commercials purposes.</w:t>
      </w:r>
    </w:p>
    <w:p w:rsidR="00B36709" w:rsidRDefault="00BF11D9" w:rsidP="00CF4438">
      <w:r>
        <w:t>Notably</w:t>
      </w:r>
      <w:r w:rsidR="007579E8">
        <w:t>,</w:t>
      </w:r>
      <w:r>
        <w:t xml:space="preserve"> this SDK support</w:t>
      </w:r>
      <w:r w:rsidR="007579E8">
        <w:t>s</w:t>
      </w:r>
      <w:r>
        <w:t xml:space="preserve"> the HealthVault Client APIs for Android mobile phones</w:t>
      </w:r>
      <w:r w:rsidR="003E6A39">
        <w:t xml:space="preserve">, and provides a complete abstraction layer for Shell redirect interfaces. </w:t>
      </w:r>
      <w:r w:rsidR="007579E8">
        <w:t>But</w:t>
      </w:r>
      <w:r w:rsidR="003E6A39">
        <w:t xml:space="preserve"> it does not support Patient Connect, asynchronous process</w:t>
      </w:r>
      <w:r w:rsidR="007579E8">
        <w:t>es</w:t>
      </w:r>
      <w:r w:rsidR="003E6A39">
        <w:t>, signing of health items</w:t>
      </w:r>
      <w:r w:rsidR="007579E8">
        <w:t>,</w:t>
      </w:r>
      <w:r w:rsidR="003E6A39">
        <w:t xml:space="preserve"> </w:t>
      </w:r>
      <w:r w:rsidR="007579E8">
        <w:t xml:space="preserve">or </w:t>
      </w:r>
      <w:r w:rsidR="003E6A39">
        <w:t>streaming large files to HealthVault. However</w:t>
      </w:r>
      <w:r w:rsidR="007579E8">
        <w:t>,</w:t>
      </w:r>
      <w:r w:rsidR="003E6A39">
        <w:t xml:space="preserve"> there are samples or documentation available for signing [link]</w:t>
      </w:r>
      <w:r w:rsidR="007579E8">
        <w:t xml:space="preserve"> and</w:t>
      </w:r>
      <w:r w:rsidR="003E6A39">
        <w:t xml:space="preserve"> streaming [link].</w:t>
      </w:r>
    </w:p>
    <w:p w:rsidR="000F2118" w:rsidRDefault="000F2118" w:rsidP="00CF4438">
      <w:r>
        <w:t>Additionally the SDK provide</w:t>
      </w:r>
      <w:r w:rsidR="003252DB">
        <w:t>s</w:t>
      </w:r>
      <w:r>
        <w:t xml:space="preserve"> </w:t>
      </w:r>
      <w:r w:rsidR="003252DB">
        <w:t xml:space="preserve">an </w:t>
      </w:r>
      <w:r>
        <w:t>object wrapper for thing-types using code generation tools</w:t>
      </w:r>
      <w:r w:rsidR="003252DB">
        <w:t>.</w:t>
      </w:r>
      <w:r>
        <w:t xml:space="preserve"> </w:t>
      </w:r>
      <w:r w:rsidR="003252DB">
        <w:t>I</w:t>
      </w:r>
      <w:r>
        <w:t>f these classes don’t meet your need</w:t>
      </w:r>
      <w:r w:rsidR="003252DB">
        <w:t>s,</w:t>
      </w:r>
      <w:r>
        <w:t xml:space="preserve"> you can use the schemas [link] and create suitable wrappers.</w:t>
      </w:r>
    </w:p>
    <w:p w:rsidR="003E6A39" w:rsidRDefault="003E6A39" w:rsidP="00CF4438">
      <w:r>
        <w:t xml:space="preserve">This SDK is fully available for JDK </w:t>
      </w:r>
      <w:proofErr w:type="gramStart"/>
      <w:r>
        <w:t>1.</w:t>
      </w:r>
      <w:r w:rsidR="002870EF">
        <w:t>6,</w:t>
      </w:r>
      <w:proofErr w:type="gramEnd"/>
      <w:r w:rsidR="002870EF">
        <w:t xml:space="preserve"> however raw authentication is supported for JDK 1.4</w:t>
      </w:r>
      <w:r>
        <w:t>. The SDK is community supported</w:t>
      </w:r>
      <w:r w:rsidR="003252DB">
        <w:t>,</w:t>
      </w:r>
      <w:r>
        <w:t xml:space="preserve"> and patches for bug</w:t>
      </w:r>
      <w:r w:rsidR="003252DB">
        <w:t xml:space="preserve"> </w:t>
      </w:r>
      <w:r>
        <w:t>fixes or missing functionality are welcomed.</w:t>
      </w:r>
    </w:p>
    <w:p w:rsidR="00A92466" w:rsidRDefault="00A92466" w:rsidP="00CF4438">
      <w:r>
        <w:t>&lt;aside&gt;</w:t>
      </w:r>
      <w:bookmarkStart w:id="0" w:name="_GoBack"/>
      <w:bookmarkEnd w:id="0"/>
    </w:p>
    <w:p w:rsidR="00A92466" w:rsidRDefault="00A92466" w:rsidP="00CF4438">
      <w:r w:rsidRPr="004268BD">
        <w:rPr>
          <w:rStyle w:val="Heading5Char"/>
        </w:rPr>
        <w:t>Certificate Management</w:t>
      </w:r>
      <w:r>
        <w:t xml:space="preserve"> </w:t>
      </w:r>
    </w:p>
    <w:p w:rsidR="00A92466" w:rsidRDefault="00A92466" w:rsidP="00CF4438">
      <w:r>
        <w:t xml:space="preserve">In case of the .NET SDK and Windows platform the HealthVault SDK offers the Application Manager tool to make it easy to work with public and private key for your application. In case of Java, the best way to handle certificates for the application is to create one using the </w:t>
      </w:r>
      <w:proofErr w:type="spellStart"/>
      <w:r>
        <w:t>keytool</w:t>
      </w:r>
      <w:proofErr w:type="spellEnd"/>
      <w:r>
        <w:t xml:space="preserve"> for the Java Development kit.</w:t>
      </w:r>
    </w:p>
    <w:p w:rsidR="00A92466" w:rsidRDefault="00A92466" w:rsidP="00CF4438">
      <w:r>
        <w:t xml:space="preserve">The following </w:t>
      </w:r>
      <w:proofErr w:type="spellStart"/>
      <w:r>
        <w:t>keytool</w:t>
      </w:r>
      <w:proofErr w:type="spellEnd"/>
      <w:r>
        <w:t xml:space="preserve"> command creates a public and private key pair for your application in the java </w:t>
      </w:r>
      <w:proofErr w:type="spellStart"/>
      <w:r>
        <w:t>keystore</w:t>
      </w:r>
      <w:proofErr w:type="spellEnd"/>
      <w:r>
        <w:t>:</w:t>
      </w:r>
    </w:p>
    <w:p w:rsidR="00A92466" w:rsidRPr="00E20315" w:rsidRDefault="00A92466" w:rsidP="00CF4438">
      <w:pPr>
        <w:rPr>
          <w:rFonts w:ascii="Courier New" w:hAnsi="Courier New" w:cs="Courier New"/>
        </w:rPr>
      </w:pPr>
      <w:proofErr w:type="spellStart"/>
      <w:r w:rsidRPr="00E20315">
        <w:rPr>
          <w:rFonts w:ascii="Courier New" w:hAnsi="Courier New" w:cs="Courier New"/>
        </w:rPr>
        <w:t>keytool</w:t>
      </w:r>
      <w:proofErr w:type="spellEnd"/>
      <w:r w:rsidRPr="00E20315">
        <w:rPr>
          <w:rFonts w:ascii="Courier New" w:hAnsi="Courier New" w:cs="Courier New"/>
        </w:rPr>
        <w:t xml:space="preserve"> -</w:t>
      </w:r>
      <w:proofErr w:type="spellStart"/>
      <w:r w:rsidRPr="00E20315">
        <w:rPr>
          <w:rFonts w:ascii="Courier New" w:hAnsi="Courier New" w:cs="Courier New"/>
        </w:rPr>
        <w:t>genkeypair</w:t>
      </w:r>
      <w:proofErr w:type="spellEnd"/>
      <w:r w:rsidRPr="00E20315">
        <w:rPr>
          <w:rFonts w:ascii="Courier New" w:hAnsi="Courier New" w:cs="Courier New"/>
        </w:rPr>
        <w:t xml:space="preserve"> -</w:t>
      </w:r>
      <w:proofErr w:type="spellStart"/>
      <w:r w:rsidRPr="00E20315">
        <w:rPr>
          <w:rFonts w:ascii="Courier New" w:hAnsi="Courier New" w:cs="Courier New"/>
        </w:rPr>
        <w:t>keyalg</w:t>
      </w:r>
      <w:proofErr w:type="spellEnd"/>
      <w:r w:rsidRPr="00E20315">
        <w:rPr>
          <w:rFonts w:ascii="Courier New" w:hAnsi="Courier New" w:cs="Courier New"/>
        </w:rPr>
        <w:t xml:space="preserve"> RSA -</w:t>
      </w:r>
      <w:proofErr w:type="spellStart"/>
      <w:r w:rsidRPr="00E20315">
        <w:rPr>
          <w:rFonts w:ascii="Courier New" w:hAnsi="Courier New" w:cs="Courier New"/>
        </w:rPr>
        <w:t>keysize</w:t>
      </w:r>
      <w:proofErr w:type="spellEnd"/>
      <w:r w:rsidRPr="00E20315">
        <w:rPr>
          <w:rFonts w:ascii="Courier New" w:hAnsi="Courier New" w:cs="Courier New"/>
        </w:rPr>
        <w:t xml:space="preserve"> 2048 -</w:t>
      </w:r>
      <w:proofErr w:type="spellStart"/>
      <w:r w:rsidRPr="00E20315">
        <w:rPr>
          <w:rFonts w:ascii="Courier New" w:hAnsi="Courier New" w:cs="Courier New"/>
        </w:rPr>
        <w:t>keystore</w:t>
      </w:r>
      <w:proofErr w:type="spellEnd"/>
      <w:r w:rsidRPr="00E20315">
        <w:rPr>
          <w:rFonts w:ascii="Courier New" w:hAnsi="Courier New" w:cs="Courier New"/>
        </w:rPr>
        <w:t xml:space="preserve"> </w:t>
      </w:r>
      <w:proofErr w:type="spellStart"/>
      <w:r w:rsidRPr="00E20315">
        <w:rPr>
          <w:rFonts w:ascii="Courier New" w:hAnsi="Courier New" w:cs="Courier New"/>
        </w:rPr>
        <w:t>keystore</w:t>
      </w:r>
      <w:proofErr w:type="spellEnd"/>
      <w:r w:rsidRPr="00E20315">
        <w:rPr>
          <w:rFonts w:ascii="Courier New" w:hAnsi="Courier New" w:cs="Courier New"/>
        </w:rPr>
        <w:t xml:space="preserve"> -alias java-wildcat -validity 9999</w:t>
      </w:r>
    </w:p>
    <w:p w:rsidR="00A92466" w:rsidRDefault="00A92466" w:rsidP="00CF4438">
      <w:r>
        <w:t xml:space="preserve">Note the algorithm used is RSA and </w:t>
      </w:r>
      <w:proofErr w:type="spellStart"/>
      <w:r>
        <w:t>keysize</w:t>
      </w:r>
      <w:proofErr w:type="spellEnd"/>
      <w:r>
        <w:t xml:space="preserve"> is 2 kilobytes, its recommend to have the </w:t>
      </w:r>
      <w:proofErr w:type="spellStart"/>
      <w:r>
        <w:t>keysize</w:t>
      </w:r>
      <w:proofErr w:type="spellEnd"/>
      <w:r>
        <w:t xml:space="preserve"> as large as your installation supports. The generate</w:t>
      </w:r>
      <w:r w:rsidR="00E20315">
        <w:t>d</w:t>
      </w:r>
      <w:r>
        <w:t xml:space="preserve"> key pair is valid for 9999 days</w:t>
      </w:r>
      <w:r w:rsidR="0037194D">
        <w:t xml:space="preserve">, </w:t>
      </w:r>
      <w:r w:rsidR="00E20315">
        <w:t>and you</w:t>
      </w:r>
      <w:r w:rsidR="0037194D">
        <w:t xml:space="preserve"> can </w:t>
      </w:r>
      <w:r w:rsidR="00E20315">
        <w:t xml:space="preserve">choose to </w:t>
      </w:r>
      <w:r w:rsidR="0037194D">
        <w:t xml:space="preserve">configure it. The name of the key-pair is java-wildcat this needs to be added to hv-application.properties file in the java </w:t>
      </w:r>
      <w:proofErr w:type="spellStart"/>
      <w:r w:rsidR="0037194D">
        <w:t>sdk</w:t>
      </w:r>
      <w:proofErr w:type="spellEnd"/>
      <w:r w:rsidR="0037194D">
        <w:t>.</w:t>
      </w:r>
    </w:p>
    <w:p w:rsidR="00A92466" w:rsidRDefault="0037194D" w:rsidP="00CF4438">
      <w:r>
        <w:t xml:space="preserve">The HealthVault platform needs to have the certificate associated with the public key of your application. The </w:t>
      </w:r>
      <w:proofErr w:type="spellStart"/>
      <w:r>
        <w:t>keytool</w:t>
      </w:r>
      <w:proofErr w:type="spellEnd"/>
      <w:r>
        <w:t xml:space="preserve"> can also be used to export this certificate. Following is a sample command to do the same:</w:t>
      </w:r>
    </w:p>
    <w:p w:rsidR="0037194D" w:rsidRPr="00E20315" w:rsidRDefault="0037194D" w:rsidP="00CF4438">
      <w:pPr>
        <w:rPr>
          <w:rFonts w:ascii="Courier New" w:hAnsi="Courier New" w:cs="Courier New"/>
        </w:rPr>
      </w:pPr>
      <w:proofErr w:type="spellStart"/>
      <w:r w:rsidRPr="00E20315">
        <w:rPr>
          <w:rFonts w:ascii="Courier New" w:hAnsi="Courier New" w:cs="Courier New"/>
        </w:rPr>
        <w:t>keytool</w:t>
      </w:r>
      <w:proofErr w:type="spellEnd"/>
      <w:r w:rsidRPr="00E20315">
        <w:rPr>
          <w:rFonts w:ascii="Courier New" w:hAnsi="Courier New" w:cs="Courier New"/>
        </w:rPr>
        <w:t xml:space="preserve"> -export -alias java-wildcat -</w:t>
      </w:r>
      <w:proofErr w:type="spellStart"/>
      <w:r w:rsidRPr="00E20315">
        <w:rPr>
          <w:rFonts w:ascii="Courier New" w:hAnsi="Courier New" w:cs="Courier New"/>
        </w:rPr>
        <w:t>keystore</w:t>
      </w:r>
      <w:proofErr w:type="spellEnd"/>
      <w:r w:rsidRPr="00E20315">
        <w:rPr>
          <w:rFonts w:ascii="Courier New" w:hAnsi="Courier New" w:cs="Courier New"/>
        </w:rPr>
        <w:t xml:space="preserve"> </w:t>
      </w:r>
      <w:proofErr w:type="spellStart"/>
      <w:r w:rsidRPr="00E20315">
        <w:rPr>
          <w:rFonts w:ascii="Courier New" w:hAnsi="Courier New" w:cs="Courier New"/>
        </w:rPr>
        <w:t>keystore</w:t>
      </w:r>
      <w:proofErr w:type="spellEnd"/>
      <w:r w:rsidRPr="00E20315">
        <w:rPr>
          <w:rFonts w:ascii="Courier New" w:hAnsi="Courier New" w:cs="Courier New"/>
        </w:rPr>
        <w:t xml:space="preserve"> &gt; my-pub.cer</w:t>
      </w:r>
    </w:p>
    <w:p w:rsidR="0037194D" w:rsidRDefault="0037194D" w:rsidP="00CF4438">
      <w:r w:rsidRPr="00E20315">
        <w:t>java-wildcat is the name of the application’s key-pair and its exported as my-pub.cer.</w:t>
      </w:r>
    </w:p>
    <w:p w:rsidR="0037194D" w:rsidRDefault="0037194D" w:rsidP="00CF4438">
      <w:r>
        <w:t>&lt;/aside&gt;</w:t>
      </w:r>
    </w:p>
    <w:p w:rsidR="003E6A39" w:rsidRDefault="00877B79" w:rsidP="00CF4438">
      <w:pPr>
        <w:pStyle w:val="Heading2"/>
      </w:pPr>
      <w:r>
        <w:t xml:space="preserve">HealthVault </w:t>
      </w:r>
      <w:r w:rsidR="00B1327F">
        <w:t>Open Source</w:t>
      </w:r>
      <w:r>
        <w:t xml:space="preserve"> </w:t>
      </w:r>
      <w:r w:rsidR="007C0C7E">
        <w:t>iOS</w:t>
      </w:r>
      <w:r>
        <w:t xml:space="preserve"> </w:t>
      </w:r>
      <w:r w:rsidR="007C0C7E">
        <w:t xml:space="preserve">Mobile </w:t>
      </w:r>
      <w:r>
        <w:t>Library</w:t>
      </w:r>
    </w:p>
    <w:p w:rsidR="00877B79" w:rsidRDefault="007C0C7E" w:rsidP="00CF4438">
      <w:r>
        <w:t>The HealthVault team provides an open source and community supported library for</w:t>
      </w:r>
      <w:r w:rsidR="00FB510A">
        <w:t xml:space="preserve"> the</w:t>
      </w:r>
      <w:r>
        <w:t xml:space="preserve"> iOS platform </w:t>
      </w:r>
      <w:r w:rsidR="003850F8">
        <w:t xml:space="preserve">available at </w:t>
      </w:r>
      <w:hyperlink r:id="rId37" w:history="1">
        <w:r w:rsidR="003850F8">
          <w:rPr>
            <w:rStyle w:val="Hyperlink"/>
          </w:rPr>
          <w:t>https://github.com/microsoft-hsg/HealthVault-Mobile-iOS-Library</w:t>
        </w:r>
      </w:hyperlink>
      <w:r w:rsidR="003850F8" w:rsidDel="003850F8">
        <w:t xml:space="preserve"> </w:t>
      </w:r>
      <w:r>
        <w:t xml:space="preserve">. This library provides </w:t>
      </w:r>
      <w:r>
        <w:lastRenderedPageBreak/>
        <w:t>basic functionality to authenticate mobile clients. It doesn’t provide support for any additional HealthVault features.</w:t>
      </w:r>
    </w:p>
    <w:p w:rsidR="007C0C7E" w:rsidRDefault="0019557F" w:rsidP="00CF4438">
      <w:r>
        <w:t>Applications</w:t>
      </w:r>
      <w:r w:rsidR="007C0C7E">
        <w:t xml:space="preserve"> </w:t>
      </w:r>
      <w:r w:rsidR="00FB510A">
        <w:t xml:space="preserve">such as </w:t>
      </w:r>
      <w:proofErr w:type="spellStart"/>
      <w:r w:rsidR="007C0C7E">
        <w:t>iTriage</w:t>
      </w:r>
      <w:proofErr w:type="spellEnd"/>
      <w:r w:rsidR="00796DBC">
        <w:t xml:space="preserve">, </w:t>
      </w:r>
      <w:hyperlink r:id="rId38" w:history="1">
        <w:r w:rsidR="00796DBC">
          <w:rPr>
            <w:rStyle w:val="Hyperlink"/>
          </w:rPr>
          <w:t>http://www.itriagehealth.com/</w:t>
        </w:r>
      </w:hyperlink>
      <w:proofErr w:type="gramStart"/>
      <w:r w:rsidR="00796DBC">
        <w:t>,</w:t>
      </w:r>
      <w:r w:rsidR="007C0C7E">
        <w:t>have</w:t>
      </w:r>
      <w:proofErr w:type="gramEnd"/>
      <w:r w:rsidR="007C0C7E">
        <w:t xml:space="preserve"> used this library to create HealthVault iOS applications.</w:t>
      </w:r>
    </w:p>
    <w:p w:rsidR="0019557F" w:rsidRDefault="0019557F" w:rsidP="0019557F">
      <w:r>
        <w:t>This library is available under the Apache 2.0 open source license, and modifications and redistribution of this code are permitted for commercial and non-commercials purposes.</w:t>
      </w:r>
    </w:p>
    <w:p w:rsidR="007C0C7E" w:rsidRDefault="007C0C7E" w:rsidP="00CF4438">
      <w:pPr>
        <w:pStyle w:val="Heading2"/>
      </w:pPr>
      <w:r>
        <w:t xml:space="preserve">HealthVault </w:t>
      </w:r>
      <w:proofErr w:type="spellStart"/>
      <w:r>
        <w:t>OpenSource</w:t>
      </w:r>
      <w:proofErr w:type="spellEnd"/>
      <w:r>
        <w:t xml:space="preserve"> </w:t>
      </w:r>
      <w:r w:rsidR="0019557F">
        <w:t>Windows Phone</w:t>
      </w:r>
      <w:r>
        <w:t xml:space="preserve"> Library</w:t>
      </w:r>
    </w:p>
    <w:p w:rsidR="0019557F" w:rsidRDefault="0019557F" w:rsidP="00CF4438">
      <w:r>
        <w:t>Like the iOS library, the Windows Phone library [link] provides</w:t>
      </w:r>
      <w:r w:rsidR="00511201">
        <w:t xml:space="preserve"> an</w:t>
      </w:r>
      <w:r>
        <w:t xml:space="preserve"> authentication abstraction for Windows Phone mobile clients.</w:t>
      </w:r>
      <w:r w:rsidR="00796DBC">
        <w:t xml:space="preserve"> </w:t>
      </w:r>
      <w:r>
        <w:t xml:space="preserve">Applications </w:t>
      </w:r>
      <w:r w:rsidR="00130876">
        <w:t xml:space="preserve">such </w:t>
      </w:r>
      <w:proofErr w:type="spellStart"/>
      <w:proofErr w:type="gramStart"/>
      <w:r>
        <w:t>livescape</w:t>
      </w:r>
      <w:proofErr w:type="spellEnd"/>
      <w:r w:rsidR="00796DBC">
        <w:t>(</w:t>
      </w:r>
      <w:proofErr w:type="gramEnd"/>
      <w:r w:rsidR="00796DBC" w:rsidRPr="00796DBC">
        <w:t xml:space="preserve"> </w:t>
      </w:r>
      <w:hyperlink r:id="rId39" w:history="1">
        <w:r w:rsidR="00796DBC">
          <w:rPr>
            <w:rStyle w:val="Hyperlink"/>
          </w:rPr>
          <w:t>http://livescape.mobi/</w:t>
        </w:r>
      </w:hyperlink>
      <w:r w:rsidR="00796DBC">
        <w:t xml:space="preserve">) </w:t>
      </w:r>
      <w:r>
        <w:t xml:space="preserve"> have used this library to create HealthVault</w:t>
      </w:r>
      <w:r w:rsidR="00375BCF">
        <w:t>-</w:t>
      </w:r>
      <w:r>
        <w:t>enable</w:t>
      </w:r>
      <w:r w:rsidR="00375BCF">
        <w:t>d</w:t>
      </w:r>
      <w:r>
        <w:t xml:space="preserve"> Windows Phone applications.</w:t>
      </w:r>
    </w:p>
    <w:p w:rsidR="0019557F" w:rsidRDefault="0019557F" w:rsidP="0019557F">
      <w:r>
        <w:t>This library is available under the Apache 2.0 open source license, and modifications and redistribution of this code are permitted for commercial and non-commercials purposes.</w:t>
      </w:r>
    </w:p>
    <w:p w:rsidR="0019557F" w:rsidRPr="0019557F" w:rsidRDefault="0019557F" w:rsidP="0019557F">
      <w:r>
        <w:t xml:space="preserve">In Chapter </w:t>
      </w:r>
      <w:r w:rsidR="00B760F4">
        <w:t>5</w:t>
      </w:r>
      <w:r>
        <w:t>, we will walk through a detailed application showing how to work with HealthVault mobile interfaces.</w:t>
      </w:r>
    </w:p>
    <w:p w:rsidR="000133E6" w:rsidRDefault="000133E6" w:rsidP="000133E6">
      <w:pPr>
        <w:pStyle w:val="Heading2"/>
      </w:pPr>
      <w:r>
        <w:t xml:space="preserve">HealthVault </w:t>
      </w:r>
      <w:r w:rsidR="00796DBC">
        <w:t>Open Source</w:t>
      </w:r>
      <w:r>
        <w:t xml:space="preserve"> Python</w:t>
      </w:r>
      <w:r w:rsidR="00FC72E8">
        <w:t>, PHP and Ruby</w:t>
      </w:r>
      <w:r>
        <w:t xml:space="preserve"> Library</w:t>
      </w:r>
    </w:p>
    <w:p w:rsidR="00FC72E8" w:rsidRDefault="00FC72E8" w:rsidP="000133E6">
      <w:r>
        <w:t xml:space="preserve">The HealthVault team has helped create </w:t>
      </w:r>
      <w:r w:rsidR="00796DBC">
        <w:t>Python,</w:t>
      </w:r>
      <w:r>
        <w:t xml:space="preserve"> </w:t>
      </w:r>
      <w:proofErr w:type="gramStart"/>
      <w:r w:rsidR="00A27EDC">
        <w:t xml:space="preserve">PHP </w:t>
      </w:r>
      <w:r>
        <w:t>,</w:t>
      </w:r>
      <w:proofErr w:type="gramEnd"/>
      <w:r>
        <w:t xml:space="preserve"> </w:t>
      </w:r>
      <w:r w:rsidR="00A27EDC">
        <w:t>and R</w:t>
      </w:r>
      <w:r>
        <w:t>uby</w:t>
      </w:r>
      <w:r w:rsidR="00796DBC">
        <w:t xml:space="preserve"> </w:t>
      </w:r>
      <w:r>
        <w:t xml:space="preserve"> libraries. These libraries are primarily driven by partners and provide the basic authentication layer for working with the HealthVault service.</w:t>
      </w:r>
      <w:r w:rsidR="00F90CB2">
        <w:t xml:space="preserve"> </w:t>
      </w:r>
      <w:r>
        <w:t xml:space="preserve">Applications </w:t>
      </w:r>
      <w:r w:rsidR="00F90CB2">
        <w:t xml:space="preserve">such as </w:t>
      </w:r>
      <w:proofErr w:type="spellStart"/>
      <w:r>
        <w:t>TrailX</w:t>
      </w:r>
      <w:proofErr w:type="spellEnd"/>
      <w:r>
        <w:t xml:space="preserve"> (Python), </w:t>
      </w:r>
      <w:proofErr w:type="spellStart"/>
      <w:r>
        <w:t>Teladoc</w:t>
      </w:r>
      <w:proofErr w:type="spellEnd"/>
      <w:r w:rsidR="00796DBC">
        <w:t xml:space="preserve"> </w:t>
      </w:r>
      <w:r>
        <w:t xml:space="preserve">(PHP) and </w:t>
      </w:r>
      <w:proofErr w:type="spellStart"/>
      <w:r>
        <w:t>podfitness</w:t>
      </w:r>
      <w:proofErr w:type="spellEnd"/>
      <w:r w:rsidR="00796DBC">
        <w:t xml:space="preserve"> </w:t>
      </w:r>
      <w:r>
        <w:t>(Ruby) have used these libraries to create successful HealthVault applications.</w:t>
      </w:r>
    </w:p>
    <w:p w:rsidR="00FC72E8" w:rsidRDefault="00FC72E8" w:rsidP="000133E6">
      <w:r>
        <w:t>These libraries are available under the Apache 2.0 open source license, and modifications and redistribution of this code are permitted for commercial and non-commercial purposes.</w:t>
      </w:r>
    </w:p>
    <w:p w:rsidR="00FC72E8" w:rsidRDefault="00A52882" w:rsidP="000133E6">
      <w:r>
        <w:t>Table 2.</w:t>
      </w:r>
      <w:r w:rsidR="00CF4438">
        <w:t>2</w:t>
      </w:r>
      <w:r>
        <w:t xml:space="preserve"> </w:t>
      </w:r>
      <w:r w:rsidR="00F31C61">
        <w:t>s</w:t>
      </w:r>
      <w:r>
        <w:t>ummarizes the functionality available in various HealthVault libraries.</w:t>
      </w:r>
    </w:p>
    <w:tbl>
      <w:tblPr>
        <w:tblStyle w:val="TableGrid"/>
        <w:tblW w:w="0" w:type="auto"/>
        <w:tblLook w:val="04A0" w:firstRow="1" w:lastRow="0" w:firstColumn="1" w:lastColumn="0" w:noHBand="0" w:noVBand="1"/>
      </w:tblPr>
      <w:tblGrid>
        <w:gridCol w:w="1638"/>
        <w:gridCol w:w="1350"/>
        <w:gridCol w:w="1980"/>
        <w:gridCol w:w="2520"/>
        <w:gridCol w:w="2088"/>
      </w:tblGrid>
      <w:tr w:rsidR="00262BCF" w:rsidTr="00CF4438">
        <w:tc>
          <w:tcPr>
            <w:tcW w:w="1638" w:type="dxa"/>
          </w:tcPr>
          <w:p w:rsidR="00262BCF" w:rsidRPr="00173B72" w:rsidRDefault="00262BCF" w:rsidP="000133E6">
            <w:pPr>
              <w:rPr>
                <w:b/>
              </w:rPr>
            </w:pPr>
            <w:r w:rsidRPr="00173B72">
              <w:rPr>
                <w:b/>
              </w:rPr>
              <w:t>SDK library</w:t>
            </w:r>
          </w:p>
        </w:tc>
        <w:tc>
          <w:tcPr>
            <w:tcW w:w="1350" w:type="dxa"/>
          </w:tcPr>
          <w:p w:rsidR="00262BCF" w:rsidRPr="00173B72" w:rsidRDefault="00262BCF" w:rsidP="000133E6">
            <w:pPr>
              <w:rPr>
                <w:b/>
              </w:rPr>
            </w:pPr>
            <w:r w:rsidRPr="00173B72">
              <w:rPr>
                <w:b/>
              </w:rPr>
              <w:t xml:space="preserve">Distribution </w:t>
            </w:r>
          </w:p>
        </w:tc>
        <w:tc>
          <w:tcPr>
            <w:tcW w:w="1980" w:type="dxa"/>
          </w:tcPr>
          <w:p w:rsidR="00262BCF" w:rsidRPr="00173B72" w:rsidRDefault="00262BCF" w:rsidP="000133E6">
            <w:pPr>
              <w:rPr>
                <w:b/>
              </w:rPr>
            </w:pPr>
            <w:r w:rsidRPr="00173B72">
              <w:rPr>
                <w:b/>
              </w:rPr>
              <w:t>Supported Platform</w:t>
            </w:r>
          </w:p>
        </w:tc>
        <w:tc>
          <w:tcPr>
            <w:tcW w:w="2520" w:type="dxa"/>
          </w:tcPr>
          <w:p w:rsidR="00262BCF" w:rsidRPr="00173B72" w:rsidRDefault="00262BCF" w:rsidP="000133E6">
            <w:pPr>
              <w:rPr>
                <w:b/>
              </w:rPr>
            </w:pPr>
            <w:r w:rsidRPr="00173B72">
              <w:rPr>
                <w:b/>
              </w:rPr>
              <w:t>Features Available</w:t>
            </w:r>
          </w:p>
        </w:tc>
        <w:tc>
          <w:tcPr>
            <w:tcW w:w="2088" w:type="dxa"/>
          </w:tcPr>
          <w:p w:rsidR="00262BCF" w:rsidRPr="00173B72" w:rsidRDefault="00262BCF" w:rsidP="000133E6">
            <w:pPr>
              <w:rPr>
                <w:b/>
              </w:rPr>
            </w:pPr>
            <w:r w:rsidRPr="00173B72">
              <w:rPr>
                <w:b/>
              </w:rPr>
              <w:t>License</w:t>
            </w:r>
            <w:r w:rsidR="00CF4438" w:rsidRPr="00173B72">
              <w:rPr>
                <w:b/>
              </w:rPr>
              <w:t xml:space="preserve"> &amp; Support</w:t>
            </w:r>
          </w:p>
        </w:tc>
      </w:tr>
      <w:tr w:rsidR="00262BCF" w:rsidTr="00CF4438">
        <w:tc>
          <w:tcPr>
            <w:tcW w:w="1638" w:type="dxa"/>
          </w:tcPr>
          <w:p w:rsidR="00262BCF" w:rsidRDefault="00262BCF" w:rsidP="000133E6">
            <w:r>
              <w:t xml:space="preserve">HealthVault .NET </w:t>
            </w:r>
          </w:p>
        </w:tc>
        <w:tc>
          <w:tcPr>
            <w:tcW w:w="1350" w:type="dxa"/>
          </w:tcPr>
          <w:p w:rsidR="00262BCF" w:rsidRDefault="00262BCF" w:rsidP="000133E6">
            <w:r>
              <w:t>MSDN</w:t>
            </w:r>
          </w:p>
        </w:tc>
        <w:tc>
          <w:tcPr>
            <w:tcW w:w="1980" w:type="dxa"/>
          </w:tcPr>
          <w:p w:rsidR="00262BCF" w:rsidRDefault="00262BCF" w:rsidP="000133E6">
            <w:r>
              <w:t>Windows XP, Vista, 7 (.NET 2.0)</w:t>
            </w:r>
          </w:p>
        </w:tc>
        <w:tc>
          <w:tcPr>
            <w:tcW w:w="2520" w:type="dxa"/>
          </w:tcPr>
          <w:p w:rsidR="00262BCF" w:rsidRDefault="00262BCF" w:rsidP="000133E6">
            <w:r>
              <w:t>All HealthVault features</w:t>
            </w:r>
          </w:p>
        </w:tc>
        <w:tc>
          <w:tcPr>
            <w:tcW w:w="2088" w:type="dxa"/>
          </w:tcPr>
          <w:p w:rsidR="00262BCF" w:rsidRDefault="00262BCF" w:rsidP="000133E6">
            <w:r>
              <w:t>MS-RL</w:t>
            </w:r>
          </w:p>
          <w:p w:rsidR="00CF4438" w:rsidRDefault="00CF4438" w:rsidP="000133E6">
            <w:r>
              <w:t>Microsoft Supported</w:t>
            </w:r>
          </w:p>
        </w:tc>
      </w:tr>
      <w:tr w:rsidR="00262BCF" w:rsidTr="00CF4438">
        <w:tc>
          <w:tcPr>
            <w:tcW w:w="1638" w:type="dxa"/>
          </w:tcPr>
          <w:p w:rsidR="00262BCF" w:rsidRDefault="00262BCF" w:rsidP="000133E6">
            <w:r>
              <w:t xml:space="preserve">Java </w:t>
            </w:r>
          </w:p>
        </w:tc>
        <w:tc>
          <w:tcPr>
            <w:tcW w:w="1350" w:type="dxa"/>
          </w:tcPr>
          <w:p w:rsidR="00262BCF" w:rsidRDefault="00262BCF" w:rsidP="000133E6">
            <w:r>
              <w:t>Codeplex</w:t>
            </w:r>
          </w:p>
        </w:tc>
        <w:tc>
          <w:tcPr>
            <w:tcW w:w="1980" w:type="dxa"/>
          </w:tcPr>
          <w:p w:rsidR="00262BCF" w:rsidRDefault="00262BCF" w:rsidP="000133E6">
            <w:r>
              <w:t xml:space="preserve">JDK 1.6 </w:t>
            </w:r>
          </w:p>
          <w:p w:rsidR="00262BCF" w:rsidRDefault="00262BCF" w:rsidP="000133E6">
            <w:r>
              <w:t>JDK 1.4 (limited)</w:t>
            </w:r>
          </w:p>
        </w:tc>
        <w:tc>
          <w:tcPr>
            <w:tcW w:w="2520" w:type="dxa"/>
          </w:tcPr>
          <w:p w:rsidR="00262BCF" w:rsidRDefault="00262BCF" w:rsidP="000133E6">
            <w:r>
              <w:t xml:space="preserve">Authentication, Method wrappers, Thing-Type Wrappers. </w:t>
            </w:r>
          </w:p>
        </w:tc>
        <w:tc>
          <w:tcPr>
            <w:tcW w:w="2088" w:type="dxa"/>
          </w:tcPr>
          <w:p w:rsidR="00262BCF" w:rsidRDefault="00262BCF" w:rsidP="000133E6">
            <w:r>
              <w:t>MS-PL</w:t>
            </w:r>
          </w:p>
          <w:p w:rsidR="00CF4438" w:rsidRDefault="00CF4438" w:rsidP="000133E6">
            <w:r>
              <w:t>Community Support</w:t>
            </w:r>
          </w:p>
        </w:tc>
      </w:tr>
      <w:tr w:rsidR="00262BCF" w:rsidTr="00CF4438">
        <w:tc>
          <w:tcPr>
            <w:tcW w:w="1638" w:type="dxa"/>
          </w:tcPr>
          <w:p w:rsidR="00262BCF" w:rsidRDefault="00262BCF" w:rsidP="000133E6">
            <w:r>
              <w:t>Java</w:t>
            </w:r>
          </w:p>
        </w:tc>
        <w:tc>
          <w:tcPr>
            <w:tcW w:w="1350" w:type="dxa"/>
          </w:tcPr>
          <w:p w:rsidR="00262BCF" w:rsidRDefault="00262BCF" w:rsidP="000133E6">
            <w:r>
              <w:t>Codeplex</w:t>
            </w:r>
          </w:p>
        </w:tc>
        <w:tc>
          <w:tcPr>
            <w:tcW w:w="1980" w:type="dxa"/>
          </w:tcPr>
          <w:p w:rsidR="00262BCF" w:rsidRDefault="00262BCF" w:rsidP="000133E6">
            <w:r>
              <w:t>Android (1.6+)</w:t>
            </w:r>
          </w:p>
        </w:tc>
        <w:tc>
          <w:tcPr>
            <w:tcW w:w="2520" w:type="dxa"/>
          </w:tcPr>
          <w:p w:rsidR="00262BCF" w:rsidRDefault="00262BCF" w:rsidP="000133E6">
            <w:r>
              <w:t>Authentication, Thing-type wrappers</w:t>
            </w:r>
          </w:p>
        </w:tc>
        <w:tc>
          <w:tcPr>
            <w:tcW w:w="2088" w:type="dxa"/>
          </w:tcPr>
          <w:p w:rsidR="00262BCF" w:rsidRDefault="00262BCF" w:rsidP="000133E6">
            <w:r>
              <w:t>MS-PL</w:t>
            </w:r>
          </w:p>
          <w:p w:rsidR="00CF4438" w:rsidRDefault="00CF4438" w:rsidP="000133E6">
            <w:r>
              <w:t>Community Support</w:t>
            </w:r>
          </w:p>
        </w:tc>
      </w:tr>
      <w:tr w:rsidR="00262BCF" w:rsidTr="00CF4438">
        <w:tc>
          <w:tcPr>
            <w:tcW w:w="1638" w:type="dxa"/>
          </w:tcPr>
          <w:p w:rsidR="00262BCF" w:rsidRDefault="00262BCF" w:rsidP="000133E6">
            <w:r>
              <w:t>iOS</w:t>
            </w:r>
          </w:p>
        </w:tc>
        <w:tc>
          <w:tcPr>
            <w:tcW w:w="1350" w:type="dxa"/>
          </w:tcPr>
          <w:p w:rsidR="00262BCF" w:rsidRDefault="00262BCF" w:rsidP="000133E6">
            <w:r>
              <w:t>GitHub</w:t>
            </w:r>
          </w:p>
        </w:tc>
        <w:tc>
          <w:tcPr>
            <w:tcW w:w="1980" w:type="dxa"/>
          </w:tcPr>
          <w:p w:rsidR="00262BCF" w:rsidRDefault="00262BCF" w:rsidP="000133E6">
            <w:r>
              <w:t>iOS 4.0+</w:t>
            </w:r>
          </w:p>
        </w:tc>
        <w:tc>
          <w:tcPr>
            <w:tcW w:w="2520" w:type="dxa"/>
          </w:tcPr>
          <w:p w:rsidR="00262BCF" w:rsidRDefault="00262BCF" w:rsidP="000133E6">
            <w:r>
              <w:t>Mobile Authentication</w:t>
            </w:r>
          </w:p>
        </w:tc>
        <w:tc>
          <w:tcPr>
            <w:tcW w:w="2088" w:type="dxa"/>
          </w:tcPr>
          <w:p w:rsidR="00262BCF" w:rsidRDefault="00262BCF" w:rsidP="000133E6">
            <w:r>
              <w:t>Apache 2.0</w:t>
            </w:r>
          </w:p>
          <w:p w:rsidR="00CF4438" w:rsidRDefault="00CF4438" w:rsidP="000133E6">
            <w:r>
              <w:t>Community Support</w:t>
            </w:r>
          </w:p>
        </w:tc>
      </w:tr>
      <w:tr w:rsidR="00262BCF" w:rsidTr="00CF4438">
        <w:tc>
          <w:tcPr>
            <w:tcW w:w="1638" w:type="dxa"/>
          </w:tcPr>
          <w:p w:rsidR="00262BCF" w:rsidRDefault="00262BCF" w:rsidP="000133E6">
            <w:r>
              <w:t>Windows Phone</w:t>
            </w:r>
          </w:p>
        </w:tc>
        <w:tc>
          <w:tcPr>
            <w:tcW w:w="1350" w:type="dxa"/>
          </w:tcPr>
          <w:p w:rsidR="00262BCF" w:rsidRDefault="00262BCF" w:rsidP="000133E6">
            <w:r>
              <w:t>Codeplex</w:t>
            </w:r>
          </w:p>
        </w:tc>
        <w:tc>
          <w:tcPr>
            <w:tcW w:w="1980" w:type="dxa"/>
          </w:tcPr>
          <w:p w:rsidR="00262BCF" w:rsidRDefault="00262BCF" w:rsidP="000133E6">
            <w:r>
              <w:t>Windows Phone 7+</w:t>
            </w:r>
          </w:p>
        </w:tc>
        <w:tc>
          <w:tcPr>
            <w:tcW w:w="2520" w:type="dxa"/>
          </w:tcPr>
          <w:p w:rsidR="00262BCF" w:rsidRDefault="00262BCF" w:rsidP="000133E6">
            <w:r>
              <w:t>Mobile Authentication</w:t>
            </w:r>
          </w:p>
        </w:tc>
        <w:tc>
          <w:tcPr>
            <w:tcW w:w="2088" w:type="dxa"/>
          </w:tcPr>
          <w:p w:rsidR="00262BCF" w:rsidRDefault="00262BCF" w:rsidP="000133E6">
            <w:r>
              <w:t>Apache 2.0</w:t>
            </w:r>
          </w:p>
          <w:p w:rsidR="00CF4438" w:rsidRDefault="00CF4438" w:rsidP="000133E6">
            <w:r>
              <w:t>Community Support</w:t>
            </w:r>
          </w:p>
        </w:tc>
      </w:tr>
      <w:tr w:rsidR="00262BCF" w:rsidTr="00CF4438">
        <w:tc>
          <w:tcPr>
            <w:tcW w:w="1638" w:type="dxa"/>
          </w:tcPr>
          <w:p w:rsidR="00262BCF" w:rsidRDefault="00CF4438" w:rsidP="000133E6">
            <w:r>
              <w:t>Python</w:t>
            </w:r>
          </w:p>
        </w:tc>
        <w:tc>
          <w:tcPr>
            <w:tcW w:w="1350" w:type="dxa"/>
          </w:tcPr>
          <w:p w:rsidR="00262BCF" w:rsidRDefault="00CF4438" w:rsidP="000133E6">
            <w:r>
              <w:t>Google Code</w:t>
            </w:r>
          </w:p>
        </w:tc>
        <w:tc>
          <w:tcPr>
            <w:tcW w:w="1980" w:type="dxa"/>
          </w:tcPr>
          <w:p w:rsidR="00262BCF" w:rsidRDefault="00CF4438" w:rsidP="000133E6">
            <w:r>
              <w:t>Python 2.7</w:t>
            </w:r>
          </w:p>
        </w:tc>
        <w:tc>
          <w:tcPr>
            <w:tcW w:w="2520" w:type="dxa"/>
          </w:tcPr>
          <w:p w:rsidR="00262BCF" w:rsidRDefault="00CF4438" w:rsidP="000133E6">
            <w:r>
              <w:t>Authentication (Basic)</w:t>
            </w:r>
          </w:p>
        </w:tc>
        <w:tc>
          <w:tcPr>
            <w:tcW w:w="2088" w:type="dxa"/>
          </w:tcPr>
          <w:p w:rsidR="00262BCF" w:rsidRDefault="00CF4438" w:rsidP="000133E6">
            <w:r>
              <w:t>Apache 2.0</w:t>
            </w:r>
          </w:p>
          <w:p w:rsidR="00CF4438" w:rsidRDefault="00CF4438" w:rsidP="000133E6">
            <w:r>
              <w:t>Community Support</w:t>
            </w:r>
          </w:p>
        </w:tc>
      </w:tr>
      <w:tr w:rsidR="00CF4438" w:rsidTr="00CF4438">
        <w:tc>
          <w:tcPr>
            <w:tcW w:w="1638" w:type="dxa"/>
          </w:tcPr>
          <w:p w:rsidR="00CF4438" w:rsidRDefault="00CF4438" w:rsidP="000133E6">
            <w:r>
              <w:lastRenderedPageBreak/>
              <w:t>PHP</w:t>
            </w:r>
          </w:p>
        </w:tc>
        <w:tc>
          <w:tcPr>
            <w:tcW w:w="1350" w:type="dxa"/>
          </w:tcPr>
          <w:p w:rsidR="00CF4438" w:rsidRDefault="00CF4438" w:rsidP="000133E6">
            <w:proofErr w:type="spellStart"/>
            <w:r>
              <w:t>SourceForge</w:t>
            </w:r>
            <w:proofErr w:type="spellEnd"/>
          </w:p>
        </w:tc>
        <w:tc>
          <w:tcPr>
            <w:tcW w:w="1980" w:type="dxa"/>
          </w:tcPr>
          <w:p w:rsidR="00CF4438" w:rsidRDefault="00CF4438" w:rsidP="000133E6">
            <w:r>
              <w:t>PHP</w:t>
            </w:r>
          </w:p>
        </w:tc>
        <w:tc>
          <w:tcPr>
            <w:tcW w:w="2520" w:type="dxa"/>
          </w:tcPr>
          <w:p w:rsidR="00CF4438" w:rsidRDefault="00CF4438" w:rsidP="000133E6">
            <w:r>
              <w:t>Authentication (Basic)</w:t>
            </w:r>
          </w:p>
        </w:tc>
        <w:tc>
          <w:tcPr>
            <w:tcW w:w="2088" w:type="dxa"/>
          </w:tcPr>
          <w:p w:rsidR="00CF4438" w:rsidRDefault="00CF4438" w:rsidP="000133E6">
            <w:r>
              <w:t>Apache 2.0</w:t>
            </w:r>
          </w:p>
          <w:p w:rsidR="00CF4438" w:rsidRDefault="00CF4438" w:rsidP="000133E6">
            <w:r>
              <w:t>Community Support</w:t>
            </w:r>
          </w:p>
        </w:tc>
      </w:tr>
      <w:tr w:rsidR="00CF4438" w:rsidTr="00CF4438">
        <w:tc>
          <w:tcPr>
            <w:tcW w:w="1638" w:type="dxa"/>
          </w:tcPr>
          <w:p w:rsidR="00CF4438" w:rsidRDefault="00CF4438" w:rsidP="000133E6">
            <w:r>
              <w:t>Ruby</w:t>
            </w:r>
          </w:p>
        </w:tc>
        <w:tc>
          <w:tcPr>
            <w:tcW w:w="1350" w:type="dxa"/>
          </w:tcPr>
          <w:p w:rsidR="00CF4438" w:rsidRDefault="00CF4438" w:rsidP="000133E6">
            <w:proofErr w:type="spellStart"/>
            <w:r>
              <w:t>RubyForge</w:t>
            </w:r>
            <w:proofErr w:type="spellEnd"/>
          </w:p>
        </w:tc>
        <w:tc>
          <w:tcPr>
            <w:tcW w:w="1980" w:type="dxa"/>
          </w:tcPr>
          <w:p w:rsidR="00CF4438" w:rsidRDefault="00CF4438" w:rsidP="000133E6">
            <w:r>
              <w:t>Ruby</w:t>
            </w:r>
          </w:p>
        </w:tc>
        <w:tc>
          <w:tcPr>
            <w:tcW w:w="2520" w:type="dxa"/>
          </w:tcPr>
          <w:p w:rsidR="00CF4438" w:rsidRDefault="00CF4438" w:rsidP="000133E6">
            <w:r>
              <w:t>Authentication (Basic)</w:t>
            </w:r>
          </w:p>
        </w:tc>
        <w:tc>
          <w:tcPr>
            <w:tcW w:w="2088" w:type="dxa"/>
          </w:tcPr>
          <w:p w:rsidR="00CF4438" w:rsidRDefault="00CF4438" w:rsidP="000133E6">
            <w:r>
              <w:t>Apache 2.0</w:t>
            </w:r>
          </w:p>
          <w:p w:rsidR="00CF4438" w:rsidRDefault="00CF4438" w:rsidP="000133E6">
            <w:r>
              <w:t>Community Support</w:t>
            </w:r>
          </w:p>
        </w:tc>
      </w:tr>
    </w:tbl>
    <w:p w:rsidR="00A52882" w:rsidRPr="007C0C7E" w:rsidRDefault="00173B72" w:rsidP="00173B72">
      <w:pPr>
        <w:jc w:val="center"/>
      </w:pPr>
      <w:r>
        <w:t xml:space="preserve">Table </w:t>
      </w:r>
      <w:r w:rsidR="008E275F">
        <w:t>3-5</w:t>
      </w:r>
      <w:r>
        <w:t xml:space="preserve"> HealthVault SDK and Open Source Libraries</w:t>
      </w:r>
    </w:p>
    <w:p w:rsidR="00151525" w:rsidRDefault="00151525" w:rsidP="00151525">
      <w:pPr>
        <w:pStyle w:val="Heading1"/>
      </w:pPr>
      <w:r>
        <w:t>Interfacing with HealthVault</w:t>
      </w:r>
    </w:p>
    <w:p w:rsidR="00151525" w:rsidRPr="003C083D" w:rsidRDefault="00CF4438" w:rsidP="00151525">
      <w:r>
        <w:t>We touched on the HealthVault APIs and interface; these interfaces are usually combined in multiple ways to create integration architectures with HealthVault.</w:t>
      </w:r>
      <w:r w:rsidR="00DF44DE">
        <w:t xml:space="preserve"> T</w:t>
      </w:r>
      <w:r w:rsidR="00151525">
        <w:t>his section discuss</w:t>
      </w:r>
      <w:r w:rsidR="00DF44DE">
        <w:t>es</w:t>
      </w:r>
      <w:r w:rsidR="00151525">
        <w:t xml:space="preserve"> high</w:t>
      </w:r>
      <w:r w:rsidR="00DF44DE">
        <w:t>-</w:t>
      </w:r>
      <w:r w:rsidR="00151525">
        <w:t xml:space="preserve">level options for integrating applications and devices with HealthVault. This discussion </w:t>
      </w:r>
      <w:r w:rsidR="00DF44DE">
        <w:t>should be</w:t>
      </w:r>
      <w:r w:rsidR="00151525">
        <w:t xml:space="preserve"> useful for understanding different architectural patterns available for interfacing devices and applications with HealthVault.</w:t>
      </w:r>
    </w:p>
    <w:p w:rsidR="00151525" w:rsidRDefault="00151525" w:rsidP="00151525">
      <w:pPr>
        <w:pStyle w:val="Heading2"/>
      </w:pPr>
      <w:r>
        <w:t xml:space="preserve">Device Connectivity </w:t>
      </w:r>
    </w:p>
    <w:p w:rsidR="00151525" w:rsidRDefault="00151525" w:rsidP="00151525">
      <w:r>
        <w:t>As of this writing</w:t>
      </w:r>
      <w:r w:rsidR="008A11A6">
        <w:t>,</w:t>
      </w:r>
      <w:r>
        <w:t xml:space="preserve"> </w:t>
      </w:r>
      <w:r w:rsidR="008A11A6">
        <w:t>more than</w:t>
      </w:r>
      <w:r>
        <w:t xml:space="preserve"> 80 </w:t>
      </w:r>
      <w:r w:rsidR="008A11A6">
        <w:t xml:space="preserve">types of </w:t>
      </w:r>
      <w:r>
        <w:t xml:space="preserve">devices connect with HealthVault.  These devices vary from pedometers and weighing scales to blood pressure meters and pulse </w:t>
      </w:r>
      <w:r w:rsidR="00175058">
        <w:t>o</w:t>
      </w:r>
      <w:r w:rsidR="00CF4438">
        <w:t>ximeter</w:t>
      </w:r>
      <w:r w:rsidR="00175058">
        <w:t>s</w:t>
      </w:r>
      <w:r>
        <w:t xml:space="preserve">. </w:t>
      </w:r>
      <w:r w:rsidR="00175058">
        <w:t xml:space="preserve">Fig </w:t>
      </w:r>
      <w:r w:rsidR="008E275F">
        <w:t>3-7</w:t>
      </w:r>
      <w:r w:rsidR="00175058">
        <w:t xml:space="preserve"> shows the various interfaces available for a device to connect with HealthVault.</w:t>
      </w:r>
    </w:p>
    <w:p w:rsidR="00151525" w:rsidRPr="006C4F92" w:rsidRDefault="006D48FD" w:rsidP="00151525">
      <w:pPr>
        <w:jc w:val="center"/>
      </w:pPr>
      <w:r>
        <w:rPr>
          <w:noProof/>
        </w:rPr>
        <w:drawing>
          <wp:inline distT="0" distB="0" distL="0" distR="0">
            <wp:extent cx="2347786" cy="16685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2351838" cy="1671432"/>
                    </a:xfrm>
                    <a:prstGeom prst="rect">
                      <a:avLst/>
                    </a:prstGeom>
                  </pic:spPr>
                </pic:pic>
              </a:graphicData>
            </a:graphic>
          </wp:inline>
        </w:drawing>
      </w:r>
    </w:p>
    <w:p w:rsidR="006D48FD" w:rsidRDefault="00151525" w:rsidP="006D48FD">
      <w:pPr>
        <w:jc w:val="center"/>
      </w:pPr>
      <w:r>
        <w:t xml:space="preserve">Fig </w:t>
      </w:r>
      <w:r w:rsidR="008E275F">
        <w:t>3-7</w:t>
      </w:r>
      <w:r>
        <w:t>. Interfaces for Device Integration with HealthVault</w:t>
      </w:r>
      <w:r w:rsidR="006D48FD">
        <w:t>.</w:t>
      </w:r>
    </w:p>
    <w:p w:rsidR="00151525" w:rsidRDefault="00151525" w:rsidP="00151525">
      <w:r>
        <w:t>Currently, a large number of devices interface with HealthVault through HealthVault’s Windows client utility</w:t>
      </w:r>
      <w:r w:rsidR="00A86ED6">
        <w:t>,</w:t>
      </w:r>
      <w:r>
        <w:t xml:space="preserve"> called HealthVault Connection Center. HealthVault Connection Center enables device integration using the Windows Portable Devices (WPD) standard. </w:t>
      </w:r>
    </w:p>
    <w:p w:rsidR="00151525" w:rsidRDefault="00151525" w:rsidP="00151525">
      <w:r>
        <w:t xml:space="preserve">If a device already has a Windows device driver, the appropriate data can be communicated to HealthVault using WPD standard. The HealthVault team has a Device Development Kit (DDK) </w:t>
      </w:r>
      <w:r w:rsidR="00A86ED6">
        <w:t xml:space="preserve">that </w:t>
      </w:r>
      <w:r>
        <w:t xml:space="preserve">can be used </w:t>
      </w:r>
      <w:r w:rsidR="00A86ED6">
        <w:t>for</w:t>
      </w:r>
      <w:r>
        <w:t xml:space="preserve"> this integration. </w:t>
      </w:r>
      <w:r w:rsidR="00A86ED6">
        <w:t>It lies outside</w:t>
      </w:r>
      <w:r>
        <w:t xml:space="preserve"> the scope of this </w:t>
      </w:r>
      <w:r w:rsidR="00A86ED6">
        <w:t>book</w:t>
      </w:r>
      <w:r>
        <w:t>.</w:t>
      </w:r>
    </w:p>
    <w:p w:rsidR="00151525" w:rsidRDefault="005A6EFC" w:rsidP="00151525">
      <w:r>
        <w:t>When</w:t>
      </w:r>
      <w:r w:rsidR="00151525">
        <w:t xml:space="preserve"> there are no WPD supported elements for </w:t>
      </w:r>
      <w:r>
        <w:t xml:space="preserve">a </w:t>
      </w:r>
      <w:r w:rsidR="00151525">
        <w:t>device, it can still integrat</w:t>
      </w:r>
      <w:r>
        <w:t>e with HealthVault</w:t>
      </w:r>
      <w:r w:rsidR="00151525">
        <w:t xml:space="preserve"> through HealthVault Connection Center </w:t>
      </w:r>
      <w:r>
        <w:t xml:space="preserve">by sending and receiving </w:t>
      </w:r>
      <w:r w:rsidR="00CD18AE">
        <w:t xml:space="preserve">HealthVault </w:t>
      </w:r>
      <w:r>
        <w:t xml:space="preserve">XML </w:t>
      </w:r>
      <w:r w:rsidR="00151525">
        <w:t>directly</w:t>
      </w:r>
      <w:r w:rsidR="00CD18AE">
        <w:t xml:space="preserve">, Chapter </w:t>
      </w:r>
      <w:r w:rsidR="00B760F4">
        <w:t>4</w:t>
      </w:r>
      <w:r w:rsidR="00CD18AE">
        <w:t xml:space="preserve"> describes the HealthVault data type XML</w:t>
      </w:r>
      <w:r w:rsidR="00151525">
        <w:t xml:space="preserve">. This approach </w:t>
      </w:r>
      <w:r w:rsidR="00CD18AE">
        <w:t>referred to as</w:t>
      </w:r>
      <w:r w:rsidR="00151525">
        <w:t xml:space="preserve"> </w:t>
      </w:r>
      <w:r w:rsidR="00CD18AE">
        <w:t xml:space="preserve">HealthVault </w:t>
      </w:r>
      <w:r w:rsidR="00151525">
        <w:t>XML</w:t>
      </w:r>
      <w:r w:rsidR="00CD18AE">
        <w:t xml:space="preserve"> in Fig </w:t>
      </w:r>
      <w:r w:rsidR="008E275F">
        <w:t>3-7</w:t>
      </w:r>
      <w:r w:rsidR="00151525">
        <w:t>.  The HealthVault DDK has a</w:t>
      </w:r>
      <w:r w:rsidR="009A29E2">
        <w:t>n</w:t>
      </w:r>
      <w:r w:rsidR="00151525">
        <w:t xml:space="preserve"> </w:t>
      </w:r>
      <w:r w:rsidR="009A29E2">
        <w:t>ex</w:t>
      </w:r>
      <w:r w:rsidR="00151525">
        <w:t>ample o</w:t>
      </w:r>
      <w:r w:rsidR="009A29E2">
        <w:t>f</w:t>
      </w:r>
      <w:r w:rsidR="00151525">
        <w:t xml:space="preserve"> how to go about configuring such an interface</w:t>
      </w:r>
      <w:r w:rsidR="00CD18AE">
        <w:t>.</w:t>
      </w:r>
    </w:p>
    <w:p w:rsidR="00151525" w:rsidRDefault="00151525" w:rsidP="00151525">
      <w:r>
        <w:lastRenderedPageBreak/>
        <w:t>In addition to interfacing devices through HealthVault Connection Center, device manufacturers can write their own client application to enable data to upload to HealthVault using the HealthVault Client SDKs. ECG Glove</w:t>
      </w:r>
      <w:r w:rsidR="00796DBC">
        <w:t xml:space="preserve"> which is available at </w:t>
      </w:r>
      <w:hyperlink r:id="rId41" w:history="1">
        <w:r w:rsidR="00796DBC">
          <w:rPr>
            <w:rStyle w:val="Hyperlink"/>
          </w:rPr>
          <w:t>http://ineedmd.com/</w:t>
        </w:r>
      </w:hyperlink>
      <w:proofErr w:type="gramStart"/>
      <w:r w:rsidR="00796DBC">
        <w:t xml:space="preserve">, </w:t>
      </w:r>
      <w:r>
        <w:t xml:space="preserve"> is</w:t>
      </w:r>
      <w:proofErr w:type="gramEnd"/>
      <w:r>
        <w:t xml:space="preserve"> a good example of a device </w:t>
      </w:r>
      <w:r w:rsidR="00881320">
        <w:t xml:space="preserve">that </w:t>
      </w:r>
      <w:r>
        <w:t xml:space="preserve">sends information to HealthVault using this interface. </w:t>
      </w:r>
    </w:p>
    <w:p w:rsidR="00151525" w:rsidRDefault="00151525" w:rsidP="00151525">
      <w:r>
        <w:t xml:space="preserve">Devices </w:t>
      </w:r>
      <w:r w:rsidR="00881320">
        <w:t xml:space="preserve">such as </w:t>
      </w:r>
      <w:r>
        <w:t xml:space="preserve">Fitbit and Withings actually take </w:t>
      </w:r>
      <w:r w:rsidR="00881320">
        <w:t xml:space="preserve">integration </w:t>
      </w:r>
      <w:r>
        <w:t>a step further and interface with HealthVault directly through the cloud using HealthVault APIs.</w:t>
      </w:r>
    </w:p>
    <w:p w:rsidR="00151525" w:rsidRDefault="00151525" w:rsidP="00151525">
      <w:pPr>
        <w:pStyle w:val="Heading3"/>
      </w:pPr>
      <w:r>
        <w:t>Continua</w:t>
      </w:r>
    </w:p>
    <w:p w:rsidR="00FA5322" w:rsidRDefault="00151525" w:rsidP="006D48FD">
      <w:pPr>
        <w:autoSpaceDE w:val="0"/>
        <w:autoSpaceDN w:val="0"/>
        <w:adjustRightInd w:val="0"/>
        <w:spacing w:after="0" w:line="240" w:lineRule="auto"/>
      </w:pPr>
      <w:r w:rsidRPr="00E94532">
        <w:t xml:space="preserve">Continua Health Alliance is a non-profit, open industry organization of </w:t>
      </w:r>
      <w:r>
        <w:t xml:space="preserve">healthcare </w:t>
      </w:r>
      <w:r w:rsidRPr="00E94532">
        <w:t>and technology companies joining together in collaboration to improve the quality of personal connected healthcare. With more than 230 member companies around the</w:t>
      </w:r>
      <w:r>
        <w:t xml:space="preserve"> </w:t>
      </w:r>
      <w:r w:rsidRPr="00E94532">
        <w:t xml:space="preserve">world, </w:t>
      </w:r>
      <w:r>
        <w:t>it is the leading consortium for personal healthcare devices.</w:t>
      </w:r>
      <w:r w:rsidR="00FA5322">
        <w:t xml:space="preserve"> </w:t>
      </w:r>
      <w:r>
        <w:t xml:space="preserve">HealthVault has announced support for Continua drivers will be available in </w:t>
      </w:r>
      <w:r w:rsidR="00543024">
        <w:t xml:space="preserve">the </w:t>
      </w:r>
      <w:r>
        <w:t>future.</w:t>
      </w:r>
      <w:r w:rsidR="006F23BE">
        <w:t xml:space="preserve"> In the future,</w:t>
      </w:r>
      <w:r w:rsidR="00E65963" w:rsidRPr="00E65963">
        <w:t xml:space="preserve"> </w:t>
      </w:r>
      <w:r w:rsidR="006F23BE">
        <w:t>d</w:t>
      </w:r>
      <w:r w:rsidR="00E65963">
        <w:t xml:space="preserve">evices </w:t>
      </w:r>
      <w:r w:rsidR="002870EF">
        <w:t>will be able to</w:t>
      </w:r>
      <w:r w:rsidR="00E65963">
        <w:t xml:space="preserve"> play well in HealthVault and Continua ecosystem either by using the HealthVault Web API or converting data into IEEE 11073 formats.</w:t>
      </w:r>
    </w:p>
    <w:p w:rsidR="00FA5322" w:rsidRDefault="00FA5322" w:rsidP="006D48FD">
      <w:pPr>
        <w:autoSpaceDE w:val="0"/>
        <w:autoSpaceDN w:val="0"/>
        <w:adjustRightInd w:val="0"/>
        <w:spacing w:after="0" w:line="240" w:lineRule="auto"/>
      </w:pPr>
    </w:p>
    <w:p w:rsidR="00151525" w:rsidRDefault="00151525" w:rsidP="00151525">
      <w:r>
        <w:t xml:space="preserve"> Continua is not a standards body, but has identified a set of standards </w:t>
      </w:r>
      <w:r w:rsidR="00543024">
        <w:t>that</w:t>
      </w:r>
      <w:r>
        <w:t xml:space="preserve"> together enable a personal connected healthcare ecosystem. At heart of it is the IEEE 11073 Personal Health Data Standard</w:t>
      </w:r>
      <w:r w:rsidR="00FA5322">
        <w:t>,</w:t>
      </w:r>
      <w:r>
        <w:t xml:space="preserve"> which dictates various data standard profiles for devices ranging from blood pressure cuffs to weighing scales. IEEE 11073 is a data standard and is independent of transport.</w:t>
      </w:r>
    </w:p>
    <w:p w:rsidR="00151525" w:rsidRDefault="00151525" w:rsidP="00151525">
      <w:r>
        <w:t>On the transport layer</w:t>
      </w:r>
      <w:r w:rsidR="00E65963">
        <w:t>,</w:t>
      </w:r>
      <w:r>
        <w:t xml:space="preserve"> Continua supports USB personal Health Class device</w:t>
      </w:r>
      <w:r w:rsidR="00E65963">
        <w:t>s</w:t>
      </w:r>
      <w:r>
        <w:t>, Bluetooth Healthcare device profiles</w:t>
      </w:r>
      <w:r w:rsidR="00E65963">
        <w:t>,</w:t>
      </w:r>
      <w:r>
        <w:t xml:space="preserve"> and other transports as they become complaint in the future.</w:t>
      </w:r>
    </w:p>
    <w:p w:rsidR="00796DBC" w:rsidRDefault="00E65963" w:rsidP="00151525">
      <w:r>
        <w:t xml:space="preserve">Figure </w:t>
      </w:r>
      <w:r w:rsidR="008E275F">
        <w:t>3-8</w:t>
      </w:r>
      <w:r>
        <w:t xml:space="preserve"> shows the interfaces supported by Continua.</w:t>
      </w:r>
    </w:p>
    <w:p w:rsidR="00151525" w:rsidRDefault="00151525" w:rsidP="00151525">
      <w:pPr>
        <w:jc w:val="center"/>
      </w:pPr>
      <w:r>
        <w:rPr>
          <w:noProof/>
        </w:rPr>
        <w:drawing>
          <wp:inline distT="0" distB="0" distL="0" distR="0">
            <wp:extent cx="3848359" cy="2001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849788" cy="2001888"/>
                    </a:xfrm>
                    <a:prstGeom prst="rect">
                      <a:avLst/>
                    </a:prstGeom>
                  </pic:spPr>
                </pic:pic>
              </a:graphicData>
            </a:graphic>
          </wp:inline>
        </w:drawing>
      </w:r>
    </w:p>
    <w:p w:rsidR="00151525" w:rsidRDefault="00151525" w:rsidP="00151525">
      <w:pPr>
        <w:jc w:val="center"/>
      </w:pPr>
      <w:r>
        <w:t xml:space="preserve">Fig </w:t>
      </w:r>
      <w:r w:rsidR="008E275F">
        <w:t>3-8</w:t>
      </w:r>
      <w:r>
        <w:t>. Continua complaint devices</w:t>
      </w:r>
    </w:p>
    <w:p w:rsidR="00151525" w:rsidRDefault="00151525" w:rsidP="00151525">
      <w:pPr>
        <w:pStyle w:val="Heading2"/>
      </w:pPr>
      <w:r>
        <w:t>Application Connectivity</w:t>
      </w:r>
    </w:p>
    <w:p w:rsidR="00151525" w:rsidRDefault="00151525" w:rsidP="00151525">
      <w:r>
        <w:t>As of this writing</w:t>
      </w:r>
      <w:r w:rsidR="009E1062">
        <w:t>,</w:t>
      </w:r>
      <w:r>
        <w:t xml:space="preserve"> there are</w:t>
      </w:r>
      <w:r w:rsidR="009E1062">
        <w:t xml:space="preserve"> more than</w:t>
      </w:r>
      <w:r>
        <w:t xml:space="preserve"> 300 HealthVault applications </w:t>
      </w:r>
      <w:r w:rsidR="002870EF">
        <w:t xml:space="preserve">are </w:t>
      </w:r>
      <w:r>
        <w:t>live in the United States. HealthVault Applications work with the HealthVault personal health data store by using various API</w:t>
      </w:r>
      <w:r w:rsidR="00C63820">
        <w:t>s</w:t>
      </w:r>
      <w:r>
        <w:t xml:space="preserve"> over </w:t>
      </w:r>
      <w:r w:rsidR="00C63820">
        <w:t xml:space="preserve">the </w:t>
      </w:r>
      <w:r>
        <w:t>HTTP protocol</w:t>
      </w:r>
      <w:r w:rsidR="00C63820">
        <w:t xml:space="preserve">, as we have seen with PutThings and </w:t>
      </w:r>
      <w:r w:rsidR="008670A5">
        <w:t>GetThings. Fig</w:t>
      </w:r>
      <w:r>
        <w:t xml:space="preserve"> </w:t>
      </w:r>
      <w:r w:rsidR="008E275F">
        <w:t>3-9</w:t>
      </w:r>
      <w:r>
        <w:t xml:space="preserve"> depicts various ways </w:t>
      </w:r>
      <w:r w:rsidR="00FD26CC">
        <w:t xml:space="preserve">in </w:t>
      </w:r>
      <w:r>
        <w:t>which applications have interfaced with HealthVault</w:t>
      </w:r>
      <w:r w:rsidR="00FD26CC">
        <w:t>,</w:t>
      </w:r>
      <w:r>
        <w:t xml:space="preserve"> depending on their use case.</w:t>
      </w:r>
    </w:p>
    <w:p w:rsidR="00151525" w:rsidRDefault="00151525" w:rsidP="00151525">
      <w:pPr>
        <w:jc w:val="center"/>
      </w:pPr>
      <w:r>
        <w:rPr>
          <w:noProof/>
        </w:rPr>
        <w:lastRenderedPageBreak/>
        <w:drawing>
          <wp:inline distT="0" distB="0" distL="0" distR="0">
            <wp:extent cx="3722296" cy="23252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3720007" cy="2323812"/>
                    </a:xfrm>
                    <a:prstGeom prst="rect">
                      <a:avLst/>
                    </a:prstGeom>
                  </pic:spPr>
                </pic:pic>
              </a:graphicData>
            </a:graphic>
          </wp:inline>
        </w:drawing>
      </w:r>
    </w:p>
    <w:p w:rsidR="00151525" w:rsidRDefault="00151525" w:rsidP="006F23BE">
      <w:pPr>
        <w:jc w:val="center"/>
      </w:pPr>
      <w:r>
        <w:t xml:space="preserve">Fig </w:t>
      </w:r>
      <w:r w:rsidR="008E275F">
        <w:t>3-9</w:t>
      </w:r>
      <w:r>
        <w:t>. Connectivity Types with HealthVault</w:t>
      </w:r>
    </w:p>
    <w:p w:rsidR="00151525" w:rsidRDefault="00151525" w:rsidP="006F23BE">
      <w:r>
        <w:t>The following discussion goes into detail on various modes of connecting with HealthVault depending on the application needs as they pertain to the underlying platform, user consent, authentication</w:t>
      </w:r>
      <w:r w:rsidR="003E41F5">
        <w:t>,</w:t>
      </w:r>
      <w:r>
        <w:t xml:space="preserve"> and user interface.</w:t>
      </w:r>
    </w:p>
    <w:p w:rsidR="00151525" w:rsidRDefault="00151525" w:rsidP="00151525">
      <w:pPr>
        <w:pStyle w:val="Heading3"/>
      </w:pPr>
      <w:r>
        <w:t>Online HealthVault Application</w:t>
      </w:r>
    </w:p>
    <w:p w:rsidR="00151525" w:rsidRDefault="00151525" w:rsidP="00151525">
      <w:r>
        <w:t>In addition to data storage, native HealthVault applications can use HealthVault for user authentication and authorization. Any data access using this mode requires the user’s explicit permission each time the application interacts with HealthVault.</w:t>
      </w:r>
    </w:p>
    <w:p w:rsidR="00151525" w:rsidRDefault="00151525" w:rsidP="00151525">
      <w:r>
        <w:t xml:space="preserve">Mayo Clinic Health </w:t>
      </w:r>
      <w:r w:rsidR="00796DBC">
        <w:t xml:space="preserve">Manager, </w:t>
      </w:r>
      <w:hyperlink r:id="rId44" w:history="1">
        <w:r w:rsidR="00796DBC">
          <w:rPr>
            <w:rStyle w:val="Hyperlink"/>
          </w:rPr>
          <w:t>https://healthmanager.mayoclinic.com/</w:t>
        </w:r>
      </w:hyperlink>
      <w:r w:rsidR="00796DBC">
        <w:t xml:space="preserve">, </w:t>
      </w:r>
      <w:r>
        <w:t xml:space="preserve">is a Native HealthVault application. </w:t>
      </w:r>
    </w:p>
    <w:p w:rsidR="00151525" w:rsidRDefault="00151525" w:rsidP="00151525">
      <w:pPr>
        <w:pStyle w:val="Heading3"/>
      </w:pPr>
      <w:r>
        <w:t>Offline HealthVault Application</w:t>
      </w:r>
    </w:p>
    <w:p w:rsidR="00151525" w:rsidRDefault="00151525" w:rsidP="00151525">
      <w:r>
        <w:t xml:space="preserve">Applications can choose </w:t>
      </w:r>
      <w:r w:rsidR="003E41F5">
        <w:t xml:space="preserve">to </w:t>
      </w:r>
      <w:r>
        <w:t xml:space="preserve">simply store and access data from HealthVault, without using HealthVault as a primary authentication and authorization entity. </w:t>
      </w:r>
    </w:p>
    <w:p w:rsidR="00151525" w:rsidRDefault="00151525" w:rsidP="00151525">
      <w:r>
        <w:t>FitBit</w:t>
      </w:r>
      <w:r w:rsidR="00796DBC">
        <w:t xml:space="preserve">, </w:t>
      </w:r>
      <w:hyperlink r:id="rId45" w:history="1">
        <w:r w:rsidR="00796DBC">
          <w:rPr>
            <w:rStyle w:val="Hyperlink"/>
          </w:rPr>
          <w:t>http://www.fitbit.com/</w:t>
        </w:r>
      </w:hyperlink>
      <w:r w:rsidR="00796DBC">
        <w:t xml:space="preserve">, </w:t>
      </w:r>
      <w:r>
        <w:t xml:space="preserve">is a good example of </w:t>
      </w:r>
      <w:r w:rsidR="003E41F5">
        <w:t xml:space="preserve">an </w:t>
      </w:r>
      <w:r>
        <w:t>offline application. It links a FitBit account with a HealthVault user record and account, and then interacts with health items therein.</w:t>
      </w:r>
    </w:p>
    <w:p w:rsidR="00151525" w:rsidRDefault="00151525" w:rsidP="00151525">
      <w:pPr>
        <w:pStyle w:val="Heading4"/>
      </w:pPr>
      <w:r>
        <w:t>Drop Off Pick Up</w:t>
      </w:r>
    </w:p>
    <w:p w:rsidR="00151525" w:rsidRDefault="00151525" w:rsidP="00151525">
      <w:r>
        <w:t xml:space="preserve">Drop Off Pick Up (DOPU) is analogous to sending a secured fax to HealthVault user. The data flow in this architecture is one </w:t>
      </w:r>
      <w:r w:rsidR="004F1553">
        <w:t>-</w:t>
      </w:r>
      <w:r>
        <w:t xml:space="preserve">way. The application drops the data into HealthVault and the user picks it up. </w:t>
      </w:r>
    </w:p>
    <w:p w:rsidR="00151525" w:rsidRPr="001603A4" w:rsidRDefault="00151525" w:rsidP="00151525">
      <w:r>
        <w:t>If a consumer happens to visit a health care institution and does not intend to have an on-going relationship with the care entity, DOPU provides an effective mechanism for the institution to provide documents.</w:t>
      </w:r>
    </w:p>
    <w:p w:rsidR="00151525" w:rsidRDefault="00151525" w:rsidP="00151525">
      <w:pPr>
        <w:pStyle w:val="Heading4"/>
      </w:pPr>
      <w:r>
        <w:t>Patient Connect</w:t>
      </w:r>
    </w:p>
    <w:p w:rsidR="00151525" w:rsidRDefault="00151525" w:rsidP="00151525">
      <w:r>
        <w:t xml:space="preserve">Some entities don’t intend to maintain a </w:t>
      </w:r>
      <w:r w:rsidR="004D0A22">
        <w:t xml:space="preserve">public facing </w:t>
      </w:r>
      <w:r>
        <w:t>web</w:t>
      </w:r>
      <w:r w:rsidR="006C22CC">
        <w:t xml:space="preserve"> </w:t>
      </w:r>
      <w:r>
        <w:t xml:space="preserve">site, but </w:t>
      </w:r>
      <w:r w:rsidR="004D0A22">
        <w:t>would like to</w:t>
      </w:r>
      <w:r>
        <w:t xml:space="preserve"> have an ongoing relationship with their users through HealthVault. Patient connect provides an ideal mechanism for such </w:t>
      </w:r>
      <w:r>
        <w:lastRenderedPageBreak/>
        <w:t>institutions. Via this mechanism</w:t>
      </w:r>
      <w:r w:rsidR="006C22CC">
        <w:t>,</w:t>
      </w:r>
      <w:r>
        <w:t xml:space="preserve"> t</w:t>
      </w:r>
      <w:r w:rsidRPr="001A3CD2">
        <w:t>he user authorizes an application to read or write data to the</w:t>
      </w:r>
      <w:r>
        <w:t>ir HealthVault record through</w:t>
      </w:r>
      <w:r w:rsidRPr="001A3CD2">
        <w:t xml:space="preserve"> </w:t>
      </w:r>
      <w:r w:rsidR="004D0A22" w:rsidRPr="001A3CD2">
        <w:t>a</w:t>
      </w:r>
      <w:r w:rsidR="00A20013">
        <w:t xml:space="preserve"> user interface </w:t>
      </w:r>
      <w:r w:rsidRPr="001A3CD2">
        <w:t>on HealthVault.com.</w:t>
      </w:r>
      <w:r w:rsidRPr="001A3CD2" w:rsidDel="001A3CD2">
        <w:t xml:space="preserve"> </w:t>
      </w:r>
    </w:p>
    <w:p w:rsidR="00151525" w:rsidRPr="00157072" w:rsidRDefault="00151525" w:rsidP="00151525">
      <w:r w:rsidRPr="00481A05">
        <w:t>Clinical systems like Electronic Medical Records commonly use this model to connect to HealthVault, which is why this model is called Patient Connect</w:t>
      </w:r>
      <w:r>
        <w:t>.  It should be noted,</w:t>
      </w:r>
      <w:r w:rsidRPr="00481A05">
        <w:t xml:space="preserve"> however,</w:t>
      </w:r>
      <w:r>
        <w:t xml:space="preserve"> that</w:t>
      </w:r>
      <w:r w:rsidRPr="00481A05">
        <w:t xml:space="preserve"> this model is not limited to clinical systems and can </w:t>
      </w:r>
      <w:r>
        <w:t>be used by any back-end system.</w:t>
      </w:r>
    </w:p>
    <w:p w:rsidR="00151525" w:rsidRDefault="00151525" w:rsidP="00151525">
      <w:pPr>
        <w:pStyle w:val="Heading4"/>
      </w:pPr>
      <w:r>
        <w:t>Client Connectivity</w:t>
      </w:r>
    </w:p>
    <w:p w:rsidR="00151525" w:rsidRDefault="006F23BE" w:rsidP="00151525">
      <w:r>
        <w:t xml:space="preserve">Client Connectivity referred as </w:t>
      </w:r>
      <w:r w:rsidR="00151525" w:rsidRPr="00481A05">
        <w:t xml:space="preserve">Software on Device Authentication (SODA) </w:t>
      </w:r>
      <w:r>
        <w:t xml:space="preserve">enables </w:t>
      </w:r>
      <w:r w:rsidR="00151525" w:rsidRPr="00481A05">
        <w:t xml:space="preserve">applications </w:t>
      </w:r>
      <w:r>
        <w:t>to run on</w:t>
      </w:r>
      <w:r w:rsidRPr="00481A05">
        <w:t xml:space="preserve"> </w:t>
      </w:r>
      <w:r w:rsidR="00151525" w:rsidRPr="00481A05">
        <w:t xml:space="preserve">client </w:t>
      </w:r>
      <w:r>
        <w:t>platforms</w:t>
      </w:r>
      <w:r w:rsidR="00151525" w:rsidRPr="00481A05">
        <w:t xml:space="preserve"> </w:t>
      </w:r>
      <w:r>
        <w:t>like</w:t>
      </w:r>
      <w:r w:rsidR="00151525" w:rsidRPr="00481A05">
        <w:t xml:space="preserve"> desktop or mobile device</w:t>
      </w:r>
      <w:r>
        <w:t>, outside of the web browser</w:t>
      </w:r>
      <w:r w:rsidR="00151525" w:rsidRPr="00481A05">
        <w:t>. Every time a user installs a SODA application, the user must authorize that installation of the application to access their HealthVault record. For instance, if the user is running the same application on both their laptop and desktop, they will need to authorize both installations to access their HealthVault record.</w:t>
      </w:r>
    </w:p>
    <w:p w:rsidR="00151525" w:rsidRDefault="00151525" w:rsidP="00151525">
      <w:r>
        <w:t xml:space="preserve">A number of mobile health applications like </w:t>
      </w:r>
      <w:proofErr w:type="spellStart"/>
      <w:r>
        <w:t>iTriage</w:t>
      </w:r>
      <w:proofErr w:type="spellEnd"/>
      <w:r>
        <w:t xml:space="preserve">, </w:t>
      </w:r>
      <w:proofErr w:type="spellStart"/>
      <w:r>
        <w:t>LiveScape</w:t>
      </w:r>
      <w:proofErr w:type="spellEnd"/>
      <w:r>
        <w:t xml:space="preserve">, and Weight4Me use this architecture. In Chapter </w:t>
      </w:r>
      <w:r w:rsidR="00B760F4">
        <w:t>5</w:t>
      </w:r>
      <w:r>
        <w:t xml:space="preserve"> we will develop a mobile application and do a detailed walk through of the APIs available to </w:t>
      </w:r>
      <w:r w:rsidR="002333C8">
        <w:t xml:space="preserve">use </w:t>
      </w:r>
      <w:r>
        <w:t>this type of interface.</w:t>
      </w:r>
    </w:p>
    <w:p w:rsidR="00151525" w:rsidRDefault="00151525" w:rsidP="00151525">
      <w:pPr>
        <w:pStyle w:val="Heading3"/>
      </w:pPr>
      <w:r>
        <w:t>Direct Integration</w:t>
      </w:r>
    </w:p>
    <w:p w:rsidR="00151525" w:rsidRDefault="00151525" w:rsidP="00151525">
      <w:r>
        <w:t>The Direct project, formerly known as NHIN Direct</w:t>
      </w:r>
      <w:r w:rsidR="00883220">
        <w:t>,</w:t>
      </w:r>
      <w:r>
        <w:t xml:space="preserve"> is </w:t>
      </w:r>
      <w:r w:rsidR="006D48FD">
        <w:t>collaboration</w:t>
      </w:r>
      <w:r>
        <w:t xml:space="preserve"> between the public and private sector to develop a simple, secure</w:t>
      </w:r>
      <w:r w:rsidR="00883220">
        <w:t>,</w:t>
      </w:r>
      <w:r>
        <w:t xml:space="preserve"> and standards</w:t>
      </w:r>
      <w:r w:rsidR="00883220">
        <w:t>-</w:t>
      </w:r>
      <w:r>
        <w:t xml:space="preserve">based method to send encrypted health information directly to known, trusted recipients over the </w:t>
      </w:r>
      <w:r w:rsidR="00883220">
        <w:t>I</w:t>
      </w:r>
      <w:r>
        <w:t>nternet. This project aims at replacing the fax machine in Healthcare. Providers are able to send documents to each other securely.</w:t>
      </w:r>
    </w:p>
    <w:p w:rsidR="00151525" w:rsidRDefault="00151525" w:rsidP="00151525">
      <w:r>
        <w:t xml:space="preserve">Direct integration is the easiest </w:t>
      </w:r>
      <w:r w:rsidR="005F2660">
        <w:t xml:space="preserve">kind of </w:t>
      </w:r>
      <w:r>
        <w:t xml:space="preserve">integration with HealthVault; trusting applications can actually send and receive documents to and from HealthVault using a </w:t>
      </w:r>
      <w:r w:rsidR="005F2660">
        <w:t>D</w:t>
      </w:r>
      <w:r>
        <w:t>irect</w:t>
      </w:r>
      <w:r w:rsidR="005F2660">
        <w:t>-</w:t>
      </w:r>
      <w:r>
        <w:t xml:space="preserve">enabled e-mail address. HealthVault users get an e-mail address in the format [handle]@direct.healthvault.com. As part of its </w:t>
      </w:r>
      <w:r w:rsidR="00F321F7">
        <w:t>D</w:t>
      </w:r>
      <w:r>
        <w:t>irect implementation</w:t>
      </w:r>
      <w:r w:rsidR="00F321F7">
        <w:t>,</w:t>
      </w:r>
      <w:r>
        <w:t xml:space="preserve"> HealthVault </w:t>
      </w:r>
      <w:r w:rsidR="006D48FD">
        <w:t>automatically</w:t>
      </w:r>
      <w:r>
        <w:t xml:space="preserve"> adds any recognized attachments like Clinical Care Document</w:t>
      </w:r>
      <w:r w:rsidR="00F321F7">
        <w:t>s</w:t>
      </w:r>
      <w:r>
        <w:t xml:space="preserve"> or Clinical Care Record</w:t>
      </w:r>
      <w:r w:rsidR="00F321F7">
        <w:t>s</w:t>
      </w:r>
      <w:r>
        <w:t xml:space="preserve"> to the user’s record.</w:t>
      </w:r>
    </w:p>
    <w:p w:rsidR="00151525" w:rsidRPr="0002361D" w:rsidRDefault="00151525" w:rsidP="00151525">
      <w:r>
        <w:t xml:space="preserve">Google Health was able to interface with HealthVault using the Direct integration. For HealthVault to accept e-mails from a new direct domain, the application needs to register the public key with HealthVault. If the application e-mails to </w:t>
      </w:r>
      <w:hyperlink r:id="rId46" w:history="1">
        <w:r w:rsidRPr="004B458C">
          <w:rPr>
            <w:rStyle w:val="Hyperlink"/>
          </w:rPr>
          <w:t>newuser@direct.healthvault.com</w:t>
        </w:r>
      </w:hyperlink>
      <w:r>
        <w:t xml:space="preserve"> with the user’s email address in the subject line</w:t>
      </w:r>
      <w:r w:rsidR="00F321F7">
        <w:t>,</w:t>
      </w:r>
      <w:r>
        <w:t xml:space="preserve"> HealthVault stores the e-mail in a password encrypted package and send an e-mail to the user to associate the dropped off information to </w:t>
      </w:r>
      <w:r w:rsidR="00F321F7">
        <w:t xml:space="preserve">their </w:t>
      </w:r>
      <w:r>
        <w:t>record</w:t>
      </w:r>
      <w:r w:rsidR="00F321F7">
        <w:t>. The user can also</w:t>
      </w:r>
      <w:r>
        <w:t xml:space="preserve"> sign</w:t>
      </w:r>
      <w:r w:rsidR="00F321F7">
        <w:t xml:space="preserve"> </w:t>
      </w:r>
      <w:r>
        <w:t xml:space="preserve">in </w:t>
      </w:r>
      <w:r w:rsidR="00F321F7">
        <w:t xml:space="preserve">to </w:t>
      </w:r>
      <w:r>
        <w:t>their HealthVault record and read the message in HealthVault Message Center.</w:t>
      </w:r>
    </w:p>
    <w:p w:rsidR="00151525" w:rsidRDefault="00151525" w:rsidP="00151525">
      <w:pPr>
        <w:pStyle w:val="Heading3"/>
      </w:pPr>
      <w:r>
        <w:t>Application Provisioning</w:t>
      </w:r>
      <w:r w:rsidR="00F321F7">
        <w:t xml:space="preserve"> and Master Applications</w:t>
      </w:r>
    </w:p>
    <w:p w:rsidR="00151525" w:rsidRPr="00B60A0F" w:rsidRDefault="006F23BE" w:rsidP="00151525">
      <w:r>
        <w:t xml:space="preserve">Application Provisioning </w:t>
      </w:r>
      <w:r w:rsidR="00F321F7">
        <w:t>refers to providing an application in</w:t>
      </w:r>
      <w:r w:rsidR="00151525">
        <w:t xml:space="preserve"> HealthVault</w:t>
      </w:r>
      <w:r w:rsidR="00F321F7">
        <w:t>’s production environment, which the HeathVault</w:t>
      </w:r>
      <w:r w:rsidR="00151525">
        <w:t xml:space="preserve"> team </w:t>
      </w:r>
      <w:r w:rsidR="00F321F7">
        <w:t xml:space="preserve">does </w:t>
      </w:r>
      <w:r w:rsidR="00151525">
        <w:t>for all of connectivity models</w:t>
      </w:r>
      <w:r w:rsidR="00F321F7">
        <w:t xml:space="preserve"> discussed so far</w:t>
      </w:r>
      <w:r w:rsidR="00151525">
        <w:t>. However, in special cases it provides the ability for applications known as “master” applications to provision individual HealthVault “child” applications.</w:t>
      </w:r>
    </w:p>
    <w:p w:rsidR="00151525" w:rsidRDefault="00151525" w:rsidP="00151525">
      <w:r>
        <w:t>Frequently</w:t>
      </w:r>
      <w:r w:rsidR="00F321F7">
        <w:t>,</w:t>
      </w:r>
      <w:r>
        <w:t xml:space="preserve"> solution providers develop HealthVault integration for common scenarios </w:t>
      </w:r>
      <w:r w:rsidR="00F321F7">
        <w:t xml:space="preserve">such as </w:t>
      </w:r>
      <w:r>
        <w:t>uploading lab information or sending clinical care record information from a facilit</w:t>
      </w:r>
      <w:r w:rsidR="00F321F7">
        <w:t>y’s</w:t>
      </w:r>
      <w:r>
        <w:t xml:space="preserve"> electronic medical record </w:t>
      </w:r>
      <w:r>
        <w:lastRenderedPageBreak/>
        <w:t xml:space="preserve">system. These solutions are deployed separately for each institution. The HealthVault team delegates the responsibility for creating these individual application instances to the solution provider </w:t>
      </w:r>
      <w:r w:rsidR="00F321F7">
        <w:t>through</w:t>
      </w:r>
      <w:r>
        <w:t xml:space="preserve"> the Master Application mechanism.</w:t>
      </w:r>
    </w:p>
    <w:p w:rsidR="00151525" w:rsidRPr="008630A1" w:rsidRDefault="00F321F7" w:rsidP="00151525">
      <w:r>
        <w:t>Thus, for instance, if</w:t>
      </w:r>
      <w:r w:rsidR="00151525">
        <w:t xml:space="preserve"> we wanted to deploy an individual instance of a Weight Tracker application per institution, we would use the </w:t>
      </w:r>
      <w:proofErr w:type="spellStart"/>
      <w:r w:rsidR="00151525">
        <w:t>AddApplication</w:t>
      </w:r>
      <w:proofErr w:type="spellEnd"/>
      <w:r w:rsidR="00151525">
        <w:t xml:space="preserve"> API available from the HealthVault Platform. </w:t>
      </w:r>
      <w:r w:rsidR="00A20013">
        <w:t>The Appendix</w:t>
      </w:r>
      <w:r w:rsidR="00151525">
        <w:t xml:space="preserve"> has links to examples and resources </w:t>
      </w:r>
      <w:r>
        <w:t xml:space="preserve">about </w:t>
      </w:r>
      <w:r w:rsidR="00151525">
        <w:t xml:space="preserve">how to create a child application. </w:t>
      </w:r>
    </w:p>
    <w:p w:rsidR="00151525" w:rsidRPr="00151525" w:rsidRDefault="00151525" w:rsidP="00151525"/>
    <w:sectPr w:rsidR="00151525" w:rsidRPr="00151525" w:rsidSect="00742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CBD" w:rsidRDefault="00A36CBD" w:rsidP="00A64BA6">
      <w:pPr>
        <w:spacing w:after="0" w:line="240" w:lineRule="auto"/>
      </w:pPr>
      <w:r>
        <w:separator/>
      </w:r>
    </w:p>
  </w:endnote>
  <w:endnote w:type="continuationSeparator" w:id="0">
    <w:p w:rsidR="00A36CBD" w:rsidRDefault="00A36CBD" w:rsidP="00A6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CBD" w:rsidRDefault="00A36CBD" w:rsidP="00A64BA6">
      <w:pPr>
        <w:spacing w:after="0" w:line="240" w:lineRule="auto"/>
      </w:pPr>
      <w:r>
        <w:separator/>
      </w:r>
    </w:p>
  </w:footnote>
  <w:footnote w:type="continuationSeparator" w:id="0">
    <w:p w:rsidR="00A36CBD" w:rsidRDefault="00A36CBD" w:rsidP="00A64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54244"/>
    <w:multiLevelType w:val="hybridMultilevel"/>
    <w:tmpl w:val="BB2875DE"/>
    <w:lvl w:ilvl="0" w:tplc="388CA910">
      <w:start w:val="1"/>
      <w:numFmt w:val="bullet"/>
      <w:lvlText w:val="•"/>
      <w:lvlJc w:val="left"/>
      <w:pPr>
        <w:tabs>
          <w:tab w:val="num" w:pos="720"/>
        </w:tabs>
        <w:ind w:left="720" w:hanging="360"/>
      </w:pPr>
      <w:rPr>
        <w:rFonts w:ascii="Arial" w:hAnsi="Arial" w:hint="default"/>
      </w:rPr>
    </w:lvl>
    <w:lvl w:ilvl="1" w:tplc="3FD41E00" w:tentative="1">
      <w:start w:val="1"/>
      <w:numFmt w:val="bullet"/>
      <w:lvlText w:val="•"/>
      <w:lvlJc w:val="left"/>
      <w:pPr>
        <w:tabs>
          <w:tab w:val="num" w:pos="1440"/>
        </w:tabs>
        <w:ind w:left="1440" w:hanging="360"/>
      </w:pPr>
      <w:rPr>
        <w:rFonts w:ascii="Arial" w:hAnsi="Arial" w:hint="default"/>
      </w:rPr>
    </w:lvl>
    <w:lvl w:ilvl="2" w:tplc="714A9232" w:tentative="1">
      <w:start w:val="1"/>
      <w:numFmt w:val="bullet"/>
      <w:lvlText w:val="•"/>
      <w:lvlJc w:val="left"/>
      <w:pPr>
        <w:tabs>
          <w:tab w:val="num" w:pos="2160"/>
        </w:tabs>
        <w:ind w:left="2160" w:hanging="360"/>
      </w:pPr>
      <w:rPr>
        <w:rFonts w:ascii="Arial" w:hAnsi="Arial" w:hint="default"/>
      </w:rPr>
    </w:lvl>
    <w:lvl w:ilvl="3" w:tplc="1BE440D6" w:tentative="1">
      <w:start w:val="1"/>
      <w:numFmt w:val="bullet"/>
      <w:lvlText w:val="•"/>
      <w:lvlJc w:val="left"/>
      <w:pPr>
        <w:tabs>
          <w:tab w:val="num" w:pos="2880"/>
        </w:tabs>
        <w:ind w:left="2880" w:hanging="360"/>
      </w:pPr>
      <w:rPr>
        <w:rFonts w:ascii="Arial" w:hAnsi="Arial" w:hint="default"/>
      </w:rPr>
    </w:lvl>
    <w:lvl w:ilvl="4" w:tplc="C3A64A82" w:tentative="1">
      <w:start w:val="1"/>
      <w:numFmt w:val="bullet"/>
      <w:lvlText w:val="•"/>
      <w:lvlJc w:val="left"/>
      <w:pPr>
        <w:tabs>
          <w:tab w:val="num" w:pos="3600"/>
        </w:tabs>
        <w:ind w:left="3600" w:hanging="360"/>
      </w:pPr>
      <w:rPr>
        <w:rFonts w:ascii="Arial" w:hAnsi="Arial" w:hint="default"/>
      </w:rPr>
    </w:lvl>
    <w:lvl w:ilvl="5" w:tplc="C52256D6" w:tentative="1">
      <w:start w:val="1"/>
      <w:numFmt w:val="bullet"/>
      <w:lvlText w:val="•"/>
      <w:lvlJc w:val="left"/>
      <w:pPr>
        <w:tabs>
          <w:tab w:val="num" w:pos="4320"/>
        </w:tabs>
        <w:ind w:left="4320" w:hanging="360"/>
      </w:pPr>
      <w:rPr>
        <w:rFonts w:ascii="Arial" w:hAnsi="Arial" w:hint="default"/>
      </w:rPr>
    </w:lvl>
    <w:lvl w:ilvl="6" w:tplc="D8DABDE0" w:tentative="1">
      <w:start w:val="1"/>
      <w:numFmt w:val="bullet"/>
      <w:lvlText w:val="•"/>
      <w:lvlJc w:val="left"/>
      <w:pPr>
        <w:tabs>
          <w:tab w:val="num" w:pos="5040"/>
        </w:tabs>
        <w:ind w:left="5040" w:hanging="360"/>
      </w:pPr>
      <w:rPr>
        <w:rFonts w:ascii="Arial" w:hAnsi="Arial" w:hint="default"/>
      </w:rPr>
    </w:lvl>
    <w:lvl w:ilvl="7" w:tplc="ABEE5108" w:tentative="1">
      <w:start w:val="1"/>
      <w:numFmt w:val="bullet"/>
      <w:lvlText w:val="•"/>
      <w:lvlJc w:val="left"/>
      <w:pPr>
        <w:tabs>
          <w:tab w:val="num" w:pos="5760"/>
        </w:tabs>
        <w:ind w:left="5760" w:hanging="360"/>
      </w:pPr>
      <w:rPr>
        <w:rFonts w:ascii="Arial" w:hAnsi="Arial" w:hint="default"/>
      </w:rPr>
    </w:lvl>
    <w:lvl w:ilvl="8" w:tplc="0C289794" w:tentative="1">
      <w:start w:val="1"/>
      <w:numFmt w:val="bullet"/>
      <w:lvlText w:val="•"/>
      <w:lvlJc w:val="left"/>
      <w:pPr>
        <w:tabs>
          <w:tab w:val="num" w:pos="6480"/>
        </w:tabs>
        <w:ind w:left="6480" w:hanging="360"/>
      </w:pPr>
      <w:rPr>
        <w:rFonts w:ascii="Arial" w:hAnsi="Arial" w:hint="default"/>
      </w:rPr>
    </w:lvl>
  </w:abstractNum>
  <w:abstractNum w:abstractNumId="1">
    <w:nsid w:val="60980455"/>
    <w:multiLevelType w:val="hybridMultilevel"/>
    <w:tmpl w:val="C8D2AB0C"/>
    <w:lvl w:ilvl="0" w:tplc="9FB6A012">
      <w:start w:val="1"/>
      <w:numFmt w:val="bullet"/>
      <w:lvlText w:val="•"/>
      <w:lvlJc w:val="left"/>
      <w:pPr>
        <w:tabs>
          <w:tab w:val="num" w:pos="720"/>
        </w:tabs>
        <w:ind w:left="720" w:hanging="360"/>
      </w:pPr>
      <w:rPr>
        <w:rFonts w:ascii="Arial" w:hAnsi="Arial" w:hint="default"/>
      </w:rPr>
    </w:lvl>
    <w:lvl w:ilvl="1" w:tplc="49D4D512" w:tentative="1">
      <w:start w:val="1"/>
      <w:numFmt w:val="bullet"/>
      <w:lvlText w:val="•"/>
      <w:lvlJc w:val="left"/>
      <w:pPr>
        <w:tabs>
          <w:tab w:val="num" w:pos="1440"/>
        </w:tabs>
        <w:ind w:left="1440" w:hanging="360"/>
      </w:pPr>
      <w:rPr>
        <w:rFonts w:ascii="Arial" w:hAnsi="Arial" w:hint="default"/>
      </w:rPr>
    </w:lvl>
    <w:lvl w:ilvl="2" w:tplc="A94AF430" w:tentative="1">
      <w:start w:val="1"/>
      <w:numFmt w:val="bullet"/>
      <w:lvlText w:val="•"/>
      <w:lvlJc w:val="left"/>
      <w:pPr>
        <w:tabs>
          <w:tab w:val="num" w:pos="2160"/>
        </w:tabs>
        <w:ind w:left="2160" w:hanging="360"/>
      </w:pPr>
      <w:rPr>
        <w:rFonts w:ascii="Arial" w:hAnsi="Arial" w:hint="default"/>
      </w:rPr>
    </w:lvl>
    <w:lvl w:ilvl="3" w:tplc="92C6414A" w:tentative="1">
      <w:start w:val="1"/>
      <w:numFmt w:val="bullet"/>
      <w:lvlText w:val="•"/>
      <w:lvlJc w:val="left"/>
      <w:pPr>
        <w:tabs>
          <w:tab w:val="num" w:pos="2880"/>
        </w:tabs>
        <w:ind w:left="2880" w:hanging="360"/>
      </w:pPr>
      <w:rPr>
        <w:rFonts w:ascii="Arial" w:hAnsi="Arial" w:hint="default"/>
      </w:rPr>
    </w:lvl>
    <w:lvl w:ilvl="4" w:tplc="0DC21662" w:tentative="1">
      <w:start w:val="1"/>
      <w:numFmt w:val="bullet"/>
      <w:lvlText w:val="•"/>
      <w:lvlJc w:val="left"/>
      <w:pPr>
        <w:tabs>
          <w:tab w:val="num" w:pos="3600"/>
        </w:tabs>
        <w:ind w:left="3600" w:hanging="360"/>
      </w:pPr>
      <w:rPr>
        <w:rFonts w:ascii="Arial" w:hAnsi="Arial" w:hint="default"/>
      </w:rPr>
    </w:lvl>
    <w:lvl w:ilvl="5" w:tplc="186E71D2" w:tentative="1">
      <w:start w:val="1"/>
      <w:numFmt w:val="bullet"/>
      <w:lvlText w:val="•"/>
      <w:lvlJc w:val="left"/>
      <w:pPr>
        <w:tabs>
          <w:tab w:val="num" w:pos="4320"/>
        </w:tabs>
        <w:ind w:left="4320" w:hanging="360"/>
      </w:pPr>
      <w:rPr>
        <w:rFonts w:ascii="Arial" w:hAnsi="Arial" w:hint="default"/>
      </w:rPr>
    </w:lvl>
    <w:lvl w:ilvl="6" w:tplc="20BAC2B4" w:tentative="1">
      <w:start w:val="1"/>
      <w:numFmt w:val="bullet"/>
      <w:lvlText w:val="•"/>
      <w:lvlJc w:val="left"/>
      <w:pPr>
        <w:tabs>
          <w:tab w:val="num" w:pos="5040"/>
        </w:tabs>
        <w:ind w:left="5040" w:hanging="360"/>
      </w:pPr>
      <w:rPr>
        <w:rFonts w:ascii="Arial" w:hAnsi="Arial" w:hint="default"/>
      </w:rPr>
    </w:lvl>
    <w:lvl w:ilvl="7" w:tplc="E794D592" w:tentative="1">
      <w:start w:val="1"/>
      <w:numFmt w:val="bullet"/>
      <w:lvlText w:val="•"/>
      <w:lvlJc w:val="left"/>
      <w:pPr>
        <w:tabs>
          <w:tab w:val="num" w:pos="5760"/>
        </w:tabs>
        <w:ind w:left="5760" w:hanging="360"/>
      </w:pPr>
      <w:rPr>
        <w:rFonts w:ascii="Arial" w:hAnsi="Arial" w:hint="default"/>
      </w:rPr>
    </w:lvl>
    <w:lvl w:ilvl="8" w:tplc="D5F2329A" w:tentative="1">
      <w:start w:val="1"/>
      <w:numFmt w:val="bullet"/>
      <w:lvlText w:val="•"/>
      <w:lvlJc w:val="left"/>
      <w:pPr>
        <w:tabs>
          <w:tab w:val="num" w:pos="6480"/>
        </w:tabs>
        <w:ind w:left="6480" w:hanging="360"/>
      </w:pPr>
      <w:rPr>
        <w:rFonts w:ascii="Arial" w:hAnsi="Arial" w:hint="default"/>
      </w:rPr>
    </w:lvl>
  </w:abstractNum>
  <w:abstractNum w:abstractNumId="2">
    <w:nsid w:val="61750F3C"/>
    <w:multiLevelType w:val="hybridMultilevel"/>
    <w:tmpl w:val="3C9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41F4978"/>
    <w:multiLevelType w:val="hybridMultilevel"/>
    <w:tmpl w:val="6616D098"/>
    <w:lvl w:ilvl="0" w:tplc="E95E45A0">
      <w:start w:val="1"/>
      <w:numFmt w:val="bullet"/>
      <w:lvlText w:val="•"/>
      <w:lvlJc w:val="left"/>
      <w:pPr>
        <w:tabs>
          <w:tab w:val="num" w:pos="720"/>
        </w:tabs>
        <w:ind w:left="720" w:hanging="360"/>
      </w:pPr>
      <w:rPr>
        <w:rFonts w:ascii="Arial" w:hAnsi="Arial" w:hint="default"/>
      </w:rPr>
    </w:lvl>
    <w:lvl w:ilvl="1" w:tplc="6A7EEB3E" w:tentative="1">
      <w:start w:val="1"/>
      <w:numFmt w:val="bullet"/>
      <w:lvlText w:val="•"/>
      <w:lvlJc w:val="left"/>
      <w:pPr>
        <w:tabs>
          <w:tab w:val="num" w:pos="1440"/>
        </w:tabs>
        <w:ind w:left="1440" w:hanging="360"/>
      </w:pPr>
      <w:rPr>
        <w:rFonts w:ascii="Arial" w:hAnsi="Arial" w:hint="default"/>
      </w:rPr>
    </w:lvl>
    <w:lvl w:ilvl="2" w:tplc="321A9D18" w:tentative="1">
      <w:start w:val="1"/>
      <w:numFmt w:val="bullet"/>
      <w:lvlText w:val="•"/>
      <w:lvlJc w:val="left"/>
      <w:pPr>
        <w:tabs>
          <w:tab w:val="num" w:pos="2160"/>
        </w:tabs>
        <w:ind w:left="2160" w:hanging="360"/>
      </w:pPr>
      <w:rPr>
        <w:rFonts w:ascii="Arial" w:hAnsi="Arial" w:hint="default"/>
      </w:rPr>
    </w:lvl>
    <w:lvl w:ilvl="3" w:tplc="293AF4AC" w:tentative="1">
      <w:start w:val="1"/>
      <w:numFmt w:val="bullet"/>
      <w:lvlText w:val="•"/>
      <w:lvlJc w:val="left"/>
      <w:pPr>
        <w:tabs>
          <w:tab w:val="num" w:pos="2880"/>
        </w:tabs>
        <w:ind w:left="2880" w:hanging="360"/>
      </w:pPr>
      <w:rPr>
        <w:rFonts w:ascii="Arial" w:hAnsi="Arial" w:hint="default"/>
      </w:rPr>
    </w:lvl>
    <w:lvl w:ilvl="4" w:tplc="236C717A" w:tentative="1">
      <w:start w:val="1"/>
      <w:numFmt w:val="bullet"/>
      <w:lvlText w:val="•"/>
      <w:lvlJc w:val="left"/>
      <w:pPr>
        <w:tabs>
          <w:tab w:val="num" w:pos="3600"/>
        </w:tabs>
        <w:ind w:left="3600" w:hanging="360"/>
      </w:pPr>
      <w:rPr>
        <w:rFonts w:ascii="Arial" w:hAnsi="Arial" w:hint="default"/>
      </w:rPr>
    </w:lvl>
    <w:lvl w:ilvl="5" w:tplc="DE3C41B0" w:tentative="1">
      <w:start w:val="1"/>
      <w:numFmt w:val="bullet"/>
      <w:lvlText w:val="•"/>
      <w:lvlJc w:val="left"/>
      <w:pPr>
        <w:tabs>
          <w:tab w:val="num" w:pos="4320"/>
        </w:tabs>
        <w:ind w:left="4320" w:hanging="360"/>
      </w:pPr>
      <w:rPr>
        <w:rFonts w:ascii="Arial" w:hAnsi="Arial" w:hint="default"/>
      </w:rPr>
    </w:lvl>
    <w:lvl w:ilvl="6" w:tplc="7474E5F4" w:tentative="1">
      <w:start w:val="1"/>
      <w:numFmt w:val="bullet"/>
      <w:lvlText w:val="•"/>
      <w:lvlJc w:val="left"/>
      <w:pPr>
        <w:tabs>
          <w:tab w:val="num" w:pos="5040"/>
        </w:tabs>
        <w:ind w:left="5040" w:hanging="360"/>
      </w:pPr>
      <w:rPr>
        <w:rFonts w:ascii="Arial" w:hAnsi="Arial" w:hint="default"/>
      </w:rPr>
    </w:lvl>
    <w:lvl w:ilvl="7" w:tplc="7786D45C" w:tentative="1">
      <w:start w:val="1"/>
      <w:numFmt w:val="bullet"/>
      <w:lvlText w:val="•"/>
      <w:lvlJc w:val="left"/>
      <w:pPr>
        <w:tabs>
          <w:tab w:val="num" w:pos="5760"/>
        </w:tabs>
        <w:ind w:left="5760" w:hanging="360"/>
      </w:pPr>
      <w:rPr>
        <w:rFonts w:ascii="Arial" w:hAnsi="Arial" w:hint="default"/>
      </w:rPr>
    </w:lvl>
    <w:lvl w:ilvl="8" w:tplc="4DA2B9D4" w:tentative="1">
      <w:start w:val="1"/>
      <w:numFmt w:val="bullet"/>
      <w:lvlText w:val="•"/>
      <w:lvlJc w:val="left"/>
      <w:pPr>
        <w:tabs>
          <w:tab w:val="num" w:pos="6480"/>
        </w:tabs>
        <w:ind w:left="6480" w:hanging="360"/>
      </w:pPr>
      <w:rPr>
        <w:rFonts w:ascii="Arial" w:hAnsi="Arial" w:hint="default"/>
      </w:rPr>
    </w:lvl>
  </w:abstractNum>
  <w:abstractNum w:abstractNumId="4">
    <w:nsid w:val="6C00788D"/>
    <w:multiLevelType w:val="hybridMultilevel"/>
    <w:tmpl w:val="21D41BFE"/>
    <w:lvl w:ilvl="0" w:tplc="FC6C5F0E">
      <w:start w:val="2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97B76"/>
    <w:multiLevelType w:val="hybridMultilevel"/>
    <w:tmpl w:val="66D4701C"/>
    <w:lvl w:ilvl="0" w:tplc="5310225A">
      <w:start w:val="1"/>
      <w:numFmt w:val="bullet"/>
      <w:lvlText w:val="•"/>
      <w:lvlJc w:val="left"/>
      <w:pPr>
        <w:tabs>
          <w:tab w:val="num" w:pos="720"/>
        </w:tabs>
        <w:ind w:left="720" w:hanging="360"/>
      </w:pPr>
      <w:rPr>
        <w:rFonts w:ascii="Arial" w:hAnsi="Arial" w:hint="default"/>
      </w:rPr>
    </w:lvl>
    <w:lvl w:ilvl="1" w:tplc="44806D10" w:tentative="1">
      <w:start w:val="1"/>
      <w:numFmt w:val="bullet"/>
      <w:lvlText w:val="•"/>
      <w:lvlJc w:val="left"/>
      <w:pPr>
        <w:tabs>
          <w:tab w:val="num" w:pos="1440"/>
        </w:tabs>
        <w:ind w:left="1440" w:hanging="360"/>
      </w:pPr>
      <w:rPr>
        <w:rFonts w:ascii="Arial" w:hAnsi="Arial" w:hint="default"/>
      </w:rPr>
    </w:lvl>
    <w:lvl w:ilvl="2" w:tplc="5A981180" w:tentative="1">
      <w:start w:val="1"/>
      <w:numFmt w:val="bullet"/>
      <w:lvlText w:val="•"/>
      <w:lvlJc w:val="left"/>
      <w:pPr>
        <w:tabs>
          <w:tab w:val="num" w:pos="2160"/>
        </w:tabs>
        <w:ind w:left="2160" w:hanging="360"/>
      </w:pPr>
      <w:rPr>
        <w:rFonts w:ascii="Arial" w:hAnsi="Arial" w:hint="default"/>
      </w:rPr>
    </w:lvl>
    <w:lvl w:ilvl="3" w:tplc="CF42CB18" w:tentative="1">
      <w:start w:val="1"/>
      <w:numFmt w:val="bullet"/>
      <w:lvlText w:val="•"/>
      <w:lvlJc w:val="left"/>
      <w:pPr>
        <w:tabs>
          <w:tab w:val="num" w:pos="2880"/>
        </w:tabs>
        <w:ind w:left="2880" w:hanging="360"/>
      </w:pPr>
      <w:rPr>
        <w:rFonts w:ascii="Arial" w:hAnsi="Arial" w:hint="default"/>
      </w:rPr>
    </w:lvl>
    <w:lvl w:ilvl="4" w:tplc="CEDECB1C" w:tentative="1">
      <w:start w:val="1"/>
      <w:numFmt w:val="bullet"/>
      <w:lvlText w:val="•"/>
      <w:lvlJc w:val="left"/>
      <w:pPr>
        <w:tabs>
          <w:tab w:val="num" w:pos="3600"/>
        </w:tabs>
        <w:ind w:left="3600" w:hanging="360"/>
      </w:pPr>
      <w:rPr>
        <w:rFonts w:ascii="Arial" w:hAnsi="Arial" w:hint="default"/>
      </w:rPr>
    </w:lvl>
    <w:lvl w:ilvl="5" w:tplc="A1E2CFCC" w:tentative="1">
      <w:start w:val="1"/>
      <w:numFmt w:val="bullet"/>
      <w:lvlText w:val="•"/>
      <w:lvlJc w:val="left"/>
      <w:pPr>
        <w:tabs>
          <w:tab w:val="num" w:pos="4320"/>
        </w:tabs>
        <w:ind w:left="4320" w:hanging="360"/>
      </w:pPr>
      <w:rPr>
        <w:rFonts w:ascii="Arial" w:hAnsi="Arial" w:hint="default"/>
      </w:rPr>
    </w:lvl>
    <w:lvl w:ilvl="6" w:tplc="72D48B48" w:tentative="1">
      <w:start w:val="1"/>
      <w:numFmt w:val="bullet"/>
      <w:lvlText w:val="•"/>
      <w:lvlJc w:val="left"/>
      <w:pPr>
        <w:tabs>
          <w:tab w:val="num" w:pos="5040"/>
        </w:tabs>
        <w:ind w:left="5040" w:hanging="360"/>
      </w:pPr>
      <w:rPr>
        <w:rFonts w:ascii="Arial" w:hAnsi="Arial" w:hint="default"/>
      </w:rPr>
    </w:lvl>
    <w:lvl w:ilvl="7" w:tplc="C572532C" w:tentative="1">
      <w:start w:val="1"/>
      <w:numFmt w:val="bullet"/>
      <w:lvlText w:val="•"/>
      <w:lvlJc w:val="left"/>
      <w:pPr>
        <w:tabs>
          <w:tab w:val="num" w:pos="5760"/>
        </w:tabs>
        <w:ind w:left="5760" w:hanging="360"/>
      </w:pPr>
      <w:rPr>
        <w:rFonts w:ascii="Arial" w:hAnsi="Arial" w:hint="default"/>
      </w:rPr>
    </w:lvl>
    <w:lvl w:ilvl="8" w:tplc="5330CE2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5689"/>
    <w:rsid w:val="00007879"/>
    <w:rsid w:val="000118CD"/>
    <w:rsid w:val="00013196"/>
    <w:rsid w:val="000133E6"/>
    <w:rsid w:val="000172FA"/>
    <w:rsid w:val="0002361D"/>
    <w:rsid w:val="00026C8F"/>
    <w:rsid w:val="00030197"/>
    <w:rsid w:val="00052F7B"/>
    <w:rsid w:val="0005726C"/>
    <w:rsid w:val="0006004A"/>
    <w:rsid w:val="00070903"/>
    <w:rsid w:val="00073625"/>
    <w:rsid w:val="0007444A"/>
    <w:rsid w:val="00076632"/>
    <w:rsid w:val="00092565"/>
    <w:rsid w:val="000932E9"/>
    <w:rsid w:val="000B7299"/>
    <w:rsid w:val="000D392F"/>
    <w:rsid w:val="000D3F5D"/>
    <w:rsid w:val="000D5689"/>
    <w:rsid w:val="000D74A2"/>
    <w:rsid w:val="000F2118"/>
    <w:rsid w:val="000F6752"/>
    <w:rsid w:val="000F7CE2"/>
    <w:rsid w:val="00103BC9"/>
    <w:rsid w:val="0011178C"/>
    <w:rsid w:val="00116E3C"/>
    <w:rsid w:val="00117A32"/>
    <w:rsid w:val="00125296"/>
    <w:rsid w:val="00125979"/>
    <w:rsid w:val="00130876"/>
    <w:rsid w:val="00143EE6"/>
    <w:rsid w:val="00144A38"/>
    <w:rsid w:val="00150249"/>
    <w:rsid w:val="00150CF2"/>
    <w:rsid w:val="00151525"/>
    <w:rsid w:val="00153572"/>
    <w:rsid w:val="00157072"/>
    <w:rsid w:val="001603A4"/>
    <w:rsid w:val="0016105B"/>
    <w:rsid w:val="001637B7"/>
    <w:rsid w:val="001669EF"/>
    <w:rsid w:val="00173B72"/>
    <w:rsid w:val="00175058"/>
    <w:rsid w:val="00176721"/>
    <w:rsid w:val="00176D10"/>
    <w:rsid w:val="00177A68"/>
    <w:rsid w:val="00190863"/>
    <w:rsid w:val="0019557F"/>
    <w:rsid w:val="001A1739"/>
    <w:rsid w:val="001A3CD2"/>
    <w:rsid w:val="001B502B"/>
    <w:rsid w:val="001C1262"/>
    <w:rsid w:val="001C3B9E"/>
    <w:rsid w:val="001C3E75"/>
    <w:rsid w:val="001C55BB"/>
    <w:rsid w:val="001C6E7D"/>
    <w:rsid w:val="001C7ECB"/>
    <w:rsid w:val="001D09F2"/>
    <w:rsid w:val="001D3B16"/>
    <w:rsid w:val="001D70AF"/>
    <w:rsid w:val="001E3D62"/>
    <w:rsid w:val="001E494C"/>
    <w:rsid w:val="00200C80"/>
    <w:rsid w:val="00201531"/>
    <w:rsid w:val="00204967"/>
    <w:rsid w:val="00212B05"/>
    <w:rsid w:val="002244FF"/>
    <w:rsid w:val="00225169"/>
    <w:rsid w:val="00226705"/>
    <w:rsid w:val="002323AA"/>
    <w:rsid w:val="002333C8"/>
    <w:rsid w:val="002359CB"/>
    <w:rsid w:val="00235B7A"/>
    <w:rsid w:val="00236E4A"/>
    <w:rsid w:val="002372BB"/>
    <w:rsid w:val="0024095C"/>
    <w:rsid w:val="002424E9"/>
    <w:rsid w:val="00245236"/>
    <w:rsid w:val="002474F0"/>
    <w:rsid w:val="002519DE"/>
    <w:rsid w:val="00256116"/>
    <w:rsid w:val="00262BCF"/>
    <w:rsid w:val="00266FCC"/>
    <w:rsid w:val="0027485F"/>
    <w:rsid w:val="002758C0"/>
    <w:rsid w:val="00281A8B"/>
    <w:rsid w:val="00283801"/>
    <w:rsid w:val="00283B87"/>
    <w:rsid w:val="00283C84"/>
    <w:rsid w:val="00284327"/>
    <w:rsid w:val="00284EB2"/>
    <w:rsid w:val="00285804"/>
    <w:rsid w:val="002870EF"/>
    <w:rsid w:val="002871D6"/>
    <w:rsid w:val="00290B04"/>
    <w:rsid w:val="002A21C2"/>
    <w:rsid w:val="002A5B89"/>
    <w:rsid w:val="002B5159"/>
    <w:rsid w:val="002D5D74"/>
    <w:rsid w:val="002E0825"/>
    <w:rsid w:val="002E1391"/>
    <w:rsid w:val="002E3435"/>
    <w:rsid w:val="002E59FB"/>
    <w:rsid w:val="002F0829"/>
    <w:rsid w:val="003003E5"/>
    <w:rsid w:val="0030249F"/>
    <w:rsid w:val="003042DC"/>
    <w:rsid w:val="003125EB"/>
    <w:rsid w:val="0031532A"/>
    <w:rsid w:val="00320937"/>
    <w:rsid w:val="003238B1"/>
    <w:rsid w:val="0032428C"/>
    <w:rsid w:val="003252DB"/>
    <w:rsid w:val="00327DDD"/>
    <w:rsid w:val="00330080"/>
    <w:rsid w:val="00336838"/>
    <w:rsid w:val="00337245"/>
    <w:rsid w:val="00352017"/>
    <w:rsid w:val="00353EB8"/>
    <w:rsid w:val="00362890"/>
    <w:rsid w:val="003653C0"/>
    <w:rsid w:val="0037194D"/>
    <w:rsid w:val="0037590F"/>
    <w:rsid w:val="00375BCF"/>
    <w:rsid w:val="0037732F"/>
    <w:rsid w:val="003825FF"/>
    <w:rsid w:val="003850F8"/>
    <w:rsid w:val="00385BC0"/>
    <w:rsid w:val="003913A6"/>
    <w:rsid w:val="00391D66"/>
    <w:rsid w:val="0039266C"/>
    <w:rsid w:val="00392FB4"/>
    <w:rsid w:val="00394509"/>
    <w:rsid w:val="00396BB0"/>
    <w:rsid w:val="003A71E1"/>
    <w:rsid w:val="003B05D6"/>
    <w:rsid w:val="003B2461"/>
    <w:rsid w:val="003B263A"/>
    <w:rsid w:val="003B3367"/>
    <w:rsid w:val="003B4A2A"/>
    <w:rsid w:val="003B4E92"/>
    <w:rsid w:val="003B7DB1"/>
    <w:rsid w:val="003C083D"/>
    <w:rsid w:val="003C1E8F"/>
    <w:rsid w:val="003C2761"/>
    <w:rsid w:val="003E252D"/>
    <w:rsid w:val="003E2FCD"/>
    <w:rsid w:val="003E41F5"/>
    <w:rsid w:val="003E6A39"/>
    <w:rsid w:val="003E757F"/>
    <w:rsid w:val="003F00D8"/>
    <w:rsid w:val="003F2B78"/>
    <w:rsid w:val="00401146"/>
    <w:rsid w:val="00403989"/>
    <w:rsid w:val="00407BFD"/>
    <w:rsid w:val="00411462"/>
    <w:rsid w:val="0041487B"/>
    <w:rsid w:val="00416507"/>
    <w:rsid w:val="00417222"/>
    <w:rsid w:val="004268BD"/>
    <w:rsid w:val="00426F88"/>
    <w:rsid w:val="0043065A"/>
    <w:rsid w:val="00430BA8"/>
    <w:rsid w:val="00431614"/>
    <w:rsid w:val="00441C1B"/>
    <w:rsid w:val="00465AA4"/>
    <w:rsid w:val="00467398"/>
    <w:rsid w:val="00475054"/>
    <w:rsid w:val="00481A05"/>
    <w:rsid w:val="0048281A"/>
    <w:rsid w:val="0049605D"/>
    <w:rsid w:val="00496728"/>
    <w:rsid w:val="00497FA6"/>
    <w:rsid w:val="004A22AE"/>
    <w:rsid w:val="004A7369"/>
    <w:rsid w:val="004B2668"/>
    <w:rsid w:val="004B7CF2"/>
    <w:rsid w:val="004C3CD2"/>
    <w:rsid w:val="004C4A83"/>
    <w:rsid w:val="004C7B0E"/>
    <w:rsid w:val="004D0A22"/>
    <w:rsid w:val="004D101A"/>
    <w:rsid w:val="004D2468"/>
    <w:rsid w:val="004D2D37"/>
    <w:rsid w:val="004D2EB2"/>
    <w:rsid w:val="004D3527"/>
    <w:rsid w:val="004D744E"/>
    <w:rsid w:val="004E1555"/>
    <w:rsid w:val="004E180E"/>
    <w:rsid w:val="004E7EE7"/>
    <w:rsid w:val="004F1553"/>
    <w:rsid w:val="004F4EC4"/>
    <w:rsid w:val="004F685F"/>
    <w:rsid w:val="00511201"/>
    <w:rsid w:val="0051333B"/>
    <w:rsid w:val="00514DB1"/>
    <w:rsid w:val="0051533D"/>
    <w:rsid w:val="00521B77"/>
    <w:rsid w:val="00527A73"/>
    <w:rsid w:val="00542834"/>
    <w:rsid w:val="00542B03"/>
    <w:rsid w:val="00543024"/>
    <w:rsid w:val="00544E10"/>
    <w:rsid w:val="005504B0"/>
    <w:rsid w:val="00550FC5"/>
    <w:rsid w:val="00553039"/>
    <w:rsid w:val="00554225"/>
    <w:rsid w:val="00566AB2"/>
    <w:rsid w:val="00577295"/>
    <w:rsid w:val="005814EC"/>
    <w:rsid w:val="00581806"/>
    <w:rsid w:val="00583EE7"/>
    <w:rsid w:val="00586F80"/>
    <w:rsid w:val="0059558D"/>
    <w:rsid w:val="005A1D5D"/>
    <w:rsid w:val="005A5060"/>
    <w:rsid w:val="005A6EFC"/>
    <w:rsid w:val="005A78A8"/>
    <w:rsid w:val="005B0F65"/>
    <w:rsid w:val="005B4BD6"/>
    <w:rsid w:val="005B4FCA"/>
    <w:rsid w:val="005C7806"/>
    <w:rsid w:val="005D1572"/>
    <w:rsid w:val="005E4862"/>
    <w:rsid w:val="005E572F"/>
    <w:rsid w:val="005F0626"/>
    <w:rsid w:val="005F2538"/>
    <w:rsid w:val="005F2660"/>
    <w:rsid w:val="00602018"/>
    <w:rsid w:val="006243D2"/>
    <w:rsid w:val="00627F40"/>
    <w:rsid w:val="00630B9D"/>
    <w:rsid w:val="006426A1"/>
    <w:rsid w:val="00644BF7"/>
    <w:rsid w:val="00652839"/>
    <w:rsid w:val="0065314E"/>
    <w:rsid w:val="00656680"/>
    <w:rsid w:val="00674258"/>
    <w:rsid w:val="00680E3D"/>
    <w:rsid w:val="00682C53"/>
    <w:rsid w:val="00682F34"/>
    <w:rsid w:val="00684C94"/>
    <w:rsid w:val="00693500"/>
    <w:rsid w:val="00696B90"/>
    <w:rsid w:val="006B0025"/>
    <w:rsid w:val="006C22CC"/>
    <w:rsid w:val="006C3596"/>
    <w:rsid w:val="006C4F92"/>
    <w:rsid w:val="006C51F1"/>
    <w:rsid w:val="006D33B5"/>
    <w:rsid w:val="006D48FD"/>
    <w:rsid w:val="006D6502"/>
    <w:rsid w:val="006E0F45"/>
    <w:rsid w:val="006E1AB5"/>
    <w:rsid w:val="006E334B"/>
    <w:rsid w:val="006E7A56"/>
    <w:rsid w:val="006F23BE"/>
    <w:rsid w:val="006F6487"/>
    <w:rsid w:val="006F72A8"/>
    <w:rsid w:val="007018BD"/>
    <w:rsid w:val="00701BED"/>
    <w:rsid w:val="007051B0"/>
    <w:rsid w:val="007152FF"/>
    <w:rsid w:val="00715658"/>
    <w:rsid w:val="007221E0"/>
    <w:rsid w:val="0072257D"/>
    <w:rsid w:val="00724203"/>
    <w:rsid w:val="007253CF"/>
    <w:rsid w:val="007254D0"/>
    <w:rsid w:val="0072715B"/>
    <w:rsid w:val="00731348"/>
    <w:rsid w:val="0073650C"/>
    <w:rsid w:val="007377CD"/>
    <w:rsid w:val="007416F1"/>
    <w:rsid w:val="00741B50"/>
    <w:rsid w:val="00742123"/>
    <w:rsid w:val="00746995"/>
    <w:rsid w:val="007512FD"/>
    <w:rsid w:val="0075283D"/>
    <w:rsid w:val="00752A28"/>
    <w:rsid w:val="00756B6F"/>
    <w:rsid w:val="007579E8"/>
    <w:rsid w:val="007606F0"/>
    <w:rsid w:val="00762593"/>
    <w:rsid w:val="0076436C"/>
    <w:rsid w:val="00765A1B"/>
    <w:rsid w:val="00765C6F"/>
    <w:rsid w:val="00767ED4"/>
    <w:rsid w:val="00773B50"/>
    <w:rsid w:val="007758F4"/>
    <w:rsid w:val="0078086C"/>
    <w:rsid w:val="00781BE9"/>
    <w:rsid w:val="00795194"/>
    <w:rsid w:val="00796DBC"/>
    <w:rsid w:val="007A1FA8"/>
    <w:rsid w:val="007B2AE7"/>
    <w:rsid w:val="007B5500"/>
    <w:rsid w:val="007B7E60"/>
    <w:rsid w:val="007C0C7E"/>
    <w:rsid w:val="007C1C4D"/>
    <w:rsid w:val="007C47A7"/>
    <w:rsid w:val="007C5A5B"/>
    <w:rsid w:val="007C678A"/>
    <w:rsid w:val="007C6EE3"/>
    <w:rsid w:val="007D3E7C"/>
    <w:rsid w:val="007E17AE"/>
    <w:rsid w:val="007E23D5"/>
    <w:rsid w:val="007E61FA"/>
    <w:rsid w:val="007F002F"/>
    <w:rsid w:val="007F2592"/>
    <w:rsid w:val="00800B62"/>
    <w:rsid w:val="008115DE"/>
    <w:rsid w:val="00814451"/>
    <w:rsid w:val="008148AA"/>
    <w:rsid w:val="0081680F"/>
    <w:rsid w:val="008170F6"/>
    <w:rsid w:val="008211AB"/>
    <w:rsid w:val="00822F91"/>
    <w:rsid w:val="00823625"/>
    <w:rsid w:val="00824E19"/>
    <w:rsid w:val="00826F90"/>
    <w:rsid w:val="00835094"/>
    <w:rsid w:val="008424EC"/>
    <w:rsid w:val="00843C7F"/>
    <w:rsid w:val="00844038"/>
    <w:rsid w:val="0084680D"/>
    <w:rsid w:val="008545E5"/>
    <w:rsid w:val="0086024D"/>
    <w:rsid w:val="008630A1"/>
    <w:rsid w:val="008666B1"/>
    <w:rsid w:val="008670A5"/>
    <w:rsid w:val="00872166"/>
    <w:rsid w:val="00873B81"/>
    <w:rsid w:val="00877B79"/>
    <w:rsid w:val="00881320"/>
    <w:rsid w:val="00881AB1"/>
    <w:rsid w:val="00883220"/>
    <w:rsid w:val="0088653C"/>
    <w:rsid w:val="008A0E8E"/>
    <w:rsid w:val="008A11A6"/>
    <w:rsid w:val="008C2DEE"/>
    <w:rsid w:val="008C5AD3"/>
    <w:rsid w:val="008D4F94"/>
    <w:rsid w:val="008E275F"/>
    <w:rsid w:val="008E4BD7"/>
    <w:rsid w:val="008E68F2"/>
    <w:rsid w:val="008F3908"/>
    <w:rsid w:val="008F76D3"/>
    <w:rsid w:val="0091016D"/>
    <w:rsid w:val="00915287"/>
    <w:rsid w:val="009231E8"/>
    <w:rsid w:val="00947E8C"/>
    <w:rsid w:val="0095110C"/>
    <w:rsid w:val="0095422A"/>
    <w:rsid w:val="00962E84"/>
    <w:rsid w:val="00962F7B"/>
    <w:rsid w:val="00963ABD"/>
    <w:rsid w:val="00974588"/>
    <w:rsid w:val="009759AE"/>
    <w:rsid w:val="00977332"/>
    <w:rsid w:val="00986408"/>
    <w:rsid w:val="009A29E2"/>
    <w:rsid w:val="009A407A"/>
    <w:rsid w:val="009A42FA"/>
    <w:rsid w:val="009B2748"/>
    <w:rsid w:val="009C7683"/>
    <w:rsid w:val="009C76FD"/>
    <w:rsid w:val="009D0A6E"/>
    <w:rsid w:val="009D2B93"/>
    <w:rsid w:val="009D3F59"/>
    <w:rsid w:val="009E1062"/>
    <w:rsid w:val="009E7CC8"/>
    <w:rsid w:val="009F554C"/>
    <w:rsid w:val="00A03D12"/>
    <w:rsid w:val="00A042A5"/>
    <w:rsid w:val="00A20013"/>
    <w:rsid w:val="00A2080A"/>
    <w:rsid w:val="00A27EDC"/>
    <w:rsid w:val="00A36CBD"/>
    <w:rsid w:val="00A43100"/>
    <w:rsid w:val="00A43D03"/>
    <w:rsid w:val="00A470B0"/>
    <w:rsid w:val="00A50A6E"/>
    <w:rsid w:val="00A5127F"/>
    <w:rsid w:val="00A52882"/>
    <w:rsid w:val="00A64BA6"/>
    <w:rsid w:val="00A653DE"/>
    <w:rsid w:val="00A66C06"/>
    <w:rsid w:val="00A73971"/>
    <w:rsid w:val="00A757B6"/>
    <w:rsid w:val="00A8555B"/>
    <w:rsid w:val="00A86ED6"/>
    <w:rsid w:val="00A92466"/>
    <w:rsid w:val="00A929D0"/>
    <w:rsid w:val="00A95494"/>
    <w:rsid w:val="00A96AF8"/>
    <w:rsid w:val="00AA020E"/>
    <w:rsid w:val="00AA13B6"/>
    <w:rsid w:val="00AA2F9A"/>
    <w:rsid w:val="00AB06F3"/>
    <w:rsid w:val="00AB24F1"/>
    <w:rsid w:val="00AB47D2"/>
    <w:rsid w:val="00AC059E"/>
    <w:rsid w:val="00AD2581"/>
    <w:rsid w:val="00AF03E7"/>
    <w:rsid w:val="00AF1B31"/>
    <w:rsid w:val="00AF6E2E"/>
    <w:rsid w:val="00B00239"/>
    <w:rsid w:val="00B1309E"/>
    <w:rsid w:val="00B1327F"/>
    <w:rsid w:val="00B24A5D"/>
    <w:rsid w:val="00B30717"/>
    <w:rsid w:val="00B334C7"/>
    <w:rsid w:val="00B34963"/>
    <w:rsid w:val="00B36709"/>
    <w:rsid w:val="00B42E68"/>
    <w:rsid w:val="00B44B67"/>
    <w:rsid w:val="00B450F8"/>
    <w:rsid w:val="00B475FE"/>
    <w:rsid w:val="00B527D3"/>
    <w:rsid w:val="00B5363C"/>
    <w:rsid w:val="00B60A0F"/>
    <w:rsid w:val="00B6240D"/>
    <w:rsid w:val="00B7091E"/>
    <w:rsid w:val="00B70A0C"/>
    <w:rsid w:val="00B760F4"/>
    <w:rsid w:val="00B83B07"/>
    <w:rsid w:val="00B85A1D"/>
    <w:rsid w:val="00B86B59"/>
    <w:rsid w:val="00B9016C"/>
    <w:rsid w:val="00B91CCD"/>
    <w:rsid w:val="00BA1BF5"/>
    <w:rsid w:val="00BA4965"/>
    <w:rsid w:val="00BB46EF"/>
    <w:rsid w:val="00BC4133"/>
    <w:rsid w:val="00BD3FCB"/>
    <w:rsid w:val="00BD5862"/>
    <w:rsid w:val="00BD7E25"/>
    <w:rsid w:val="00BE6150"/>
    <w:rsid w:val="00BF11D9"/>
    <w:rsid w:val="00BF3DBB"/>
    <w:rsid w:val="00C11867"/>
    <w:rsid w:val="00C134F6"/>
    <w:rsid w:val="00C15B70"/>
    <w:rsid w:val="00C17828"/>
    <w:rsid w:val="00C23B7C"/>
    <w:rsid w:val="00C27932"/>
    <w:rsid w:val="00C36999"/>
    <w:rsid w:val="00C374A5"/>
    <w:rsid w:val="00C40EB9"/>
    <w:rsid w:val="00C53C85"/>
    <w:rsid w:val="00C55D1E"/>
    <w:rsid w:val="00C63820"/>
    <w:rsid w:val="00C64C06"/>
    <w:rsid w:val="00C74771"/>
    <w:rsid w:val="00C76671"/>
    <w:rsid w:val="00C77009"/>
    <w:rsid w:val="00C8678A"/>
    <w:rsid w:val="00C870EF"/>
    <w:rsid w:val="00C878E6"/>
    <w:rsid w:val="00CA128C"/>
    <w:rsid w:val="00CA44F6"/>
    <w:rsid w:val="00CA70DF"/>
    <w:rsid w:val="00CB0062"/>
    <w:rsid w:val="00CB46DA"/>
    <w:rsid w:val="00CD18AE"/>
    <w:rsid w:val="00CD1D7C"/>
    <w:rsid w:val="00CD3E98"/>
    <w:rsid w:val="00CD5CFF"/>
    <w:rsid w:val="00CD612D"/>
    <w:rsid w:val="00CF4438"/>
    <w:rsid w:val="00CF6A18"/>
    <w:rsid w:val="00D02404"/>
    <w:rsid w:val="00D02A2D"/>
    <w:rsid w:val="00D04865"/>
    <w:rsid w:val="00D07AB5"/>
    <w:rsid w:val="00D14F6F"/>
    <w:rsid w:val="00D17036"/>
    <w:rsid w:val="00D17B78"/>
    <w:rsid w:val="00D22723"/>
    <w:rsid w:val="00D27A02"/>
    <w:rsid w:val="00D27B0F"/>
    <w:rsid w:val="00D302DA"/>
    <w:rsid w:val="00D302DF"/>
    <w:rsid w:val="00D32AB9"/>
    <w:rsid w:val="00D37BF9"/>
    <w:rsid w:val="00D4259A"/>
    <w:rsid w:val="00D44051"/>
    <w:rsid w:val="00D479A2"/>
    <w:rsid w:val="00D52B1F"/>
    <w:rsid w:val="00D570B5"/>
    <w:rsid w:val="00D60454"/>
    <w:rsid w:val="00D62FCD"/>
    <w:rsid w:val="00D64A5D"/>
    <w:rsid w:val="00D66F57"/>
    <w:rsid w:val="00D838F4"/>
    <w:rsid w:val="00D83924"/>
    <w:rsid w:val="00D84F97"/>
    <w:rsid w:val="00DA4D70"/>
    <w:rsid w:val="00DA52BA"/>
    <w:rsid w:val="00DB74B4"/>
    <w:rsid w:val="00DC15AA"/>
    <w:rsid w:val="00DC4B5C"/>
    <w:rsid w:val="00DD0BA5"/>
    <w:rsid w:val="00DD0D5B"/>
    <w:rsid w:val="00DD15E8"/>
    <w:rsid w:val="00DE3261"/>
    <w:rsid w:val="00DF3297"/>
    <w:rsid w:val="00DF44DE"/>
    <w:rsid w:val="00E028D3"/>
    <w:rsid w:val="00E07980"/>
    <w:rsid w:val="00E07E16"/>
    <w:rsid w:val="00E10B7F"/>
    <w:rsid w:val="00E10D5D"/>
    <w:rsid w:val="00E14CF8"/>
    <w:rsid w:val="00E1645E"/>
    <w:rsid w:val="00E20315"/>
    <w:rsid w:val="00E24F65"/>
    <w:rsid w:val="00E25AF3"/>
    <w:rsid w:val="00E25FC9"/>
    <w:rsid w:val="00E309EE"/>
    <w:rsid w:val="00E31817"/>
    <w:rsid w:val="00E325F2"/>
    <w:rsid w:val="00E43EED"/>
    <w:rsid w:val="00E43F96"/>
    <w:rsid w:val="00E47236"/>
    <w:rsid w:val="00E5020B"/>
    <w:rsid w:val="00E56467"/>
    <w:rsid w:val="00E60D8B"/>
    <w:rsid w:val="00E65963"/>
    <w:rsid w:val="00E7691E"/>
    <w:rsid w:val="00E81CFE"/>
    <w:rsid w:val="00E82837"/>
    <w:rsid w:val="00E87778"/>
    <w:rsid w:val="00E92198"/>
    <w:rsid w:val="00E94532"/>
    <w:rsid w:val="00E946DF"/>
    <w:rsid w:val="00EA2113"/>
    <w:rsid w:val="00EA3A59"/>
    <w:rsid w:val="00EA682D"/>
    <w:rsid w:val="00EB21CA"/>
    <w:rsid w:val="00EB5579"/>
    <w:rsid w:val="00EB7A8D"/>
    <w:rsid w:val="00EC07F0"/>
    <w:rsid w:val="00EC33F1"/>
    <w:rsid w:val="00ED69AD"/>
    <w:rsid w:val="00EE156E"/>
    <w:rsid w:val="00EE29B5"/>
    <w:rsid w:val="00EE7D3B"/>
    <w:rsid w:val="00EE7EDD"/>
    <w:rsid w:val="00EF1E75"/>
    <w:rsid w:val="00F03F5A"/>
    <w:rsid w:val="00F040EF"/>
    <w:rsid w:val="00F042ED"/>
    <w:rsid w:val="00F12673"/>
    <w:rsid w:val="00F1721A"/>
    <w:rsid w:val="00F241F7"/>
    <w:rsid w:val="00F251AE"/>
    <w:rsid w:val="00F262BA"/>
    <w:rsid w:val="00F26B9D"/>
    <w:rsid w:val="00F3191B"/>
    <w:rsid w:val="00F31C61"/>
    <w:rsid w:val="00F321F7"/>
    <w:rsid w:val="00F34C6A"/>
    <w:rsid w:val="00F36429"/>
    <w:rsid w:val="00F364C6"/>
    <w:rsid w:val="00F37581"/>
    <w:rsid w:val="00F42E2E"/>
    <w:rsid w:val="00F5095F"/>
    <w:rsid w:val="00F60D9D"/>
    <w:rsid w:val="00F6432F"/>
    <w:rsid w:val="00F71A9B"/>
    <w:rsid w:val="00F7254D"/>
    <w:rsid w:val="00F7439F"/>
    <w:rsid w:val="00F859E9"/>
    <w:rsid w:val="00F8661E"/>
    <w:rsid w:val="00F90CB2"/>
    <w:rsid w:val="00F933A2"/>
    <w:rsid w:val="00F94C53"/>
    <w:rsid w:val="00F95088"/>
    <w:rsid w:val="00F969E4"/>
    <w:rsid w:val="00FA164D"/>
    <w:rsid w:val="00FA3C4B"/>
    <w:rsid w:val="00FA5322"/>
    <w:rsid w:val="00FA677C"/>
    <w:rsid w:val="00FB510A"/>
    <w:rsid w:val="00FC243C"/>
    <w:rsid w:val="00FC50E1"/>
    <w:rsid w:val="00FC6203"/>
    <w:rsid w:val="00FC6C85"/>
    <w:rsid w:val="00FC72E8"/>
    <w:rsid w:val="00FD163B"/>
    <w:rsid w:val="00FD26CC"/>
    <w:rsid w:val="00FD2CB1"/>
    <w:rsid w:val="00FE417F"/>
    <w:rsid w:val="00FE6767"/>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23"/>
  </w:style>
  <w:style w:type="paragraph" w:styleId="Heading1">
    <w:name w:val="heading 1"/>
    <w:basedOn w:val="Normal"/>
    <w:next w:val="Normal"/>
    <w:link w:val="Heading1Char"/>
    <w:uiPriority w:val="9"/>
    <w:qFormat/>
    <w:rsid w:val="00240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6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3B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7C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6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52"/>
    <w:rPr>
      <w:rFonts w:ascii="Tahoma" w:hAnsi="Tahoma" w:cs="Tahoma"/>
      <w:sz w:val="16"/>
      <w:szCs w:val="16"/>
    </w:rPr>
  </w:style>
  <w:style w:type="paragraph" w:styleId="ListParagraph">
    <w:name w:val="List Paragraph"/>
    <w:basedOn w:val="Normal"/>
    <w:uiPriority w:val="34"/>
    <w:qFormat/>
    <w:rsid w:val="00C11867"/>
    <w:pPr>
      <w:ind w:left="720"/>
      <w:contextualSpacing/>
    </w:pPr>
  </w:style>
  <w:style w:type="character" w:customStyle="1" w:styleId="Heading2Char">
    <w:name w:val="Heading 2 Char"/>
    <w:basedOn w:val="DefaultParagraphFont"/>
    <w:link w:val="Heading2"/>
    <w:uiPriority w:val="9"/>
    <w:rsid w:val="00FA164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20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6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3B9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5194"/>
    <w:rPr>
      <w:b/>
      <w:bCs/>
    </w:rPr>
  </w:style>
  <w:style w:type="character" w:styleId="Hyperlink">
    <w:name w:val="Hyperlink"/>
    <w:basedOn w:val="DefaultParagraphFont"/>
    <w:uiPriority w:val="99"/>
    <w:unhideWhenUsed/>
    <w:rsid w:val="00795194"/>
    <w:rPr>
      <w:color w:val="0000FF" w:themeColor="hyperlink"/>
      <w:u w:val="single"/>
    </w:rPr>
  </w:style>
  <w:style w:type="character" w:styleId="CommentReference">
    <w:name w:val="annotation reference"/>
    <w:basedOn w:val="DefaultParagraphFont"/>
    <w:uiPriority w:val="99"/>
    <w:semiHidden/>
    <w:unhideWhenUsed/>
    <w:rsid w:val="00630B9D"/>
    <w:rPr>
      <w:sz w:val="16"/>
      <w:szCs w:val="16"/>
    </w:rPr>
  </w:style>
  <w:style w:type="paragraph" w:styleId="CommentText">
    <w:name w:val="annotation text"/>
    <w:basedOn w:val="Normal"/>
    <w:link w:val="CommentTextChar"/>
    <w:uiPriority w:val="99"/>
    <w:semiHidden/>
    <w:unhideWhenUsed/>
    <w:rsid w:val="00630B9D"/>
    <w:pPr>
      <w:spacing w:line="240" w:lineRule="auto"/>
    </w:pPr>
    <w:rPr>
      <w:sz w:val="20"/>
      <w:szCs w:val="20"/>
    </w:rPr>
  </w:style>
  <w:style w:type="character" w:customStyle="1" w:styleId="CommentTextChar">
    <w:name w:val="Comment Text Char"/>
    <w:basedOn w:val="DefaultParagraphFont"/>
    <w:link w:val="CommentText"/>
    <w:uiPriority w:val="99"/>
    <w:semiHidden/>
    <w:rsid w:val="00630B9D"/>
    <w:rPr>
      <w:sz w:val="20"/>
      <w:szCs w:val="20"/>
    </w:rPr>
  </w:style>
  <w:style w:type="paragraph" w:styleId="CommentSubject">
    <w:name w:val="annotation subject"/>
    <w:basedOn w:val="CommentText"/>
    <w:next w:val="CommentText"/>
    <w:link w:val="CommentSubjectChar"/>
    <w:uiPriority w:val="99"/>
    <w:semiHidden/>
    <w:unhideWhenUsed/>
    <w:rsid w:val="00630B9D"/>
    <w:rPr>
      <w:b/>
      <w:bCs/>
    </w:rPr>
  </w:style>
  <w:style w:type="character" w:customStyle="1" w:styleId="CommentSubjectChar">
    <w:name w:val="Comment Subject Char"/>
    <w:basedOn w:val="CommentTextChar"/>
    <w:link w:val="CommentSubject"/>
    <w:uiPriority w:val="99"/>
    <w:semiHidden/>
    <w:rsid w:val="00630B9D"/>
    <w:rPr>
      <w:b/>
      <w:bCs/>
      <w:sz w:val="20"/>
      <w:szCs w:val="20"/>
    </w:rPr>
  </w:style>
  <w:style w:type="paragraph" w:styleId="Header">
    <w:name w:val="header"/>
    <w:basedOn w:val="Normal"/>
    <w:link w:val="HeaderChar"/>
    <w:uiPriority w:val="99"/>
    <w:unhideWhenUsed/>
    <w:rsid w:val="00A6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BA6"/>
  </w:style>
  <w:style w:type="paragraph" w:styleId="Footer">
    <w:name w:val="footer"/>
    <w:basedOn w:val="Normal"/>
    <w:link w:val="FooterChar"/>
    <w:uiPriority w:val="99"/>
    <w:unhideWhenUsed/>
    <w:rsid w:val="00A6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BA6"/>
  </w:style>
  <w:style w:type="paragraph" w:styleId="Revision">
    <w:name w:val="Revision"/>
    <w:hidden/>
    <w:uiPriority w:val="99"/>
    <w:semiHidden/>
    <w:rsid w:val="00B450F8"/>
    <w:pPr>
      <w:spacing w:after="0" w:line="240" w:lineRule="auto"/>
    </w:pPr>
  </w:style>
  <w:style w:type="character" w:customStyle="1" w:styleId="apple-style-span">
    <w:name w:val="apple-style-span"/>
    <w:basedOn w:val="DefaultParagraphFont"/>
    <w:rsid w:val="00D02404"/>
  </w:style>
  <w:style w:type="paragraph" w:styleId="NormalWeb">
    <w:name w:val="Normal (Web)"/>
    <w:basedOn w:val="Normal"/>
    <w:uiPriority w:val="99"/>
    <w:semiHidden/>
    <w:unhideWhenUsed/>
    <w:rsid w:val="00337245"/>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235B7A"/>
    <w:rPr>
      <w:color w:val="800080" w:themeColor="followedHyperlink"/>
      <w:u w:val="single"/>
    </w:rPr>
  </w:style>
  <w:style w:type="paragraph" w:styleId="PlainText">
    <w:name w:val="Plain Text"/>
    <w:basedOn w:val="Normal"/>
    <w:link w:val="PlainTextChar"/>
    <w:uiPriority w:val="99"/>
    <w:semiHidden/>
    <w:unhideWhenUsed/>
    <w:rsid w:val="00D17B7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D17B78"/>
    <w:rPr>
      <w:rFonts w:ascii="Calibri" w:hAnsi="Calibri" w:cs="Consolas"/>
      <w:szCs w:val="21"/>
    </w:rPr>
  </w:style>
  <w:style w:type="character" w:styleId="Emphasis">
    <w:name w:val="Emphasis"/>
    <w:basedOn w:val="DefaultParagraphFont"/>
    <w:uiPriority w:val="20"/>
    <w:qFormat/>
    <w:rsid w:val="00070903"/>
    <w:rPr>
      <w:i/>
      <w:iCs/>
    </w:rPr>
  </w:style>
  <w:style w:type="character" w:customStyle="1" w:styleId="Heading5Char">
    <w:name w:val="Heading 5 Char"/>
    <w:basedOn w:val="DefaultParagraphFont"/>
    <w:link w:val="Heading5"/>
    <w:uiPriority w:val="9"/>
    <w:rsid w:val="000F7CE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6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3B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6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52"/>
    <w:rPr>
      <w:rFonts w:ascii="Tahoma" w:hAnsi="Tahoma" w:cs="Tahoma"/>
      <w:sz w:val="16"/>
      <w:szCs w:val="16"/>
    </w:rPr>
  </w:style>
  <w:style w:type="paragraph" w:styleId="ListParagraph">
    <w:name w:val="List Paragraph"/>
    <w:basedOn w:val="Normal"/>
    <w:uiPriority w:val="34"/>
    <w:qFormat/>
    <w:rsid w:val="00C11867"/>
    <w:pPr>
      <w:ind w:left="720"/>
      <w:contextualSpacing/>
    </w:pPr>
  </w:style>
  <w:style w:type="character" w:customStyle="1" w:styleId="Heading2Char">
    <w:name w:val="Heading 2 Char"/>
    <w:basedOn w:val="DefaultParagraphFont"/>
    <w:link w:val="Heading2"/>
    <w:uiPriority w:val="9"/>
    <w:rsid w:val="00FA164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20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6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3B9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5194"/>
    <w:rPr>
      <w:b/>
      <w:bCs/>
    </w:rPr>
  </w:style>
  <w:style w:type="character" w:styleId="Hyperlink">
    <w:name w:val="Hyperlink"/>
    <w:basedOn w:val="DefaultParagraphFont"/>
    <w:uiPriority w:val="99"/>
    <w:unhideWhenUsed/>
    <w:rsid w:val="00795194"/>
    <w:rPr>
      <w:color w:val="0000FF" w:themeColor="hyperlink"/>
      <w:u w:val="single"/>
    </w:rPr>
  </w:style>
  <w:style w:type="character" w:styleId="CommentReference">
    <w:name w:val="annotation reference"/>
    <w:basedOn w:val="DefaultParagraphFont"/>
    <w:uiPriority w:val="99"/>
    <w:semiHidden/>
    <w:unhideWhenUsed/>
    <w:rsid w:val="00630B9D"/>
    <w:rPr>
      <w:sz w:val="16"/>
      <w:szCs w:val="16"/>
    </w:rPr>
  </w:style>
  <w:style w:type="paragraph" w:styleId="CommentText">
    <w:name w:val="annotation text"/>
    <w:basedOn w:val="Normal"/>
    <w:link w:val="CommentTextChar"/>
    <w:uiPriority w:val="99"/>
    <w:semiHidden/>
    <w:unhideWhenUsed/>
    <w:rsid w:val="00630B9D"/>
    <w:pPr>
      <w:spacing w:line="240" w:lineRule="auto"/>
    </w:pPr>
    <w:rPr>
      <w:sz w:val="20"/>
      <w:szCs w:val="20"/>
    </w:rPr>
  </w:style>
  <w:style w:type="character" w:customStyle="1" w:styleId="CommentTextChar">
    <w:name w:val="Comment Text Char"/>
    <w:basedOn w:val="DefaultParagraphFont"/>
    <w:link w:val="CommentText"/>
    <w:uiPriority w:val="99"/>
    <w:semiHidden/>
    <w:rsid w:val="00630B9D"/>
    <w:rPr>
      <w:sz w:val="20"/>
      <w:szCs w:val="20"/>
    </w:rPr>
  </w:style>
  <w:style w:type="paragraph" w:styleId="CommentSubject">
    <w:name w:val="annotation subject"/>
    <w:basedOn w:val="CommentText"/>
    <w:next w:val="CommentText"/>
    <w:link w:val="CommentSubjectChar"/>
    <w:uiPriority w:val="99"/>
    <w:semiHidden/>
    <w:unhideWhenUsed/>
    <w:rsid w:val="00630B9D"/>
    <w:rPr>
      <w:b/>
      <w:bCs/>
    </w:rPr>
  </w:style>
  <w:style w:type="character" w:customStyle="1" w:styleId="CommentSubjectChar">
    <w:name w:val="Comment Subject Char"/>
    <w:basedOn w:val="CommentTextChar"/>
    <w:link w:val="CommentSubject"/>
    <w:uiPriority w:val="99"/>
    <w:semiHidden/>
    <w:rsid w:val="00630B9D"/>
    <w:rPr>
      <w:b/>
      <w:bCs/>
      <w:sz w:val="20"/>
      <w:szCs w:val="20"/>
    </w:rPr>
  </w:style>
  <w:style w:type="paragraph" w:styleId="Header">
    <w:name w:val="header"/>
    <w:basedOn w:val="Normal"/>
    <w:link w:val="HeaderChar"/>
    <w:uiPriority w:val="99"/>
    <w:unhideWhenUsed/>
    <w:rsid w:val="00A6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BA6"/>
  </w:style>
  <w:style w:type="paragraph" w:styleId="Footer">
    <w:name w:val="footer"/>
    <w:basedOn w:val="Normal"/>
    <w:link w:val="FooterChar"/>
    <w:uiPriority w:val="99"/>
    <w:unhideWhenUsed/>
    <w:rsid w:val="00A6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BA6"/>
  </w:style>
  <w:style w:type="paragraph" w:styleId="Revision">
    <w:name w:val="Revision"/>
    <w:hidden/>
    <w:uiPriority w:val="99"/>
    <w:semiHidden/>
    <w:rsid w:val="00B450F8"/>
    <w:pPr>
      <w:spacing w:after="0" w:line="240" w:lineRule="auto"/>
    </w:pPr>
  </w:style>
  <w:style w:type="character" w:customStyle="1" w:styleId="apple-style-span">
    <w:name w:val="apple-style-span"/>
    <w:basedOn w:val="DefaultParagraphFont"/>
    <w:rsid w:val="00D02404"/>
  </w:style>
  <w:style w:type="paragraph" w:styleId="NormalWeb">
    <w:name w:val="Normal (Web)"/>
    <w:basedOn w:val="Normal"/>
    <w:uiPriority w:val="99"/>
    <w:semiHidden/>
    <w:unhideWhenUsed/>
    <w:rsid w:val="00337245"/>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235B7A"/>
    <w:rPr>
      <w:color w:val="800080" w:themeColor="followedHyperlink"/>
      <w:u w:val="single"/>
    </w:rPr>
  </w:style>
  <w:style w:type="paragraph" w:styleId="PlainText">
    <w:name w:val="Plain Text"/>
    <w:basedOn w:val="Normal"/>
    <w:link w:val="PlainTextChar"/>
    <w:uiPriority w:val="99"/>
    <w:semiHidden/>
    <w:unhideWhenUsed/>
    <w:rsid w:val="00D17B7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D17B78"/>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73228">
      <w:bodyDiv w:val="1"/>
      <w:marLeft w:val="0"/>
      <w:marRight w:val="0"/>
      <w:marTop w:val="0"/>
      <w:marBottom w:val="0"/>
      <w:divBdr>
        <w:top w:val="none" w:sz="0" w:space="0" w:color="auto"/>
        <w:left w:val="none" w:sz="0" w:space="0" w:color="auto"/>
        <w:bottom w:val="none" w:sz="0" w:space="0" w:color="auto"/>
        <w:right w:val="none" w:sz="0" w:space="0" w:color="auto"/>
      </w:divBdr>
    </w:div>
    <w:div w:id="1318413991">
      <w:bodyDiv w:val="1"/>
      <w:marLeft w:val="0"/>
      <w:marRight w:val="0"/>
      <w:marTop w:val="0"/>
      <w:marBottom w:val="0"/>
      <w:divBdr>
        <w:top w:val="none" w:sz="0" w:space="0" w:color="auto"/>
        <w:left w:val="none" w:sz="0" w:space="0" w:color="auto"/>
        <w:bottom w:val="none" w:sz="0" w:space="0" w:color="auto"/>
        <w:right w:val="none" w:sz="0" w:space="0" w:color="auto"/>
      </w:divBdr>
    </w:div>
    <w:div w:id="1473056509">
      <w:bodyDiv w:val="1"/>
      <w:marLeft w:val="0"/>
      <w:marRight w:val="0"/>
      <w:marTop w:val="0"/>
      <w:marBottom w:val="0"/>
      <w:divBdr>
        <w:top w:val="none" w:sz="0" w:space="0" w:color="auto"/>
        <w:left w:val="none" w:sz="0" w:space="0" w:color="auto"/>
        <w:bottom w:val="none" w:sz="0" w:space="0" w:color="auto"/>
        <w:right w:val="none" w:sz="0" w:space="0" w:color="auto"/>
      </w:divBdr>
    </w:div>
    <w:div w:id="1616137954">
      <w:bodyDiv w:val="1"/>
      <w:marLeft w:val="0"/>
      <w:marRight w:val="0"/>
      <w:marTop w:val="0"/>
      <w:marBottom w:val="0"/>
      <w:divBdr>
        <w:top w:val="none" w:sz="0" w:space="0" w:color="auto"/>
        <w:left w:val="none" w:sz="0" w:space="0" w:color="auto"/>
        <w:bottom w:val="none" w:sz="0" w:space="0" w:color="auto"/>
        <w:right w:val="none" w:sz="0" w:space="0" w:color="auto"/>
      </w:divBdr>
      <w:divsChild>
        <w:div w:id="522592134">
          <w:marLeft w:val="0"/>
          <w:marRight w:val="0"/>
          <w:marTop w:val="0"/>
          <w:marBottom w:val="0"/>
          <w:divBdr>
            <w:top w:val="none" w:sz="0" w:space="0" w:color="auto"/>
            <w:left w:val="none" w:sz="0" w:space="0" w:color="auto"/>
            <w:bottom w:val="none" w:sz="0" w:space="0" w:color="auto"/>
            <w:right w:val="none" w:sz="0" w:space="0" w:color="auto"/>
          </w:divBdr>
          <w:divsChild>
            <w:div w:id="339284817">
              <w:marLeft w:val="0"/>
              <w:marRight w:val="0"/>
              <w:marTop w:val="0"/>
              <w:marBottom w:val="0"/>
              <w:divBdr>
                <w:top w:val="none" w:sz="0" w:space="0" w:color="auto"/>
                <w:left w:val="none" w:sz="0" w:space="0" w:color="auto"/>
                <w:bottom w:val="none" w:sz="0" w:space="0" w:color="auto"/>
                <w:right w:val="none" w:sz="0" w:space="0" w:color="auto"/>
              </w:divBdr>
              <w:divsChild>
                <w:div w:id="648944159">
                  <w:marLeft w:val="0"/>
                  <w:marRight w:val="0"/>
                  <w:marTop w:val="0"/>
                  <w:marBottom w:val="0"/>
                  <w:divBdr>
                    <w:top w:val="none" w:sz="0" w:space="0" w:color="auto"/>
                    <w:left w:val="none" w:sz="0" w:space="0" w:color="auto"/>
                    <w:bottom w:val="none" w:sz="0" w:space="0" w:color="auto"/>
                    <w:right w:val="none" w:sz="0" w:space="0" w:color="auto"/>
                  </w:divBdr>
                  <w:divsChild>
                    <w:div w:id="1300303767">
                      <w:marLeft w:val="0"/>
                      <w:marRight w:val="0"/>
                      <w:marTop w:val="0"/>
                      <w:marBottom w:val="0"/>
                      <w:divBdr>
                        <w:top w:val="none" w:sz="0" w:space="0" w:color="auto"/>
                        <w:left w:val="none" w:sz="0" w:space="0" w:color="auto"/>
                        <w:bottom w:val="none" w:sz="0" w:space="0" w:color="auto"/>
                        <w:right w:val="none" w:sz="0" w:space="0" w:color="auto"/>
                      </w:divBdr>
                      <w:divsChild>
                        <w:div w:id="10899344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count.healthvault.com" TargetMode="External"/><Relationship Id="rId18" Type="http://schemas.openxmlformats.org/officeDocument/2006/relationships/hyperlink" Target="http://msdn.microsoft.com/en-us/library/ff803620.aspx" TargetMode="External"/><Relationship Id="rId26" Type="http://schemas.openxmlformats.org/officeDocument/2006/relationships/hyperlink" Target="http://msdn.microsoft.com/en-us/library/hh672196.aspx" TargetMode="External"/><Relationship Id="rId39" Type="http://schemas.openxmlformats.org/officeDocument/2006/relationships/hyperlink" Target="http://livescape.mobi/" TargetMode="External"/><Relationship Id="rId3" Type="http://schemas.openxmlformats.org/officeDocument/2006/relationships/styles" Target="styles.xml"/><Relationship Id="rId21" Type="http://schemas.openxmlformats.org/officeDocument/2006/relationships/hyperlink" Target="http://www.getrealconsulting.com/instantphr/"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atform.healthvault.com/platform/wildcat.ashx" TargetMode="External"/><Relationship Id="rId17" Type="http://schemas.openxmlformats.org/officeDocument/2006/relationships/hyperlink" Target="http://msdn.microsoft.com/en-us/library/ff803620.aspx" TargetMode="External"/><Relationship Id="rId25" Type="http://schemas.openxmlformats.org/officeDocument/2006/relationships/hyperlink" Target="http://developer.healthvault.com/pages/methods/methods.aspx" TargetMode="External"/><Relationship Id="rId33" Type="http://schemas.openxmlformats.org/officeDocument/2006/relationships/image" Target="media/image11.png"/><Relationship Id="rId38" Type="http://schemas.openxmlformats.org/officeDocument/2006/relationships/hyperlink" Target="http://www.itriagehealth.com/" TargetMode="External"/><Relationship Id="rId46" Type="http://schemas.openxmlformats.org/officeDocument/2006/relationships/hyperlink" Target="mailto:newuser@direct.healthvault.com" TargetMode="External"/><Relationship Id="rId2" Type="http://schemas.openxmlformats.org/officeDocument/2006/relationships/numbering" Target="numbering.xml"/><Relationship Id="rId16" Type="http://schemas.openxmlformats.org/officeDocument/2006/relationships/hyperlink" Target="https://config.healthvault-ppe.com" TargetMode="External"/><Relationship Id="rId20" Type="http://schemas.openxmlformats.org/officeDocument/2006/relationships/hyperlink" Target="http://msdn.microsoft.com/en-us/library/ff803576.aspx" TargetMode="External"/><Relationship Id="rId29" Type="http://schemas.openxmlformats.org/officeDocument/2006/relationships/image" Target="media/image7.png"/><Relationship Id="rId41" Type="http://schemas.openxmlformats.org/officeDocument/2006/relationships/hyperlink" Target="http://ineedm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s://github.com/microsoft-hsg/HealthVault-Mobile-iOS-Library" TargetMode="External"/><Relationship Id="rId40" Type="http://schemas.openxmlformats.org/officeDocument/2006/relationships/image" Target="media/image15.png"/><Relationship Id="rId45" Type="http://schemas.openxmlformats.org/officeDocument/2006/relationships/hyperlink" Target="http://www.fitbit.com/" TargetMode="External"/><Relationship Id="rId5" Type="http://schemas.openxmlformats.org/officeDocument/2006/relationships/settings" Target="settings.xml"/><Relationship Id="rId15" Type="http://schemas.openxmlformats.org/officeDocument/2006/relationships/hyperlink" Target="https://account.healthvault-ppe.com" TargetMode="External"/><Relationship Id="rId23" Type="http://schemas.openxmlformats.org/officeDocument/2006/relationships/hyperlink" Target="https://platform.healthvault.com/platform/openquery.ashx?id=9C4C77CF-1DF0-4c41-BD3D-EC9232B5BC8A" TargetMode="External"/><Relationship Id="rId28" Type="http://schemas.openxmlformats.org/officeDocument/2006/relationships/hyperlink" Target="http://code.google.com/p/flot/"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msdn.microsoft.com/en-us/library/ff803584.aspx" TargetMode="External"/><Relationship Id="rId31" Type="http://schemas.openxmlformats.org/officeDocument/2006/relationships/image" Target="media/image9.png"/><Relationship Id="rId44" Type="http://schemas.openxmlformats.org/officeDocument/2006/relationships/hyperlink" Target="https://healthmanager.mayoclinic.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latform.healthvault-ppe.com/latform"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7056E-0615-4D6D-A614-D1D16BF7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24</Pages>
  <Words>7227</Words>
  <Characters>41198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Bhandari</dc:creator>
  <cp:lastModifiedBy>Vaibhav Bhandari</cp:lastModifiedBy>
  <cp:revision>232</cp:revision>
  <dcterms:created xsi:type="dcterms:W3CDTF">2011-12-22T08:53:00Z</dcterms:created>
  <dcterms:modified xsi:type="dcterms:W3CDTF">2012-01-16T02:26:00Z</dcterms:modified>
</cp:coreProperties>
</file>