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A5F"/>
          <w:sz w:val="60"/>
          <w:szCs w:val="60"/>
        </w:rPr>
        <w:t xml:space="preserve">SQL Query Expert</w:t>
      </w:r>
    </w:p>
    <w:p>
      <w:pPr>
        <w:spacing w:after="120"/>
        <w:jc w:val="center"/>
      </w:pPr>
      <w:r>
        <w:rPr>
          <w:color w:val="2E5E8C"/>
          <w:sz w:val="28"/>
          <w:szCs w:val="28"/>
        </w:rPr>
        <w:t xml:space="preserve">Natural Language → PostgreSQL, powered by Vertex AI</w:t>
      </w:r>
    </w:p>
    <w:p>
      <w:pPr>
        <w:spacing w:after="40"/>
        <w:jc w:val="center"/>
      </w:pPr>
      <w:r>
        <w:rPr>
          <w:i/>
          <w:iCs/>
          <w:color w:val="444444"/>
          <w:sz w:val="24"/>
          <w:szCs w:val="24"/>
        </w:rPr>
        <w:t xml:space="preserve">A step-by-step explanation for the team</w:t>
      </w:r>
    </w:p>
    <w:p>
      <w:pPr>
        <w:spacing w:before="400"/>
        <w:jc w:val="center"/>
      </w:pPr>
      <w:r>
        <w:rPr>
          <w:color w:val="444444"/>
          <w:sz w:val="22"/>
          <w:szCs w:val="22"/>
        </w:rPr>
        <w:t xml:space="preserve">How each part of the notebook works, and why it exists</w:t>
      </w:r>
    </w:p>
    <w:p>
      <w:r>
        <w:br w:type="page"/>
      </w:r>
    </w:p>
    <w:p>
      <w:pPr>
        <w:pStyle w:val="Heading1"/>
        <w:spacing w:after="140" w:before="320"/>
      </w:pPr>
      <w:r>
        <w:rPr>
          <w:b/>
          <w:bCs/>
          <w:color w:val="1F3A5F"/>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A5F"/>
        </w:rPr>
        <w:t xml:space="preserve">1. What this tool does</w:t>
      </w:r>
    </w:p>
    <w:p>
      <w:pPr>
        <w:spacing w:after="120" w:line="276"/>
      </w:pPr>
      <w:r>
        <w:rPr>
          <w:color w:val="444444"/>
        </w:rPr>
        <w:t xml:space="preserve">This tool lets anyone ask a question about our database in plain English — for example </w:t>
      </w:r>
      <w:r>
        <w:rPr>
          <w:i/>
          <w:iCs/>
          <w:color w:val="444444"/>
        </w:rPr>
        <w:t xml:space="preserve">“which supplier has the highest total amount, and for which category?”</w:t>
      </w:r>
      <w:r>
        <w:rPr>
          <w:color w:val="444444"/>
        </w:rPr>
        <w:t xml:space="preserve"> — and get back a correct answer, without writing any SQL by hand. Behind the scenes it uses </w:t>
      </w:r>
      <w:r>
        <w:rPr>
          <w:b/>
          <w:bCs/>
          <w:color w:val="444444"/>
        </w:rPr>
        <w:t xml:space="preserve">Google Vertex AI (the Gemini model)</w:t>
      </w:r>
      <w:r>
        <w:rPr>
          <w:color w:val="444444"/>
        </w:rPr>
        <w:t xml:space="preserve"> to translate the question into a SQL query, runs that query against our </w:t>
      </w:r>
      <w:r>
        <w:rPr>
          <w:b/>
          <w:bCs/>
          <w:color w:val="444444"/>
        </w:rPr>
        <w:t xml:space="preserve">PostgreSQL</w:t>
      </w:r>
      <w:r>
        <w:rPr>
          <w:color w:val="444444"/>
        </w:rPr>
        <w:t xml:space="preserve"> database, and returns the result as a table.</w:t>
      </w:r>
    </w:p>
    <w:p>
      <w:pPr>
        <w:spacing w:after="120" w:line="276"/>
      </w:pPr>
      <w:r>
        <w:rPr>
          <w:color w:val="444444"/>
        </w:rPr>
        <w:t xml:space="preserve">The important part is everything that happens </w:t>
      </w:r>
      <w:r>
        <w:rPr>
          <w:i/>
          <w:iCs/>
          <w:color w:val="444444"/>
        </w:rPr>
        <w:t xml:space="preserve">around</w:t>
      </w:r>
      <w:r>
        <w:rPr>
          <w:color w:val="444444"/>
        </w:rPr>
        <w:t xml:space="preserve"> that translation. A language model on its own will happily invent tables, guess at columns, quietly pick one table when the data is spread across several, or even write a query that changes data. This notebook wraps the model in a series of checks so that what reaches the database is always safe, and what reaches the user is always something they can trust — or a clear explanation of why the question can’t be answered.</w:t>
      </w:r>
    </w:p>
    <w:p>
      <w:pPr>
        <w:pBdr>
          <w:left w:val="single" w:color="E0A800" w:sz="24" w:space="10"/>
        </w:pBdr>
        <w:shd w:fill="FFF7E6" w:color="auto" w:val="clear"/>
        <w:spacing w:after="140" w:before="100" w:line="268"/>
      </w:pPr>
      <w:r>
        <w:rPr>
          <w:b/>
          <w:bCs/>
          <w:color w:val="E0A800"/>
        </w:rPr>
        <w:t xml:space="preserve">In one sentence:  </w:t>
      </w:r>
      <w:r>
        <w:rPr>
          <w:color w:val="5C4B00"/>
        </w:rPr>
        <w:t xml:space="preserve">the notebook turns an English question into a safe, validated, read-only PostgreSQL query, and checks the question, the query, and the result at every stage.</w:t>
      </w:r>
    </w:p>
    <w:p>
      <w:pPr>
        <w:pStyle w:val="Heading1"/>
        <w:spacing w:after="140" w:before="320"/>
      </w:pPr>
      <w:r>
        <w:rPr>
          <w:b/>
          <w:bCs/>
          <w:color w:val="1F3A5F"/>
        </w:rPr>
        <w:t xml:space="preserve">2. The big picture</w:t>
      </w:r>
    </w:p>
    <w:p>
      <w:pPr>
        <w:spacing w:after="120" w:line="276"/>
      </w:pPr>
      <w:r>
        <w:rPr>
          <w:color w:val="444444"/>
        </w:rPr>
        <w:t xml:space="preserve">Every question flows through the same pipeline. Each arrow is a checkpoint that can stop or redirect the process before anything touches the database:</w:t>
      </w:r>
    </w:p>
    <w:p>
      <w:pPr>
        <w:pBdr>
          <w:top w:val="single" w:color="DDDDDD" w:sz="4" w:space="4"/>
          <w:left w:val="single" w:color="1A7F6B" w:sz="18" w:space="8"/>
        </w:pBdr>
        <w:shd w:fill="F4F4F4" w:color="auto" w:val="clear"/>
        <w:spacing w:after="0" w:line="240"/>
      </w:pPr>
      <w:r>
        <w:rPr>
          <w:rFonts w:ascii="Consolas" w:cs="Consolas" w:eastAsia="Consolas" w:hAnsi="Consolas"/>
          <w:color w:val="222222"/>
          <w:sz w:val="19"/>
          <w:szCs w:val="19"/>
        </w:rPr>
        <w:t xml:space="preserve">Your question</w:t>
      </w:r>
    </w:p>
    <w:p>
      <w:pPr>
        <w:pBdr>
          <w:left w:val="single" w:color="1A7F6B" w:sz="18" w:space="8"/>
        </w:pBdr>
        <w:shd w:fill="F4F4F4" w:color="auto" w:val="clear"/>
        <w:spacing w:after="0" w:line="240"/>
      </w:pPr>
      <w:r>
        <w:rPr>
          <w:rFonts w:ascii="Consolas" w:cs="Consolas" w:eastAsia="Consolas" w:hAnsi="Consolas"/>
          <w:color w:val="222222"/>
          <w:sz w:val="19"/>
          <w:szCs w:val="19"/>
        </w:rPr>
        <w:t xml:space="preserve">   -&gt; Answerability gate      (can our DB even answer this?)</w:t>
      </w:r>
    </w:p>
    <w:p>
      <w:pPr>
        <w:pBdr>
          <w:left w:val="single" w:color="1A7F6B" w:sz="18" w:space="8"/>
        </w:pBdr>
        <w:shd w:fill="F4F4F4" w:color="auto" w:val="clear"/>
        <w:spacing w:after="0" w:line="240"/>
      </w:pPr>
      <w:r>
        <w:rPr>
          <w:rFonts w:ascii="Consolas" w:cs="Consolas" w:eastAsia="Consolas" w:hAnsi="Consolas"/>
          <w:color w:val="222222"/>
          <w:sz w:val="19"/>
          <w:szCs w:val="19"/>
        </w:rPr>
        <w:t xml:space="preserve">   -&gt; Split-table menu        (current / historical / both?)</w:t>
      </w:r>
    </w:p>
    <w:p>
      <w:pPr>
        <w:pBdr>
          <w:left w:val="single" w:color="1A7F6B" w:sz="18" w:space="8"/>
        </w:pBdr>
        <w:shd w:fill="F4F4F4" w:color="auto" w:val="clear"/>
        <w:spacing w:after="0" w:line="240"/>
      </w:pPr>
      <w:r>
        <w:rPr>
          <w:rFonts w:ascii="Consolas" w:cs="Consolas" w:eastAsia="Consolas" w:hAnsi="Consolas"/>
          <w:color w:val="222222"/>
          <w:sz w:val="19"/>
          <w:szCs w:val="19"/>
        </w:rPr>
        <w:t xml:space="preserve">   -&gt; Gemini generates SQL    (the actual translation)</w:t>
      </w:r>
    </w:p>
    <w:p>
      <w:pPr>
        <w:pBdr>
          <w:left w:val="single" w:color="1A7F6B" w:sz="18" w:space="8"/>
        </w:pBdr>
        <w:shd w:fill="F4F4F4" w:color="auto" w:val="clear"/>
        <w:spacing w:after="0" w:line="240"/>
      </w:pPr>
      <w:r>
        <w:rPr>
          <w:rFonts w:ascii="Consolas" w:cs="Consolas" w:eastAsia="Consolas" w:hAnsi="Consolas"/>
          <w:color w:val="222222"/>
          <w:sz w:val="19"/>
          <w:szCs w:val="19"/>
        </w:rPr>
        <w:t xml:space="preserve">   -&gt; Safety validation       (read-only? tables &amp; columns real?)</w:t>
      </w:r>
    </w:p>
    <w:p>
      <w:pPr>
        <w:pBdr>
          <w:left w:val="single" w:color="1A7F6B" w:sz="18" w:space="8"/>
        </w:pBdr>
        <w:shd w:fill="F4F4F4" w:color="auto" w:val="clear"/>
        <w:spacing w:after="0" w:line="240"/>
      </w:pPr>
      <w:r>
        <w:rPr>
          <w:rFonts w:ascii="Consolas" w:cs="Consolas" w:eastAsia="Consolas" w:hAnsi="Consolas"/>
          <w:color w:val="222222"/>
          <w:sz w:val="19"/>
          <w:szCs w:val="19"/>
        </w:rPr>
        <w:t xml:space="preserve">   -&gt; EXPLAIN dry-run         (does PostgreSQL accept the plan?)</w:t>
      </w:r>
    </w:p>
    <w:p>
      <w:pPr>
        <w:pBdr>
          <w:left w:val="single" w:color="1A7F6B" w:sz="18" w:space="8"/>
        </w:pBdr>
        <w:shd w:fill="F4F4F4" w:color="auto" w:val="clear"/>
        <w:spacing w:after="0" w:line="240"/>
      </w:pPr>
      <w:r>
        <w:rPr>
          <w:rFonts w:ascii="Consolas" w:cs="Consolas" w:eastAsia="Consolas" w:hAnsi="Consolas"/>
          <w:color w:val="222222"/>
          <w:sz w:val="19"/>
          <w:szCs w:val="19"/>
        </w:rPr>
        <w:t xml:space="preserve">   -&gt; Read-only execution     (run it, always rolled back)</w:t>
      </w:r>
    </w:p>
    <w:p>
      <w:pPr>
        <w:pBdr>
          <w:left w:val="single" w:color="1A7F6B" w:sz="18" w:space="8"/>
        </w:pBdr>
        <w:shd w:fill="F4F4F4" w:color="auto" w:val="clear"/>
        <w:spacing w:after="0" w:line="240"/>
      </w:pPr>
      <w:r>
        <w:rPr>
          <w:rFonts w:ascii="Consolas" w:cs="Consolas" w:eastAsia="Consolas" w:hAnsi="Consolas"/>
          <w:color w:val="222222"/>
          <w:sz w:val="19"/>
          <w:szCs w:val="19"/>
        </w:rPr>
        <w:t xml:space="preserve">   -&gt; Output checks           (empty? all-NULL? row cap hit?)</w:t>
      </w:r>
    </w:p>
    <w:p>
      <w:pPr>
        <w:pBdr>
          <w:bottom w:val="single" w:color="DDDDDD" w:sz="4" w:space="4"/>
          <w:left w:val="single" w:color="1A7F6B" w:sz="18" w:space="8"/>
        </w:pBdr>
        <w:shd w:fill="F4F4F4" w:color="auto" w:val="clear"/>
        <w:spacing w:after="0" w:line="240"/>
      </w:pPr>
      <w:r>
        <w:rPr>
          <w:rFonts w:ascii="Consolas" w:cs="Consolas" w:eastAsia="Consolas" w:hAnsi="Consolas"/>
          <w:color w:val="222222"/>
          <w:sz w:val="19"/>
          <w:szCs w:val="19"/>
        </w:rPr>
        <w:t xml:space="preserve">   -&gt; Answer shown as a table</w:t>
      </w:r>
    </w:p>
    <w:p>
      <w:pPr>
        <w:spacing w:after="120" w:line="276"/>
      </w:pPr>
      <w:r>
        <w:rPr>
          <w:color w:val="444444"/>
        </w:rPr>
        <w:t xml:space="preserve">The notebook is organised as a sequence of cells you run </w:t>
      </w:r>
      <w:r>
        <w:rPr>
          <w:b/>
          <w:bCs/>
          <w:color w:val="444444"/>
        </w:rPr>
        <w:t xml:space="preserve">top to bottom, one at a time</w:t>
      </w:r>
      <w:r>
        <w:rPr>
          <w:color w:val="444444"/>
        </w:rPr>
        <w:t xml:space="preserve">. The first half (Steps 1–5) is one-time setup: install libraries, enter settings, connect to the database, read the schema, connect to Vertex AI. The second half (Steps 6–11) builds the pipeline above and then lets you ask questions.</w:t>
      </w:r>
    </w:p>
    <w:p>
      <w:pPr>
        <w:spacing w:after="60"/>
      </w:pPr>
      <w:r>
        <w:t xml:space="preserve"/>
      </w:r>
    </w:p>
    <w:p>
      <w:pPr>
        <w:pStyle w:val="Heading1"/>
        <w:spacing w:after="140" w:before="320"/>
      </w:pPr>
      <w:r>
        <w:rPr>
          <w:b/>
          <w:bCs/>
          <w:color w:val="1F3A5F"/>
        </w:rPr>
        <w:t xml:space="preserve">3. What each step does</w:t>
      </w:r>
    </w:p>
    <w:p>
      <w:pPr>
        <w:pStyle w:val="Heading2"/>
        <w:spacing w:after="100" w:before="240"/>
      </w:pPr>
      <w:r>
        <w:rPr>
          <w:b/>
          <w:bCs/>
          <w:color w:val="2E5E8C"/>
        </w:rPr>
        <w:t xml:space="preserve">Step 1 — Install the libraries</w:t>
      </w:r>
    </w:p>
    <w:p>
      <w:pPr>
        <w:spacing w:after="120" w:line="276"/>
      </w:pPr>
      <w:r>
        <w:rPr>
          <w:color w:val="444444"/>
        </w:rPr>
        <w:t xml:space="preserve">Installs the four Python packages the notebook needs: </w:t>
      </w:r>
      <w:r>
        <w:rPr>
          <w:rFonts w:ascii="Consolas" w:cs="Consolas" w:eastAsia="Consolas" w:hAnsi="Consolas"/>
          <w:color w:val="9C27B0"/>
          <w:sz w:val="19"/>
          <w:szCs w:val="19"/>
        </w:rPr>
        <w:t xml:space="preserve">google-genai</w:t>
      </w:r>
      <w:r>
        <w:rPr>
          <w:color w:val="444444"/>
        </w:rPr>
        <w:t xml:space="preserve"> (talks to Vertex AI / Gemini), </w:t>
      </w:r>
      <w:r>
        <w:rPr>
          <w:rFonts w:ascii="Consolas" w:cs="Consolas" w:eastAsia="Consolas" w:hAnsi="Consolas"/>
          <w:color w:val="9C27B0"/>
          <w:sz w:val="19"/>
          <w:szCs w:val="19"/>
        </w:rPr>
        <w:t xml:space="preserve">psycopg2-binary</w:t>
      </w:r>
      <w:r>
        <w:rPr>
          <w:color w:val="444444"/>
        </w:rPr>
        <w:t xml:space="preserve"> (connects Python to PostgreSQL), </w:t>
      </w:r>
      <w:r>
        <w:rPr>
          <w:rFonts w:ascii="Consolas" w:cs="Consolas" w:eastAsia="Consolas" w:hAnsi="Consolas"/>
          <w:color w:val="9C27B0"/>
          <w:sz w:val="19"/>
          <w:szCs w:val="19"/>
        </w:rPr>
        <w:t xml:space="preserve">pandas</w:t>
      </w:r>
      <w:r>
        <w:rPr>
          <w:color w:val="444444"/>
        </w:rPr>
        <w:t xml:space="preserve"> (displays results as neat tables), and a couple of helpers. This is run once per environment.</w:t>
      </w:r>
    </w:p>
    <w:p>
      <w:pPr>
        <w:pStyle w:val="Heading2"/>
        <w:spacing w:after="100" w:before="240"/>
      </w:pPr>
      <w:r>
        <w:rPr>
          <w:b/>
          <w:bCs/>
          <w:color w:val="2E5E8C"/>
        </w:rPr>
        <w:t xml:space="preserve">Step 2 — Configuration</w:t>
      </w:r>
    </w:p>
    <w:p>
      <w:pPr>
        <w:spacing w:after="120" w:line="276"/>
      </w:pPr>
      <w:r>
        <w:rPr>
          <w:color w:val="444444"/>
        </w:rPr>
        <w:t xml:space="preserve">This is the only cell you must edit before running anything. It holds two groups of settings:</w:t>
      </w:r>
    </w:p>
    <w:p>
      <w:pPr>
        <w:pStyle w:val="ListParagraph"/>
        <w:numPr>
          <w:ilvl w:val="0"/>
          <w:numId w:val="2"/>
        </w:numPr>
        <w:spacing w:after="90" w:line="268"/>
      </w:pPr>
      <w:r>
        <w:rPr>
          <w:b/>
          <w:bCs/>
          <w:color w:val="444444"/>
        </w:rPr>
        <w:t xml:space="preserve">Google Cloud / Vertex AI: </w:t>
      </w:r>
      <w:r>
        <w:rPr>
          <w:color w:val="444444"/>
        </w:rPr>
        <w:t xml:space="preserve">the project ID, the region, and which Gemini model to use (a fast one by default).</w:t>
      </w:r>
    </w:p>
    <w:p>
      <w:pPr>
        <w:pStyle w:val="ListParagraph"/>
        <w:numPr>
          <w:ilvl w:val="0"/>
          <w:numId w:val="2"/>
        </w:numPr>
        <w:spacing w:after="90" w:line="268"/>
      </w:pPr>
      <w:r>
        <w:rPr>
          <w:b/>
          <w:bCs/>
          <w:color w:val="444444"/>
        </w:rPr>
        <w:t xml:space="preserve">PostgreSQL: </w:t>
      </w:r>
      <w:r>
        <w:rPr>
          <w:color w:val="444444"/>
        </w:rPr>
        <w:t xml:space="preserve">the database host, port, name, username, and password, plus a safety cap on how many rows a query may return.</w:t>
      </w:r>
    </w:p>
    <w:p>
      <w:pPr>
        <w:spacing w:after="120" w:line="276"/>
      </w:pPr>
      <w:r>
        <w:rPr>
          <w:color w:val="444444"/>
        </w:rPr>
        <w:t xml:space="preserve">It also reminds you to </w:t>
      </w:r>
      <w:r>
        <w:rPr>
          <w:b/>
          <w:bCs/>
          <w:color w:val="444444"/>
        </w:rPr>
        <w:t xml:space="preserve">authenticate</w:t>
      </w:r>
      <w:r>
        <w:rPr>
          <w:color w:val="444444"/>
        </w:rPr>
        <w:t xml:space="preserve"> with Google Cloud first (a one-line command) and to make sure the Vertex AI service is switched on for the project. Nothing is actually tested here yet — the settings are checked for real in the next steps.</w:t>
      </w:r>
    </w:p>
    <w:p>
      <w:pPr>
        <w:pStyle w:val="Heading2"/>
        <w:spacing w:after="100" w:before="240"/>
      </w:pPr>
      <w:r>
        <w:rPr>
          <w:b/>
          <w:bCs/>
          <w:color w:val="2E5E8C"/>
        </w:rPr>
        <w:t xml:space="preserve">Step 3 — Connect to PostgreSQL and run health checks</w:t>
      </w:r>
    </w:p>
    <w:p>
      <w:pPr>
        <w:spacing w:after="120" w:line="276"/>
      </w:pPr>
      <w:r>
        <w:rPr>
          <w:color w:val="444444"/>
        </w:rPr>
        <w:t xml:space="preserve">Before trusting the AI with anything, the notebook makes sure the database itself is in a usable state. It runs three checks:</w:t>
      </w:r>
    </w:p>
    <w:p>
      <w:pPr>
        <w:pStyle w:val="ListParagraph"/>
        <w:numPr>
          <w:ilvl w:val="0"/>
          <w:numId w:val="3"/>
        </w:numPr>
        <w:spacing w:after="90" w:line="268"/>
      </w:pPr>
      <w:r>
        <w:rPr>
          <w:b/>
          <w:bCs/>
          <w:color w:val="444444"/>
        </w:rPr>
        <w:t xml:space="preserve">Can we connect at all? </w:t>
      </w:r>
      <w:r>
        <w:rPr>
          <w:color w:val="444444"/>
        </w:rPr>
        <w:t xml:space="preserve">If the host, port, or password is wrong, you get a clear error here rather than a confusing one later.</w:t>
      </w:r>
    </w:p>
    <w:p>
      <w:pPr>
        <w:pStyle w:val="ListParagraph"/>
        <w:numPr>
          <w:ilvl w:val="0"/>
          <w:numId w:val="3"/>
        </w:numPr>
        <w:spacing w:after="90" w:line="268"/>
      </w:pPr>
      <w:r>
        <w:rPr>
          <w:b/>
          <w:bCs/>
          <w:color w:val="444444"/>
        </w:rPr>
        <w:t xml:space="preserve">Do any tables exist? </w:t>
      </w:r>
      <w:r>
        <w:rPr>
          <w:color w:val="444444"/>
        </w:rPr>
        <w:t xml:space="preserve">A brand-new empty database can’t answer questions, so this is flagged.</w:t>
      </w:r>
    </w:p>
    <w:p>
      <w:pPr>
        <w:pStyle w:val="ListParagraph"/>
        <w:numPr>
          <w:ilvl w:val="0"/>
          <w:numId w:val="3"/>
        </w:numPr>
        <w:spacing w:after="90" w:line="268"/>
      </w:pPr>
      <w:r>
        <w:rPr>
          <w:b/>
          <w:bCs/>
          <w:color w:val="444444"/>
        </w:rPr>
        <w:t xml:space="preserve">Does each table actually contain data? </w:t>
      </w:r>
      <w:r>
        <w:rPr>
          <w:color w:val="444444"/>
        </w:rPr>
        <w:t xml:space="preserve">Every table’s row count is shown, and empty tables are marked with a warning. This matters because a perfectly correct query against an empty table returns zero rows — and without this check that looks like a bug when it isn’t.</w:t>
      </w:r>
    </w:p>
    <w:p>
      <w:pPr>
        <w:spacing w:after="120" w:line="276"/>
      </w:pPr>
      <w:r>
        <w:rPr>
          <w:color w:val="444444"/>
        </w:rPr>
        <w:t xml:space="preserve">There is also an optional cell that can create a small demo database (customers, orders, products) so the team can try the notebook even without a real database connected. It is switched </w:t>
      </w:r>
      <w:r>
        <w:rPr>
          <w:b/>
          <w:bCs/>
          <w:color w:val="444444"/>
        </w:rPr>
        <w:t xml:space="preserve">off</w:t>
      </w:r>
      <w:r>
        <w:rPr>
          <w:color w:val="444444"/>
        </w:rPr>
        <w:t xml:space="preserve"> by default so it can never accidentally write to real data.</w:t>
      </w:r>
    </w:p>
    <w:p>
      <w:pPr>
        <w:pStyle w:val="Heading2"/>
        <w:spacing w:after="100" w:before="240"/>
      </w:pPr>
      <w:r>
        <w:rPr>
          <w:b/>
          <w:bCs/>
          <w:color w:val="2E5E8C"/>
        </w:rPr>
        <w:t xml:space="preserve">Step 4 — Extract the database schema</w:t>
      </w:r>
    </w:p>
    <w:p>
      <w:pPr>
        <w:spacing w:after="120" w:line="276"/>
      </w:pPr>
      <w:r>
        <w:rPr>
          <w:color w:val="444444"/>
        </w:rPr>
        <w:t xml:space="preserve">The AI can only write correct SQL if it knows our tables, their columns, the data types, and how tables relate to each other. This step reads all of that automatically from PostgreSQL’s own catalogue and formats it as a clear text description. It produces two things: a human-readable </w:t>
      </w:r>
      <w:r>
        <w:rPr>
          <w:rFonts w:ascii="Consolas" w:cs="Consolas" w:eastAsia="Consolas" w:hAnsi="Consolas"/>
          <w:color w:val="9C27B0"/>
          <w:sz w:val="19"/>
          <w:szCs w:val="19"/>
        </w:rPr>
        <w:t xml:space="preserve">SCHEMA_TEXT</w:t>
      </w:r>
      <w:r>
        <w:rPr>
          <w:color w:val="444444"/>
        </w:rPr>
        <w:t xml:space="preserve"> that is included in every prompt to Gemini, and a </w:t>
      </w:r>
      <w:r>
        <w:rPr>
          <w:rFonts w:ascii="Consolas" w:cs="Consolas" w:eastAsia="Consolas" w:hAnsi="Consolas"/>
          <w:color w:val="9C27B0"/>
          <w:sz w:val="19"/>
          <w:szCs w:val="19"/>
        </w:rPr>
        <w:t xml:space="preserve">TABLE_COLUMNS</w:t>
      </w:r>
      <w:r>
        <w:rPr>
          <w:color w:val="444444"/>
        </w:rPr>
        <w:t xml:space="preserve"> catalogue that the safety checks use later to reject any invented table or column.</w:t>
      </w:r>
    </w:p>
    <w:p>
      <w:pPr>
        <w:pBdr>
          <w:left w:val="single" w:color="1A7F6B" w:sz="24" w:space="10"/>
        </w:pBdr>
        <w:shd w:fill="EAF5F1" w:color="auto" w:val="clear"/>
        <w:spacing w:after="140" w:before="100" w:line="268"/>
      </w:pPr>
      <w:r>
        <w:rPr>
          <w:b/>
          <w:bCs/>
          <w:color w:val="1A7F6B"/>
        </w:rPr>
        <w:t xml:space="preserve">Why foreign keys matter:  </w:t>
      </w:r>
      <w:r>
        <w:rPr>
          <w:color w:val="5C4B00"/>
        </w:rPr>
        <w:t xml:space="preserve">the schema includes the FOREIGN KEY lines that describe how tables link together. That is how the model learns, for example, that bids.supplier_id points to suppliers.id. If our tables have no foreign keys defined, the model has to guess relationships — so defining them (or describing them in Step 4b) makes joins far more reliable.</w:t>
      </w:r>
    </w:p>
    <w:p>
      <w:pPr>
        <w:pStyle w:val="Heading2"/>
        <w:spacing w:after="100" w:before="240"/>
      </w:pPr>
      <w:r>
        <w:rPr>
          <w:b/>
          <w:bCs/>
          <w:color w:val="2E5E8C"/>
        </w:rPr>
        <w:t xml:space="preserve">Step 4b — Describe your tables (business rules)</w:t>
      </w:r>
    </w:p>
    <w:p>
      <w:pPr>
        <w:spacing w:after="120" w:line="276"/>
      </w:pPr>
      <w:r>
        <w:rPr>
          <w:color w:val="444444"/>
        </w:rPr>
        <w:t xml:space="preserve">Column names alone can’t capture our business rules. This step is a place to write, in plain English, one line per table — and it is one of the most important cells for getting correct answers. The classic example: a table called </w:t>
      </w:r>
      <w:r>
        <w:rPr>
          <w:rFonts w:ascii="Consolas" w:cs="Consolas" w:eastAsia="Consolas" w:hAnsi="Consolas"/>
          <w:color w:val="9C27B0"/>
          <w:sz w:val="19"/>
          <w:szCs w:val="19"/>
        </w:rPr>
        <w:t xml:space="preserve">suppliers_old</w:t>
      </w:r>
      <w:r>
        <w:rPr>
          <w:color w:val="444444"/>
        </w:rPr>
        <w:t xml:space="preserve"> looks like a backup the model should ignore, but our rule might be that historical suppliers </w:t>
      </w:r>
      <w:r>
        <w:rPr>
          <w:b/>
          <w:bCs/>
          <w:color w:val="444444"/>
        </w:rPr>
        <w:t xml:space="preserve">must be combined</w:t>
      </w:r>
      <w:r>
        <w:rPr>
          <w:color w:val="444444"/>
        </w:rPr>
        <w:t xml:space="preserve"> with current ones when calculating totals. Writing that down here fixes it.</w:t>
      </w:r>
    </w:p>
    <w:p>
      <w:pPr>
        <w:spacing w:after="120" w:line="276"/>
      </w:pPr>
      <w:r>
        <w:rPr>
          <w:color w:val="444444"/>
        </w:rPr>
        <w:t xml:space="preserve">Every note you write is injected into all three model prompts — the answerability gate, the ambiguity check, and the SQL generation — so the whole pipeline follows the same rules. There is also a place for general rules such as </w:t>
      </w:r>
      <w:r>
        <w:rPr>
          <w:i/>
          <w:iCs/>
          <w:color w:val="444444"/>
        </w:rPr>
        <w:t xml:space="preserve">“exclude cancelled orders unless asked”</w:t>
      </w:r>
      <w:r>
        <w:rPr>
          <w:color w:val="444444"/>
        </w:rPr>
        <w:t xml:space="preserve">.</w:t>
      </w:r>
    </w:p>
    <w:p>
      <w:pPr>
        <w:pStyle w:val="Heading2"/>
        <w:spacing w:after="100" w:before="240"/>
      </w:pPr>
      <w:r>
        <w:rPr>
          <w:b/>
          <w:bCs/>
          <w:color w:val="2E5E8C"/>
        </w:rPr>
        <w:t xml:space="preserve">Step 5 — Connect to Vertex AI (Gemini)</w:t>
      </w:r>
    </w:p>
    <w:p>
      <w:pPr>
        <w:spacing w:after="120" w:line="276"/>
      </w:pPr>
      <w:r>
        <w:rPr>
          <w:color w:val="444444"/>
        </w:rPr>
        <w:t xml:space="preserve">A short test call to Gemini that confirms four things at once: the project ID and region are correct, authentication worked, and the Vertex AI service is enabled. If anything is misconfigured, you find out here with a specific error message rather than mid-question.</w:t>
      </w:r>
    </w:p>
    <w:p>
      <w:pPr>
        <w:pStyle w:val="Heading2"/>
        <w:spacing w:after="100" w:before="240"/>
      </w:pPr>
      <w:r>
        <w:rPr>
          <w:b/>
          <w:bCs/>
          <w:color w:val="2E5E8C"/>
        </w:rPr>
        <w:t xml:space="preserve">Step 6 — The answerability gate and ambiguity checks</w:t>
      </w:r>
    </w:p>
    <w:p>
      <w:pPr>
        <w:spacing w:after="120" w:line="276"/>
      </w:pPr>
      <w:r>
        <w:rPr>
          <w:color w:val="444444"/>
        </w:rPr>
        <w:t xml:space="preserve">Two safeguards run before any SQL is generated. Both are what stop the system from “just answering whatever you give it.”</w:t>
      </w:r>
    </w:p>
    <w:p>
      <w:pPr>
        <w:pStyle w:val="Heading3"/>
        <w:spacing w:after="80" w:before="180"/>
      </w:pPr>
      <w:r>
        <w:rPr>
          <w:b/>
          <w:bCs/>
          <w:color w:val="1A7F6B"/>
        </w:rPr>
        <w:t xml:space="preserve">The answerability gate</w:t>
      </w:r>
    </w:p>
    <w:p>
      <w:pPr>
        <w:spacing w:after="120" w:line="276"/>
      </w:pPr>
      <w:r>
        <w:rPr>
          <w:color w:val="444444"/>
        </w:rPr>
        <w:t xml:space="preserve">A separate, deliberately strict call to Gemini decides whether the question can be answered using </w:t>
      </w:r>
      <w:r>
        <w:rPr>
          <w:b/>
          <w:bCs/>
          <w:color w:val="444444"/>
        </w:rPr>
        <w:t xml:space="preserve">only</w:t>
      </w:r>
      <w:r>
        <w:rPr>
          <w:color w:val="444444"/>
        </w:rPr>
        <w:t xml:space="preserve"> our tables and columns. Greetings, general knowledge, or questions about data we don’t have are refused — with the reason and a note of what’s missing — instead of being answered with a made-up query. If this gate ever produces an unreadable response, it deliberately fails </w:t>
      </w:r>
      <w:r>
        <w:rPr>
          <w:b/>
          <w:bCs/>
          <w:color w:val="444444"/>
        </w:rPr>
        <w:t xml:space="preserve">closed</w:t>
      </w:r>
      <w:r>
        <w:rPr>
          <w:color w:val="444444"/>
        </w:rPr>
        <w:t xml:space="preserve"> (it refuses) rather than guessing.</w:t>
      </w:r>
    </w:p>
    <w:p>
      <w:pPr>
        <w:pStyle w:val="Heading3"/>
        <w:spacing w:after="80" w:before="180"/>
      </w:pPr>
      <w:r>
        <w:rPr>
          <w:b/>
          <w:bCs/>
          <w:color w:val="1A7F6B"/>
        </w:rPr>
        <w:t xml:space="preserve">The split-table handler</w:t>
      </w:r>
    </w:p>
    <w:p>
      <w:pPr>
        <w:spacing w:after="120" w:line="276"/>
      </w:pPr>
      <w:r>
        <w:rPr>
          <w:color w:val="444444"/>
        </w:rPr>
        <w:t xml:space="preserve">When data is spread across a current table and a historical one (for example </w:t>
      </w:r>
      <w:r>
        <w:rPr>
          <w:rFonts w:ascii="Consolas" w:cs="Consolas" w:eastAsia="Consolas" w:hAnsi="Consolas"/>
          <w:color w:val="9C27B0"/>
          <w:sz w:val="19"/>
          <w:szCs w:val="19"/>
        </w:rPr>
        <w:t xml:space="preserve">bids</w:t>
      </w:r>
      <w:r>
        <w:rPr>
          <w:color w:val="444444"/>
        </w:rPr>
        <w:t xml:space="preserve"> and </w:t>
      </w:r>
      <w:r>
        <w:rPr>
          <w:rFonts w:ascii="Consolas" w:cs="Consolas" w:eastAsia="Consolas" w:hAnsi="Consolas"/>
          <w:color w:val="9C27B0"/>
          <w:sz w:val="19"/>
          <w:szCs w:val="19"/>
        </w:rPr>
        <w:t xml:space="preserve">bids_old</w:t>
      </w:r>
      <w:r>
        <w:rPr>
          <w:color w:val="444444"/>
        </w:rPr>
        <w:t xml:space="preserve">), the notebook detects that pair </w:t>
      </w:r>
      <w:r>
        <w:rPr>
          <w:b/>
          <w:bCs/>
          <w:color w:val="444444"/>
        </w:rPr>
        <w:t xml:space="preserve">in code</w:t>
      </w:r>
      <w:r>
        <w:rPr>
          <w:color w:val="444444"/>
        </w:rPr>
        <w:t xml:space="preserve"> — by recognising naming patterns like </w:t>
      </w:r>
      <w:r>
        <w:rPr>
          <w:rFonts w:ascii="Consolas" w:cs="Consolas" w:eastAsia="Consolas" w:hAnsi="Consolas"/>
          <w:color w:val="9C27B0"/>
          <w:sz w:val="19"/>
          <w:szCs w:val="19"/>
        </w:rPr>
        <w:t xml:space="preserve">_old</w:t>
      </w:r>
      <w:r>
        <w:rPr>
          <w:color w:val="444444"/>
        </w:rPr>
        <w:t xml:space="preserve">, </w:t>
      </w:r>
      <w:r>
        <w:rPr>
          <w:rFonts w:ascii="Consolas" w:cs="Consolas" w:eastAsia="Consolas" w:hAnsi="Consolas"/>
          <w:color w:val="9C27B0"/>
          <w:sz w:val="19"/>
          <w:szCs w:val="19"/>
        </w:rPr>
        <w:t xml:space="preserve">_history</w:t>
      </w:r>
      <w:r>
        <w:rPr>
          <w:color w:val="444444"/>
        </w:rPr>
        <w:t xml:space="preserve">, or </w:t>
      </w:r>
      <w:r>
        <w:rPr>
          <w:rFonts w:ascii="Consolas" w:cs="Consolas" w:eastAsia="Consolas" w:hAnsi="Consolas"/>
          <w:color w:val="9C27B0"/>
          <w:sz w:val="19"/>
          <w:szCs w:val="19"/>
        </w:rPr>
        <w:t xml:space="preserve">_archive</w:t>
      </w:r>
      <w:r>
        <w:rPr>
          <w:color w:val="444444"/>
        </w:rPr>
        <w:t xml:space="preserve"> — and always offers the same three choices: current only, historical only, or both combined. Because this menu is built by code rather than by the model, it can never accidentally leave out an option. If you’ve already written a Step 4b note for those tables, the note decides automatically and no menu appears.</w:t>
      </w:r>
    </w:p>
    <w:p>
      <w:pPr>
        <w:pStyle w:val="Heading3"/>
        <w:spacing w:after="80" w:before="180"/>
      </w:pPr>
      <w:r>
        <w:rPr>
          <w:b/>
          <w:bCs/>
          <w:color w:val="1A7F6B"/>
        </w:rPr>
        <w:t xml:space="preserve">The general ambiguity check</w:t>
      </w:r>
    </w:p>
    <w:p>
      <w:pPr>
        <w:spacing w:after="120" w:line="276"/>
      </w:pPr>
      <w:r>
        <w:rPr>
          <w:color w:val="444444"/>
        </w:rPr>
        <w:t xml:space="preserve">For other kinds of ambiguity — say the same amount exists in two unrelated tables — a model-based check lists the possible interpretations and lets the user pick, rather than silently choosing one.</w:t>
      </w:r>
    </w:p>
    <w:p>
      <w:pPr>
        <w:pStyle w:val="Heading2"/>
        <w:spacing w:after="100" w:before="240"/>
      </w:pPr>
      <w:r>
        <w:rPr>
          <w:b/>
          <w:bCs/>
          <w:color w:val="2E5E8C"/>
        </w:rPr>
        <w:t xml:space="preserve">Step 7 — The SQL-generation prompt</w:t>
      </w:r>
    </w:p>
    <w:p>
      <w:pPr>
        <w:spacing w:after="120" w:line="276"/>
      </w:pPr>
      <w:r>
        <w:rPr>
          <w:color w:val="444444"/>
        </w:rPr>
        <w:t xml:space="preserve">This is the instruction sheet given to Gemini. It pins down the rules (PostgreSQL only, read-only queries only, use only real tables and columns, combine split tables with UNION ALL, always reply in a fixed format) and includes a handful of </w:t>
      </w:r>
      <w:r>
        <w:rPr>
          <w:b/>
          <w:bCs/>
          <w:color w:val="444444"/>
        </w:rPr>
        <w:t xml:space="preserve">worked examples</w:t>
      </w:r>
      <w:r>
        <w:rPr>
          <w:color w:val="444444"/>
        </w:rPr>
        <w:t xml:space="preserve"> — English question paired with the ideal SQL. These examples are where most of the accuracy comes from. Replacing them with real examples from our own schema is the single biggest improvement we can make to answer quality.</w:t>
      </w:r>
    </w:p>
    <w:p>
      <w:pPr>
        <w:pStyle w:val="Heading2"/>
        <w:spacing w:after="100" w:before="240"/>
      </w:pPr>
      <w:r>
        <w:rPr>
          <w:b/>
          <w:bCs/>
          <w:color w:val="2E5E8C"/>
        </w:rPr>
        <w:t xml:space="preserve">Step 8 — The safety validators</w:t>
      </w:r>
    </w:p>
    <w:p>
      <w:pPr>
        <w:spacing w:after="120" w:line="276"/>
      </w:pPr>
      <w:r>
        <w:rPr>
          <w:color w:val="444444"/>
        </w:rPr>
        <w:t xml:space="preserve">This is the enforcement layer. We </w:t>
      </w:r>
      <w:r>
        <w:rPr>
          <w:b/>
          <w:bCs/>
          <w:color w:val="444444"/>
        </w:rPr>
        <w:t xml:space="preserve">never</w:t>
      </w:r>
      <w:r>
        <w:rPr>
          <w:color w:val="444444"/>
        </w:rPr>
        <w:t xml:space="preserve"> trust the model’s promise to be read-only — this code guarantees it. Five independent layers stand between the generated SQL and our data:</w:t>
      </w:r>
    </w:p>
    <w:p>
      <w:pPr>
        <w:spacing w:after="40"/>
      </w:pPr>
      <w:r>
        <w:t xml:space="preserve"/>
      </w:r>
    </w:p>
    <w:tbl>
      <w:tblPr>
        <w:tblW w:type="dxa" w:w="9000"/>
        <w:tblBorders>
          <w:top w:val="single" w:color="CCCCCC" w:sz="2"/>
          <w:left w:val="single" w:color="CCCCCC" w:sz="2"/>
          <w:bottom w:val="single" w:color="CCCCCC" w:sz="2"/>
          <w:right w:val="single" w:color="CCCCCC" w:sz="2"/>
          <w:insideH w:val="single" w:color="DDDDDD" w:sz="2"/>
          <w:insideV w:val="single" w:color="DDDDDD" w:sz="2"/>
        </w:tblBorders>
      </w:tblPr>
      <w:tblGrid>
        <w:gridCol w:w="3000"/>
        <w:gridCol w:w="6000"/>
      </w:tblGrid>
      <w:tr>
        <w:trPr>
          <w:tblHeader/>
        </w:trPr>
        <w:tc>
          <w:tcPr>
            <w:tcW w:type="dxa" w:w="3000"/>
            <w:shd w:fill="1F3A5F" w:color="auto" w:val="clear"/>
            <w:tcMar>
              <w:top w:type="dxa" w:w="60"/>
              <w:left w:type="dxa" w:w="110"/>
              <w:bottom w:type="dxa" w:w="60"/>
              <w:right w:type="dxa" w:w="110"/>
            </w:tcMar>
          </w:tcPr>
          <w:p>
            <w:pPr>
              <w:spacing w:after="0"/>
            </w:pPr>
            <w:r>
              <w:rPr>
                <w:b/>
                <w:bCs/>
                <w:color w:val="FFFFFF"/>
              </w:rPr>
              <w:t xml:space="preserve">Layer</w:t>
            </w:r>
          </w:p>
        </w:tc>
        <w:tc>
          <w:tcPr>
            <w:tcW w:type="dxa" w:w="6000"/>
            <w:shd w:fill="1F3A5F" w:color="auto" w:val="clear"/>
            <w:tcMar>
              <w:top w:type="dxa" w:w="60"/>
              <w:left w:type="dxa" w:w="110"/>
              <w:bottom w:type="dxa" w:w="60"/>
              <w:right w:type="dxa" w:w="110"/>
            </w:tcMar>
          </w:tcPr>
          <w:p>
            <w:pPr>
              <w:spacing w:after="0"/>
            </w:pPr>
            <w:r>
              <w:rPr>
                <w:b/>
                <w:bCs/>
                <w:color w:val="FFFFFF"/>
              </w:rPr>
              <w:t xml:space="preserve">What it catches</w:t>
            </w:r>
          </w:p>
        </w:tc>
      </w:tr>
      <w:tr>
        <w:tc>
          <w:tcPr>
            <w:tcW w:type="dxa" w:w="3000"/>
            <w:shd w:fill="EEF3F8" w:color="auto" w:val="clear"/>
            <w:tcMar>
              <w:top w:type="dxa" w:w="60"/>
              <w:left w:type="dxa" w:w="110"/>
              <w:bottom w:type="dxa" w:w="60"/>
              <w:right w:type="dxa" w:w="110"/>
            </w:tcMar>
          </w:tcPr>
          <w:p>
            <w:pPr>
              <w:spacing w:after="0"/>
            </w:pPr>
            <w:r>
              <w:rPr>
                <w:b/>
                <w:bCs/>
                <w:color w:val="1F3A5F"/>
              </w:rPr>
              <w:t xml:space="preserve">1. Read-only / single statement</w:t>
            </w:r>
          </w:p>
        </w:tc>
        <w:tc>
          <w:tcPr>
            <w:tcW w:type="dxa" w:w="6000"/>
            <w:shd w:fill="EEF3F8" w:color="auto" w:val="clear"/>
            <w:tcMar>
              <w:top w:type="dxa" w:w="60"/>
              <w:left w:type="dxa" w:w="110"/>
              <w:bottom w:type="dxa" w:w="60"/>
              <w:right w:type="dxa" w:w="110"/>
            </w:tcMar>
          </w:tcPr>
          <w:p>
            <w:pPr>
              <w:spacing w:after="0"/>
            </w:pPr>
            <w:r>
              <w:rPr>
                <w:color w:val="444444"/>
              </w:rPr>
              <w:t xml:space="preserve">Rejects anything that isn’t a single SELECT/WITH query — no DELETE, DROP, UPDATE, and no hidden second statement smuggled in after a semicolon.</w:t>
            </w:r>
          </w:p>
        </w:tc>
      </w:tr>
      <w:tr>
        <w:tc>
          <w:tcPr>
            <w:tcW w:type="dxa" w:w="3000"/>
            <w:shd w:fill="FFFFFF" w:color="auto" w:val="clear"/>
            <w:tcMar>
              <w:top w:type="dxa" w:w="60"/>
              <w:left w:type="dxa" w:w="110"/>
              <w:bottom w:type="dxa" w:w="60"/>
              <w:right w:type="dxa" w:w="110"/>
            </w:tcMar>
          </w:tcPr>
          <w:p>
            <w:pPr>
              <w:spacing w:after="0"/>
            </w:pPr>
            <w:r>
              <w:rPr>
                <w:b/>
                <w:bCs/>
                <w:color w:val="1F3A5F"/>
              </w:rPr>
              <w:t xml:space="preserve">2. Table existence</w:t>
            </w:r>
          </w:p>
        </w:tc>
        <w:tc>
          <w:tcPr>
            <w:tcW w:type="dxa" w:w="6000"/>
            <w:shd w:fill="FFFFFF" w:color="auto" w:val="clear"/>
            <w:tcMar>
              <w:top w:type="dxa" w:w="60"/>
              <w:left w:type="dxa" w:w="110"/>
              <w:bottom w:type="dxa" w:w="60"/>
              <w:right w:type="dxa" w:w="110"/>
            </w:tcMar>
          </w:tcPr>
          <w:p>
            <w:pPr>
              <w:spacing w:after="0"/>
            </w:pPr>
            <w:r>
              <w:rPr>
                <w:color w:val="444444"/>
              </w:rPr>
              <w:t xml:space="preserve">Every table named in the query must actually exist in our database (understands temporary CTE names too).</w:t>
            </w:r>
          </w:p>
        </w:tc>
      </w:tr>
      <w:tr>
        <w:tc>
          <w:tcPr>
            <w:tcW w:type="dxa" w:w="3000"/>
            <w:shd w:fill="EEF3F8" w:color="auto" w:val="clear"/>
            <w:tcMar>
              <w:top w:type="dxa" w:w="60"/>
              <w:left w:type="dxa" w:w="110"/>
              <w:bottom w:type="dxa" w:w="60"/>
              <w:right w:type="dxa" w:w="110"/>
            </w:tcMar>
          </w:tcPr>
          <w:p>
            <w:pPr>
              <w:spacing w:after="0"/>
            </w:pPr>
            <w:r>
              <w:rPr>
                <w:b/>
                <w:bCs/>
                <w:color w:val="1F3A5F"/>
              </w:rPr>
              <w:t xml:space="preserve">3. Column existence</w:t>
            </w:r>
          </w:p>
        </w:tc>
        <w:tc>
          <w:tcPr>
            <w:tcW w:type="dxa" w:w="6000"/>
            <w:shd w:fill="EEF3F8" w:color="auto" w:val="clear"/>
            <w:tcMar>
              <w:top w:type="dxa" w:w="60"/>
              <w:left w:type="dxa" w:w="110"/>
              <w:bottom w:type="dxa" w:w="60"/>
              <w:right w:type="dxa" w:w="110"/>
            </w:tcMar>
          </w:tcPr>
          <w:p>
            <w:pPr>
              <w:spacing w:after="0"/>
            </w:pPr>
            <w:r>
              <w:rPr>
                <w:color w:val="444444"/>
              </w:rPr>
              <w:t xml:space="preserve">Every table.column reference is checked against the real columns of that table, so invented columns are caught.</w:t>
            </w:r>
          </w:p>
        </w:tc>
      </w:tr>
      <w:tr>
        <w:tc>
          <w:tcPr>
            <w:tcW w:type="dxa" w:w="3000"/>
            <w:shd w:fill="FFFFFF" w:color="auto" w:val="clear"/>
            <w:tcMar>
              <w:top w:type="dxa" w:w="60"/>
              <w:left w:type="dxa" w:w="110"/>
              <w:bottom w:type="dxa" w:w="60"/>
              <w:right w:type="dxa" w:w="110"/>
            </w:tcMar>
          </w:tcPr>
          <w:p>
            <w:pPr>
              <w:spacing w:after="0"/>
            </w:pPr>
            <w:r>
              <w:rPr>
                <w:b/>
                <w:bCs/>
                <w:color w:val="1F3A5F"/>
              </w:rPr>
              <w:t xml:space="preserve">4. EXPLAIN dry-run</w:t>
            </w:r>
          </w:p>
        </w:tc>
        <w:tc>
          <w:tcPr>
            <w:tcW w:type="dxa" w:w="6000"/>
            <w:shd w:fill="FFFFFF" w:color="auto" w:val="clear"/>
            <w:tcMar>
              <w:top w:type="dxa" w:w="60"/>
              <w:left w:type="dxa" w:w="110"/>
              <w:bottom w:type="dxa" w:w="60"/>
              <w:right w:type="dxa" w:w="110"/>
            </w:tcMar>
          </w:tcPr>
          <w:p>
            <w:pPr>
              <w:spacing w:after="0"/>
            </w:pPr>
            <w:r>
              <w:rPr>
                <w:color w:val="444444"/>
              </w:rPr>
              <w:t xml:space="preserve">PostgreSQL is asked to plan the query without running it — this catches type errors and anything the first three layers missed.</w:t>
            </w:r>
          </w:p>
        </w:tc>
      </w:tr>
      <w:tr>
        <w:tc>
          <w:tcPr>
            <w:tcW w:type="dxa" w:w="3000"/>
            <w:shd w:fill="EEF3F8" w:color="auto" w:val="clear"/>
            <w:tcMar>
              <w:top w:type="dxa" w:w="60"/>
              <w:left w:type="dxa" w:w="110"/>
              <w:bottom w:type="dxa" w:w="60"/>
              <w:right w:type="dxa" w:w="110"/>
            </w:tcMar>
          </w:tcPr>
          <w:p>
            <w:pPr>
              <w:spacing w:after="0"/>
            </w:pPr>
            <w:r>
              <w:rPr>
                <w:b/>
                <w:bCs/>
                <w:color w:val="1F3A5F"/>
              </w:rPr>
              <w:t xml:space="preserve">5. Read-only execution</w:t>
            </w:r>
          </w:p>
        </w:tc>
        <w:tc>
          <w:tcPr>
            <w:tcW w:type="dxa" w:w="6000"/>
            <w:shd w:fill="EEF3F8" w:color="auto" w:val="clear"/>
            <w:tcMar>
              <w:top w:type="dxa" w:w="60"/>
              <w:left w:type="dxa" w:w="110"/>
              <w:bottom w:type="dxa" w:w="60"/>
              <w:right w:type="dxa" w:w="110"/>
            </w:tcMar>
          </w:tcPr>
          <w:p>
            <w:pPr>
              <w:spacing w:after="0"/>
            </w:pPr>
            <w:r>
              <w:rPr>
                <w:color w:val="444444"/>
              </w:rPr>
              <w:t xml:space="preserve">Even at run time the database session is set to read-only and every query is rolled back, so nothing can ever be changed.</w:t>
            </w:r>
          </w:p>
        </w:tc>
      </w:tr>
    </w:tbl>
    <w:p>
      <w:pPr>
        <w:spacing w:after="40"/>
      </w:pPr>
      <w:r>
        <w:t xml:space="preserve"/>
      </w:r>
    </w:p>
    <w:p>
      <w:pPr>
        <w:spacing w:after="120" w:line="276"/>
      </w:pPr>
      <w:r>
        <w:rPr>
          <w:color w:val="444444"/>
        </w:rPr>
        <w:t xml:space="preserve">A query must also use at least one real table from our database, so meaningless queries like </w:t>
      </w:r>
      <w:r>
        <w:rPr>
          <w:rFonts w:ascii="Consolas" w:cs="Consolas" w:eastAsia="Consolas" w:hAnsi="Consolas"/>
          <w:color w:val="9C27B0"/>
          <w:sz w:val="19"/>
          <w:szCs w:val="19"/>
        </w:rPr>
        <w:t xml:space="preserve">SELECT 2+2</w:t>
      </w:r>
      <w:r>
        <w:rPr>
          <w:color w:val="444444"/>
        </w:rPr>
        <w:t xml:space="preserve"> are refused as well.</w:t>
      </w:r>
    </w:p>
    <w:p>
      <w:pPr>
        <w:pStyle w:val="Heading2"/>
        <w:spacing w:after="100" w:before="240"/>
      </w:pPr>
      <w:r>
        <w:rPr>
          <w:b/>
          <w:bCs/>
          <w:color w:val="2E5E8C"/>
        </w:rPr>
        <w:t xml:space="preserve">Step 9 — Self-test the guardrails</w:t>
      </w:r>
    </w:p>
    <w:p>
      <w:pPr>
        <w:spacing w:after="120" w:line="276"/>
      </w:pPr>
      <w:r>
        <w:rPr>
          <w:color w:val="444444"/>
        </w:rPr>
        <w:t xml:space="preserve">A cell you can run to </w:t>
      </w:r>
      <w:r>
        <w:rPr>
          <w:b/>
          <w:bCs/>
          <w:color w:val="444444"/>
        </w:rPr>
        <w:t xml:space="preserve">watch</w:t>
      </w:r>
      <w:r>
        <w:rPr>
          <w:color w:val="444444"/>
        </w:rPr>
        <w:t xml:space="preserve"> the safety checks reject bad input: a delete statement, a hidden second statement, a non-existent table, an invented column, and a table-less query are all fed in, and each should come back marked REJECTED. If any line isn’t rejected, the cell tells you not to use the pipeline. This means the team can verify the safety net works rather than taking it on faith.</w:t>
      </w:r>
    </w:p>
    <w:p>
      <w:pPr>
        <w:pStyle w:val="Heading2"/>
        <w:spacing w:after="100" w:before="240"/>
      </w:pPr>
      <w:r>
        <w:rPr>
          <w:b/>
          <w:bCs/>
          <w:color w:val="2E5E8C"/>
        </w:rPr>
        <w:t xml:space="preserve">Step 10 — The full pipeline: ask(“your question”)</w:t>
      </w:r>
    </w:p>
    <w:p>
      <w:pPr>
        <w:spacing w:after="120" w:line="276"/>
      </w:pPr>
      <w:r>
        <w:rPr>
          <w:color w:val="444444"/>
        </w:rPr>
        <w:t xml:space="preserve">This ties everything together into a single function. For every question it runs the gate, then the split-table / ambiguity handling, then asks Gemini for SQL, then runs all five validation layers, the EXPLAIN dry-run, the read-only execution, and finally the output checks. The result table is always displayed on screen under an “ANSWER” heading, and also returned so it can be used further in Python (saved to CSV, charted, and so on).</w:t>
      </w:r>
    </w:p>
    <w:p>
      <w:pPr>
        <w:spacing w:after="120" w:line="276"/>
      </w:pPr>
      <w:r>
        <w:rPr>
          <w:color w:val="444444"/>
        </w:rPr>
        <w:t xml:space="preserve">Two useful features are built in. First, </w:t>
      </w:r>
      <w:r>
        <w:rPr>
          <w:b/>
          <w:bCs/>
          <w:color w:val="444444"/>
        </w:rPr>
        <w:t xml:space="preserve">self-correction</w:t>
      </w:r>
      <w:r>
        <w:rPr>
          <w:color w:val="444444"/>
        </w:rPr>
        <w:t xml:space="preserve">: if a query fails, the exact database error is sent back to Gemini for another attempt, up to three times. Second, </w:t>
      </w:r>
      <w:r>
        <w:rPr>
          <w:b/>
          <w:bCs/>
          <w:color w:val="444444"/>
        </w:rPr>
        <w:t xml:space="preserve">a choice of how ambiguity is handled</w:t>
      </w:r>
      <w:r>
        <w:rPr>
          <w:color w:val="444444"/>
        </w:rPr>
        <w:t xml:space="preserve"> — ask the user to pick (the default), answer from every interpretation at once, or let the model decide.</w:t>
      </w:r>
    </w:p>
    <w:p>
      <w:pPr>
        <w:pStyle w:val="Heading2"/>
        <w:spacing w:after="100" w:before="240"/>
      </w:pPr>
      <w:r>
        <w:rPr>
          <w:b/>
          <w:bCs/>
          <w:color w:val="2E5E8C"/>
        </w:rPr>
        <w:t xml:space="preserve">Step 11 — Try it</w:t>
      </w:r>
    </w:p>
    <w:p>
      <w:pPr>
        <w:spacing w:after="120" w:line="276"/>
      </w:pPr>
      <w:r>
        <w:rPr>
          <w:color w:val="444444"/>
        </w:rPr>
        <w:t xml:space="preserve">Example questions to run, including deliberately unanswerable ones so the team can see the gate refuse them. From here it’s just a matter of asking real questions about our data.</w:t>
      </w:r>
    </w:p>
    <w:p>
      <w:r>
        <w:br w:type="page"/>
      </w:r>
    </w:p>
    <w:p>
      <w:pPr>
        <w:pStyle w:val="Heading1"/>
        <w:spacing w:after="140" w:before="320"/>
      </w:pPr>
      <w:r>
        <w:rPr>
          <w:b/>
          <w:bCs/>
          <w:color w:val="1F3A5F"/>
        </w:rPr>
        <w:t xml:space="preserve">4. Key concepts, in plain terms</w:t>
      </w:r>
    </w:p>
    <w:p>
      <w:pPr>
        <w:pStyle w:val="Heading2"/>
        <w:spacing w:after="100" w:before="240"/>
      </w:pPr>
      <w:r>
        <w:rPr>
          <w:b/>
          <w:bCs/>
          <w:color w:val="2E5E8C"/>
        </w:rPr>
        <w:t xml:space="preserve">JOIN versus UNION ALL</w:t>
      </w:r>
    </w:p>
    <w:p>
      <w:pPr>
        <w:spacing w:after="120" w:line="276"/>
      </w:pPr>
      <w:r>
        <w:rPr>
          <w:color w:val="444444"/>
        </w:rPr>
        <w:t xml:space="preserve">These two are easy to confuse but do opposite things, and getting them right is central to correct answers:</w:t>
      </w:r>
    </w:p>
    <w:p>
      <w:pPr>
        <w:pStyle w:val="ListParagraph"/>
        <w:numPr>
          <w:ilvl w:val="0"/>
          <w:numId w:val="2"/>
        </w:numPr>
        <w:spacing w:after="90" w:line="268"/>
      </w:pPr>
      <w:r>
        <w:rPr>
          <w:b/>
          <w:bCs/>
          <w:color w:val="444444"/>
        </w:rPr>
        <w:t xml:space="preserve">A JOIN </w:t>
      </w:r>
      <w:r>
        <w:rPr>
          <w:color w:val="444444"/>
        </w:rPr>
        <w:t xml:space="preserve">puts rows from different kinds of table side by side, matched on a shared key — for example attaching each bid to the supplier who made it (</w:t>
      </w:r>
      <w:r>
        <w:rPr>
          <w:rFonts w:ascii="Consolas" w:cs="Consolas" w:eastAsia="Consolas" w:hAnsi="Consolas"/>
          <w:color w:val="9C27B0"/>
          <w:sz w:val="19"/>
          <w:szCs w:val="19"/>
        </w:rPr>
        <w:t xml:space="preserve">bids</w:t>
      </w:r>
      <w:r>
        <w:rPr>
          <w:color w:val="444444"/>
        </w:rPr>
        <w:t xml:space="preserve"> matched to </w:t>
      </w:r>
      <w:r>
        <w:rPr>
          <w:rFonts w:ascii="Consolas" w:cs="Consolas" w:eastAsia="Consolas" w:hAnsi="Consolas"/>
          <w:color w:val="9C27B0"/>
          <w:sz w:val="19"/>
          <w:szCs w:val="19"/>
        </w:rPr>
        <w:t xml:space="preserve">suppliers</w:t>
      </w:r>
      <w:r>
        <w:rPr>
          <w:color w:val="444444"/>
        </w:rPr>
        <w:t xml:space="preserve"> on the supplier id).</w:t>
      </w:r>
    </w:p>
    <w:p>
      <w:pPr>
        <w:pStyle w:val="ListParagraph"/>
        <w:numPr>
          <w:ilvl w:val="0"/>
          <w:numId w:val="2"/>
        </w:numPr>
        <w:spacing w:after="90" w:line="268"/>
      </w:pPr>
      <w:r>
        <w:rPr>
          <w:b/>
          <w:bCs/>
          <w:color w:val="444444"/>
        </w:rPr>
        <w:t xml:space="preserve">A UNION ALL </w:t>
      </w:r>
      <w:r>
        <w:rPr>
          <w:color w:val="444444"/>
        </w:rPr>
        <w:t xml:space="preserve">stacks rows from tables that hold the same kind of data on top of each other — for example putting current </w:t>
      </w:r>
      <w:r>
        <w:rPr>
          <w:rFonts w:ascii="Consolas" w:cs="Consolas" w:eastAsia="Consolas" w:hAnsi="Consolas"/>
          <w:color w:val="9C27B0"/>
          <w:sz w:val="19"/>
          <w:szCs w:val="19"/>
        </w:rPr>
        <w:t xml:space="preserve">suppliers</w:t>
      </w:r>
      <w:r>
        <w:rPr>
          <w:color w:val="444444"/>
        </w:rPr>
        <w:t xml:space="preserve"> and historical </w:t>
      </w:r>
      <w:r>
        <w:rPr>
          <w:rFonts w:ascii="Consolas" w:cs="Consolas" w:eastAsia="Consolas" w:hAnsi="Consolas"/>
          <w:color w:val="9C27B0"/>
          <w:sz w:val="19"/>
          <w:szCs w:val="19"/>
        </w:rPr>
        <w:t xml:space="preserve">suppliers_old</w:t>
      </w:r>
      <w:r>
        <w:rPr>
          <w:color w:val="444444"/>
        </w:rPr>
        <w:t xml:space="preserve"> into one combined list before adding up totals.</w:t>
      </w:r>
    </w:p>
    <w:p>
      <w:pPr>
        <w:spacing w:after="120" w:line="276"/>
      </w:pPr>
      <w:r>
        <w:rPr>
          <w:color w:val="444444"/>
        </w:rPr>
        <w:t xml:space="preserve">So the rule the notebook follows for split tables is: </w:t>
      </w:r>
      <w:r>
        <w:rPr>
          <w:b/>
          <w:bCs/>
          <w:color w:val="444444"/>
        </w:rPr>
        <w:t xml:space="preserve">UNION first, then JOIN, then aggregate</w:t>
      </w:r>
      <w:r>
        <w:rPr>
          <w:color w:val="444444"/>
        </w:rPr>
        <w:t xml:space="preserve">. Current and historical rows are combined with UNION ALL, and only then joined to other tables. It never joins a table to its own “old” version.</w:t>
      </w:r>
    </w:p>
    <w:p>
      <w:pPr>
        <w:pStyle w:val="Heading2"/>
        <w:spacing w:after="100" w:before="240"/>
      </w:pPr>
      <w:r>
        <w:rPr>
          <w:b/>
          <w:bCs/>
          <w:color w:val="2E5E8C"/>
        </w:rPr>
        <w:t xml:space="preserve">Why we don’t just trust the AI</w:t>
      </w:r>
    </w:p>
    <w:p>
      <w:pPr>
        <w:spacing w:after="120" w:line="276"/>
      </w:pPr>
      <w:r>
        <w:rPr>
          <w:color w:val="444444"/>
        </w:rPr>
        <w:t xml:space="preserve">A language model is excellent at translation but has no stake in the safety or correctness of what it produces. It can hallucinate a column, silently use one table when three were relevant, or write a destructive query. Every check in this notebook exists to turn a probabilistic guess into something we can rely on: the gate decides if a question is even valid, the validators guarantee the query is safe and references only real objects, EXPLAIN lets PostgreSQL itself sign off on the query, and the read-only rolled-back execution means even a mistake can’t damage data.</w:t>
      </w:r>
    </w:p>
    <w:p>
      <w:pPr>
        <w:pStyle w:val="Heading2"/>
        <w:spacing w:after="100" w:before="240"/>
      </w:pPr>
      <w:r>
        <w:rPr>
          <w:b/>
          <w:bCs/>
          <w:color w:val="2E5E8C"/>
        </w:rPr>
        <w:t xml:space="preserve">An honest note on limits</w:t>
      </w:r>
    </w:p>
    <w:p>
      <w:pPr>
        <w:spacing w:after="120" w:line="276"/>
      </w:pPr>
      <w:r>
        <w:rPr>
          <w:color w:val="444444"/>
        </w:rPr>
        <w:t xml:space="preserve">Two of the checks — the answerability gate and the general ambiguity check — are themselves model calls, so on rare borderline questions they can misjudge. But even if the gate lets a bad question through, the query still has to pass the table check, the column check, and PostgreSQL’s own EXPLAIN before touching data. The split-table menu, by contrast, is built entirely in code, so it is completely predictable. And the accuracy of the generated SQL improves markedly when we define foreign keys, write table notes in Step 4b, and add real worked examples in Step 7.</w:t>
      </w:r>
    </w:p>
    <w:p>
      <w:pPr>
        <w:pStyle w:val="Heading1"/>
        <w:spacing w:after="140" w:before="320"/>
      </w:pPr>
      <w:r>
        <w:rPr>
          <w:b/>
          <w:bCs/>
          <w:color w:val="1F3A5F"/>
        </w:rPr>
        <w:t xml:space="preserve">5. How to run it</w:t>
      </w:r>
    </w:p>
    <w:p>
      <w:pPr>
        <w:pStyle w:val="ListParagraph"/>
        <w:numPr>
          <w:ilvl w:val="0"/>
          <w:numId w:val="4"/>
        </w:numPr>
        <w:spacing w:after="90" w:line="268"/>
      </w:pPr>
      <w:r>
        <w:rPr>
          <w:color w:val="444444"/>
        </w:rPr>
        <w:t xml:space="preserve">Open the notebook and edit Step 2 with our project and database settings.</w:t>
      </w:r>
    </w:p>
    <w:p>
      <w:pPr>
        <w:pStyle w:val="ListParagraph"/>
        <w:numPr>
          <w:ilvl w:val="0"/>
          <w:numId w:val="4"/>
        </w:numPr>
        <w:spacing w:after="90" w:line="268"/>
      </w:pPr>
      <w:r>
        <w:rPr>
          <w:color w:val="444444"/>
        </w:rPr>
        <w:t xml:space="preserve">Authenticate with Google Cloud (the one-line command shown in Step 2).</w:t>
      </w:r>
    </w:p>
    <w:p>
      <w:pPr>
        <w:pStyle w:val="ListParagraph"/>
        <w:numPr>
          <w:ilvl w:val="0"/>
          <w:numId w:val="4"/>
        </w:numPr>
        <w:spacing w:after="90" w:line="268"/>
      </w:pPr>
      <w:r>
        <w:rPr>
          <w:color w:val="444444"/>
        </w:rPr>
        <w:t xml:space="preserve">Run every cell from top to bottom, in order. Each prints a green tick or a clear warning.</w:t>
      </w:r>
    </w:p>
    <w:p>
      <w:pPr>
        <w:pStyle w:val="ListParagraph"/>
        <w:numPr>
          <w:ilvl w:val="0"/>
          <w:numId w:val="4"/>
        </w:numPr>
        <w:spacing w:after="90" w:line="268"/>
      </w:pPr>
      <w:r>
        <w:rPr>
          <w:color w:val="444444"/>
        </w:rPr>
        <w:t xml:space="preserve">Fill in Step 4b with any business rules about our tables (especially any current/historical pairs).</w:t>
      </w:r>
    </w:p>
    <w:p>
      <w:pPr>
        <w:pStyle w:val="ListParagraph"/>
        <w:numPr>
          <w:ilvl w:val="0"/>
          <w:numId w:val="4"/>
        </w:numPr>
        <w:spacing w:after="90" w:line="268"/>
      </w:pPr>
      <w:r>
        <w:rPr>
          <w:color w:val="444444"/>
        </w:rPr>
        <w:t xml:space="preserve">Run the Step 9 self-test and confirm every guardrail line says REJECTED.</w:t>
      </w:r>
    </w:p>
    <w:p>
      <w:pPr>
        <w:pStyle w:val="ListParagraph"/>
        <w:numPr>
          <w:ilvl w:val="0"/>
          <w:numId w:val="4"/>
        </w:numPr>
        <w:spacing w:after="90" w:line="268"/>
      </w:pPr>
      <w:r>
        <w:rPr>
          <w:color w:val="444444"/>
        </w:rPr>
        <w:t xml:space="preserve">Ask questions with ask(“…”) from Step 11 onward.</w:t>
      </w:r>
    </w:p>
    <w:p>
      <w:pPr>
        <w:spacing w:after="60"/>
      </w:pPr>
      <w:r>
        <w:t xml:space="preserve"/>
      </w:r>
    </w:p>
    <w:p>
      <w:pPr>
        <w:pBdr>
          <w:left w:val="single" w:color="1A7F6B" w:sz="24" w:space="10"/>
        </w:pBdr>
        <w:shd w:fill="EAF5F1" w:color="auto" w:val="clear"/>
        <w:spacing w:after="140" w:before="100" w:line="268"/>
      </w:pPr>
      <w:r>
        <w:rPr>
          <w:b/>
          <w:bCs/>
          <w:color w:val="1A7F6B"/>
        </w:rPr>
        <w:t xml:space="preserve">Quick tip:  </w:t>
      </w:r>
      <w:r>
        <w:rPr>
          <w:color w:val="5C4B00"/>
        </w:rPr>
        <w:t xml:space="preserve">if an answer ever looks wrong, look at the on-screen output. A REFUSED line means the gate blocked the question, a numbered menu means it’s waiting for you to choose an interpretation, and a “0 rows” warning means the query was valid but matched no data.</w:t>
      </w:r>
    </w:p>
    <w:p>
      <w:pPr>
        <w:spacing w:after="200"/>
      </w:pPr>
      <w:r>
        <w:t xml:space="preserve"/>
      </w:r>
    </w:p>
    <w:p>
      <w:pPr>
        <w:pBdr>
          <w:top w:val="single" w:color="CCCCCC" w:sz="4" w:space="8"/>
        </w:pBdr>
        <w:spacing w:before="200"/>
        <w:jc w:val="center"/>
      </w:pPr>
      <w:r>
        <w:rPr>
          <w:i/>
          <w:iCs/>
          <w:color w:val="888888"/>
          <w:sz w:val="18"/>
          <w:szCs w:val="18"/>
        </w:rPr>
        <w:t xml:space="preserve">Prepared as an internal explainer for the SQL Query Expert notebook (v5).</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A7F6B"/>
      </w:r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1F3A5F"/>
      <w:sz w:val="32"/>
      <w:szCs w:val="32"/>
    </w:rPr>
  </w:style>
  <w:style w:type="paragraph" w:styleId="Heading2">
    <w:name w:val="Heading 2"/>
    <w:basedOn w:val="Normal"/>
    <w:next w:val="Normal"/>
    <w:qFormat/>
    <w:pPr>
      <w:spacing w:after="100" w:before="240"/>
    </w:pPr>
    <w:rPr>
      <w:b/>
      <w:bCs/>
      <w:color w:val="2E5E8C"/>
      <w:sz w:val="26"/>
      <w:szCs w:val="26"/>
    </w:rPr>
  </w:style>
  <w:style w:type="paragraph" w:styleId="Heading3">
    <w:name w:val="Heading 3"/>
    <w:basedOn w:val="Normal"/>
    <w:next w:val="Normal"/>
    <w:qFormat/>
    <w:pPr>
      <w:spacing w:after="80" w:before="180"/>
    </w:pPr>
    <w:rPr>
      <w:b/>
      <w:bCs/>
      <w:color w:val="1A7F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Query Expert — Team Explainer</dc:title>
  <dc:creator>SQL Query Expert</dc:creator>
  <cp:lastModifiedBy>Un-named</cp:lastModifiedBy>
  <cp:revision>1</cp:revision>
  <dcterms:created xsi:type="dcterms:W3CDTF">2026-07-16T07:30:45.598Z</dcterms:created>
  <dcterms:modified xsi:type="dcterms:W3CDTF">2026-07-16T07:30:45.614Z</dcterms:modified>
</cp:coreProperties>
</file>

<file path=docProps/custom.xml><?xml version="1.0" encoding="utf-8"?>
<Properties xmlns="http://schemas.openxmlformats.org/officeDocument/2006/custom-properties" xmlns:vt="http://schemas.openxmlformats.org/officeDocument/2006/docPropsVTypes"/>
</file>