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mbria" w:cs="Cambria" w:eastAsia="Cambria" w:hAnsi="Cambria"/>
          <w:b/>
          <w:bCs/>
          <w:color w:val="3B1F2B"/>
          <w:sz w:val="60"/>
          <w:szCs w:val="60"/>
        </w:rPr>
        <w:t xml:space="preserve">Diwali Sales Analysis</w:t>
      </w:r>
    </w:p>
    <w:p>
      <w:r>
        <w:rPr>
          <w:color w:val="B5451B"/>
          <w:sz w:val="30"/>
          <w:szCs w:val="30"/>
        </w:rPr>
        <w:t xml:space="preserve">Exploratory Data Analysis Project Report (Excel)</w:t>
      </w:r>
    </w:p>
    <w:p>
      <w:pPr>
        <w:spacing w:before="300"/>
      </w:pPr>
      <w:r>
        <w:rPr>
          <w:color w:val="6B5A60"/>
          <w:sz w:val="24"/>
          <w:szCs w:val="24"/>
        </w:rPr>
        <w:t xml:space="preserve">Dataset: 11,239 transactions | 16 states | India</w:t>
      </w:r>
    </w:p>
    <w:p>
      <w:pPr>
        <w:spacing w:before="120"/>
      </w:pPr>
      <w:r>
        <w:rPr>
          <w:color w:val="6B5A60"/>
          <w:sz w:val="24"/>
          <w:szCs w:val="24"/>
        </w:rPr>
        <w:t xml:space="preserve">Tools: Excel Tables, Formulas, PivotTables, Charts, Slicers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report documents an exploratory data analysis (EDA) of Diwali-season retail sales, carried out in Microsoft Excel using an Excel Table, formulas, PivotTables, charts and slicers. The dataset has 11,239 transactions from 3,752 customer IDs across 16 Indian states.</w:t>
      </w:r>
    </w:p>
    <w:p>
      <w:pPr>
        <w:pStyle w:val="ListParagraph"/>
        <w:numPr>
          <w:ilvl w:val="0"/>
          <w:numId w:val="2"/>
        </w:numPr>
      </w:pPr>
      <w:r>
        <w:t xml:space="preserve">Total revenue is ₹106.25M from 27,981 units, giving ₹3,797 per unit and ₹9,454 per transaction.</w:t>
      </w:r>
    </w:p>
    <w:p>
      <w:pPr>
        <w:pStyle w:val="ListParagraph"/>
        <w:numPr>
          <w:ilvl w:val="0"/>
          <w:numId w:val="2"/>
        </w:numPr>
      </w:pPr>
      <w:r>
        <w:t xml:space="preserve">Women generate 70% of revenue (₹74.3M) and ages 26–35 are the largest group (40.1%).</w:t>
      </w:r>
    </w:p>
    <w:p>
      <w:pPr>
        <w:pStyle w:val="ListParagraph"/>
        <w:numPr>
          <w:ilvl w:val="0"/>
          <w:numId w:val="2"/>
        </w:numPr>
      </w:pPr>
      <w:r>
        <w:t xml:space="preserve">Food is the top category (31.9%); Food, Clothing, Electronics and Footwear together contribute 77%.</w:t>
      </w:r>
    </w:p>
    <w:p>
      <w:pPr>
        <w:pStyle w:val="ListParagraph"/>
        <w:numPr>
          <w:ilvl w:val="0"/>
          <w:numId w:val="2"/>
        </w:numPr>
      </w:pPr>
      <w:r>
        <w:t xml:space="preserve">Uttar Pradesh, Maharashtra, Karnataka and Delhi provide 55% of revenue; IT, Healthcare and Aviation are the top occupations.</w:t>
      </w:r>
    </w:p>
    <w:p>
      <w:pPr>
        <w:pStyle w:val="ListParagraph"/>
        <w:numPr>
          <w:ilvl w:val="0"/>
          <w:numId w:val="2"/>
        </w:numPr>
      </w:pPr>
      <w:r>
        <w:t xml:space="preserve">Data audit found 8 duplicate rows, 22 age-group mismatches, 502 User_IDs with two genders, a hidden non-breaking space in “Andhra Pradesh” and two #VALUE! cells on the dashboard.</w:t>
      </w:r>
    </w:p>
    <w:p>
      <w:pPr>
        <w:pStyle w:val="Heading1"/>
      </w:pPr>
      <w:r>
        <w:t xml:space="preserve">2. Objectives &amp; Scope</w:t>
      </w:r>
    </w:p>
    <w:p>
      <w:pPr>
        <w:pStyle w:val="ListParagraph"/>
        <w:numPr>
          <w:ilvl w:val="0"/>
          <w:numId w:val="2"/>
        </w:numPr>
      </w:pPr>
      <w:r>
        <w:t xml:space="preserve">Measure overall festive sales performance with KPIs.</w:t>
      </w:r>
    </w:p>
    <w:p>
      <w:pPr>
        <w:pStyle w:val="ListParagraph"/>
        <w:numPr>
          <w:ilvl w:val="0"/>
          <w:numId w:val="2"/>
        </w:numPr>
      </w:pPr>
      <w:r>
        <w:t xml:space="preserve">Profile customers by gender, age, marital status and occupation.</w:t>
      </w:r>
    </w:p>
    <w:p>
      <w:pPr>
        <w:pStyle w:val="ListParagraph"/>
        <w:numPr>
          <w:ilvl w:val="0"/>
          <w:numId w:val="2"/>
        </w:numPr>
      </w:pPr>
      <w:r>
        <w:t xml:space="preserve">Find the best products, states and zones.</w:t>
      </w:r>
    </w:p>
    <w:p>
      <w:pPr>
        <w:pStyle w:val="ListParagraph"/>
        <w:numPr>
          <w:ilvl w:val="0"/>
          <w:numId w:val="2"/>
        </w:numPr>
      </w:pPr>
      <w:r>
        <w:t xml:space="preserve">Build an interactive Excel dashboard and document the workflow.</w:t>
      </w:r>
    </w:p>
    <w:p>
      <w:pPr>
        <w:pStyle w:val="ListParagraph"/>
        <w:numPr>
          <w:ilvl w:val="0"/>
          <w:numId w:val="2"/>
        </w:numPr>
      </w:pPr>
      <w:r>
        <w:t xml:space="preserve">Provide data-driven recommendations for the next festive season.</w:t>
      </w:r>
    </w:p>
    <w:p>
      <w:pPr>
        <w:spacing w:after="120"/>
      </w:pPr>
      <w:r>
        <w:t xml:space="preserve">Out of scope: time trends (no date column) and profitability (no cost column).</w:t>
      </w:r>
    </w:p>
    <w:p>
      <w:pPr>
        <w:pStyle w:val="Heading1"/>
      </w:pPr>
      <w:r>
        <w:t xml:space="preserve">3. Dataset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User_ID, Cust_name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identifier and name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/ text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code (2,350 unique)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 or M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Group, Age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age bands; exact age 12–92 (mean 35.4)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/ number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= unmarried, 1 = married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Binary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State, Zone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states in 5 zones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Occupation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occupations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 categories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Units in the transaction (1–4)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 value in ₹ (188 – 23,952)</w:t>
            </w:r>
          </w:p>
        </w:tc>
        <w:tc>
          <w:tcPr>
            <w:tcW w:type="dxa" w:w="20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</w:t>
            </w:r>
          </w:p>
        </w:tc>
      </w:tr>
    </w:tbl>
    <w:p>
      <w:pPr>
        <w:pStyle w:val="Heading1"/>
      </w:pPr>
      <w:r>
        <w:t xml:space="preserve">4. Excel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7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Diwali_Data</w:t>
            </w:r>
          </w:p>
        </w:tc>
        <w:tc>
          <w:tcPr>
            <w:tcW w:type="dxa" w:w="7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 Table “Diwali_Data” with 11,239 rows × 13 columns</w:t>
            </w:r>
          </w:p>
        </w:tc>
      </w:tr>
      <w:tr>
        <w:tc>
          <w:tcPr>
            <w:tcW w:type="dxa" w:w="2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</w:t>
            </w:r>
          </w:p>
        </w:tc>
        <w:tc>
          <w:tcPr>
            <w:tcW w:type="dxa" w:w="7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Four KPI cells: Total Revenue, Total Orders, Total Customers, Average Order Value</w:t>
            </w:r>
          </w:p>
        </w:tc>
      </w:tr>
      <w:tr>
        <w:tc>
          <w:tcPr>
            <w:tcW w:type="dxa" w:w="2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Analysis_2</w:t>
            </w:r>
          </w:p>
        </w:tc>
        <w:tc>
          <w:tcPr>
            <w:tcW w:type="dxa" w:w="7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Six PivotTables and five charts, each headed by a business question</w:t>
            </w:r>
          </w:p>
        </w:tc>
      </w:tr>
      <w:tr>
        <w:tc>
          <w:tcPr>
            <w:tcW w:type="dxa" w:w="2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Five more charts linked to the pivots plus five slicers (Gender, Age Group, State, Occupation, Product Category)</w:t>
            </w:r>
          </w:p>
        </w:tc>
      </w:tr>
    </w:tbl>
    <w:p>
      <w:pPr>
        <w:pStyle w:val="Heading2"/>
      </w:pPr>
      <w:r>
        <w:t xml:space="preserve">4.1 KPI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  <w:gridCol w:w="2160"/>
      </w:tblGrid>
      <w:tr>
        <w:trPr>
          <w:tblHeader/>
        </w:trPr>
        <w:tc>
          <w:tcPr>
            <w:tcW w:type="dxa" w:w="2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=SUM(Diwali_Data[Amount])</w:t>
            </w:r>
          </w:p>
        </w:tc>
        <w:tc>
          <w:tcPr>
            <w:tcW w:type="dxa" w:w="2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₹106.25M</w:t>
            </w:r>
          </w:p>
        </w:tc>
      </w:tr>
      <w:tr>
        <w:tc>
          <w:tcPr>
            <w:tcW w:type="dxa" w:w="2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Orders (units)</w:t>
            </w:r>
          </w:p>
        </w:tc>
        <w:tc>
          <w:tcPr>
            <w:tcW w:type="dxa" w:w="4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=SUM(Diwali_Data[Orders])</w:t>
            </w:r>
          </w:p>
        </w:tc>
        <w:tc>
          <w:tcPr>
            <w:tcW w:type="dxa" w:w="2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27,981</w:t>
            </w:r>
          </w:p>
        </w:tc>
      </w:tr>
      <w:tr>
        <w:tc>
          <w:tcPr>
            <w:tcW w:type="dxa" w:w="2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4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=COUNTA(UNIQUE(Diwali_Data[User_ID]))</w:t>
            </w:r>
          </w:p>
        </w:tc>
        <w:tc>
          <w:tcPr>
            <w:tcW w:type="dxa" w:w="2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3,752</w:t>
            </w:r>
          </w:p>
        </w:tc>
      </w:tr>
      <w:tr>
        <w:tc>
          <w:tcPr>
            <w:tcW w:type="dxa" w:w="2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46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=SUM(Amount)/SUM(Orders)</w:t>
            </w:r>
          </w:p>
        </w:tc>
        <w:tc>
          <w:tcPr>
            <w:tcW w:type="dxa" w:w="2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₹3,797</w:t>
            </w:r>
          </w:p>
        </w:tc>
      </w:tr>
    </w:tbl>
    <w:p>
      <w:pPr>
        <w:spacing w:after="120"/>
      </w:pPr>
      <w:r>
        <w:t xml:space="preserve">The cached values in the workbook match the values recomputed from the raw file for all four KPIs. Note that “Average Order Value” is revenue per unit ordered; revenue per transaction is ₹9,454.</w:t>
      </w:r>
    </w:p>
    <w:p>
      <w:pPr>
        <w:pStyle w:val="Heading2"/>
      </w:pPr>
      <w:r>
        <w:t xml:space="preserve">4.2 PivotTables and charts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PivotTable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wise Revenue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Doughnut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AgeGroup Wise Revenue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Pie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by states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by occupation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Category Orders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Orders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</w:t>
            </w:r>
          </w:p>
        </w:tc>
      </w:tr>
      <w:tr>
        <w:tc>
          <w:tcPr>
            <w:tcW w:type="dxa" w:w="4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by Product Categories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 of Amount</w:t>
            </w:r>
          </w:p>
        </w:tc>
        <w:tc>
          <w:tcPr>
            <w:tcW w:type="dxa" w:w="268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</w:t>
            </w:r>
          </w:p>
        </w:tc>
      </w:tr>
    </w:tbl>
    <w:p>
      <w:pPr>
        <w:pStyle w:val="Heading1"/>
      </w:pPr>
      <w:r>
        <w:t xml:space="preserve">5. Data Quality Audit &amp;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rPr>
          <w:tblHeader/>
        </w:trP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Blank cells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in 13 columns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duplicate rows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rows (₹70,304)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Duplicates; impact is 0.07% of revenue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 vs Age Group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rows in “36-45” have age 26–35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Recompute group from Age using IFS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 consistency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502 of 3,752 IDs have both genders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transaction-level analysis; treat customer count as approximate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text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“Andhra Pradesh” contains CHAR(160)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SUBSTITUTE(x,CHAR(160)," ")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Outliers (Amount)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 rows above ₹23,523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Keep: valid high-value purchases</w:t>
            </w:r>
          </w:p>
        </w:tc>
      </w:tr>
      <w:tr>
        <w:tc>
          <w:tcPr>
            <w:tcW w:type="dxa" w:w="23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 columns</w:t>
            </w:r>
          </w:p>
        </w:tc>
        <w:tc>
          <w:tcPr>
            <w:tcW w:type="dxa" w:w="34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columns N and O in the range</w:t>
            </w:r>
          </w:p>
        </w:tc>
        <w:tc>
          <w:tcPr>
            <w:tcW w:type="dxa" w:w="36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</w:tr>
    </w:tbl>
    <w:p>
      <w:pPr>
        <w:pStyle w:val="Heading2"/>
      </w:pPr>
      <w:r>
        <w:t xml:space="preserve">5.1 Dashboard issues</w:t>
      </w:r>
    </w:p>
    <w:p>
      <w:pPr>
        <w:pStyle w:val="ListParagraph"/>
        <w:numPr>
          <w:ilvl w:val="0"/>
          <w:numId w:val="2"/>
        </w:numPr>
      </w:pPr>
      <w:r>
        <w:t xml:space="preserve">Cells Dashboard!A2 and AK11 hold #VALUE! errors.</w:t>
      </w:r>
    </w:p>
    <w:p>
      <w:pPr>
        <w:pStyle w:val="ListParagraph"/>
        <w:numPr>
          <w:ilvl w:val="0"/>
          <w:numId w:val="2"/>
        </w:numPr>
      </w:pPr>
      <w:r>
        <w:t xml:space="preserve">Slicer selections were saved as active filters, so the Analysis_2 pivots (for example “Age group spends the most”) currently show a single item instead of the full distribution. Clear all slicers before saving.</w:t>
      </w:r>
    </w:p>
    <w:p>
      <w:pPr>
        <w:pStyle w:val="ListParagraph"/>
        <w:numPr>
          <w:ilvl w:val="0"/>
          <w:numId w:val="2"/>
        </w:numPr>
      </w:pPr>
      <w:r>
        <w:t xml:space="preserve">Two sets of slicers exist (Analysis_2 and Dashboard); a stray formula text with the name DiwaliData (no underscore) sits in Analysis!N8, and there is stray text in Dashboard!A49.</w:t>
      </w:r>
    </w:p>
    <w:p>
      <w:pPr>
        <w:pStyle w:val="ListParagraph"/>
        <w:numPr>
          <w:ilvl w:val="0"/>
          <w:numId w:val="2"/>
        </w:numPr>
      </w:pPr>
      <w:r>
        <w:t xml:space="preserve">UNIQUE() needs Excel 2021 or 365.</w:t>
      </w:r>
    </w:p>
    <w:p>
      <w:pPr>
        <w:spacing w:after="120"/>
      </w:pPr>
      <w:r>
        <w:t xml:space="preserve">All analysis below uses all 11,239 rows so that totals match the workbook KPIs.</w:t>
      </w:r>
    </w:p>
    <w:p>
      <w:pPr>
        <w:pStyle w:val="Heading1"/>
      </w:pPr>
      <w:r>
        <w:t xml:space="preserve">6. Overall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₹106.25M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Units ordered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27,981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11,239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Customer IDs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3,752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per unit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₹3,797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 / median transaction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₹9,454 / ₹8,109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 customers (2+ transactions)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62.7%</w:t>
            </w:r>
          </w:p>
        </w:tc>
      </w:tr>
      <w:tr>
        <w:tc>
          <w:tcPr>
            <w:tcW w:type="dxa" w:w="5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20% of customer IDs share of revenue</w:t>
            </w:r>
          </w:p>
        </w:tc>
        <w:tc>
          <w:tcPr>
            <w:tcW w:type="dxa" w:w="41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51.3%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08_dist.png" descr="Figure 1: Distribution of Amount and Age" title="Figure 1: Distribution of Amount and 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1: Distribution of Amount and Age</w:t>
      </w:r>
    </w:p>
    <w:p>
      <w:pPr>
        <w:spacing w:after="120"/>
      </w:pPr>
      <w:r>
        <w:t xml:space="preserve">Amount is right-skewed (mean above median). Order quantities are evenly spread: 1 unit 25%, 2 units 26%, 3 units 25%, 4 units 25%. Age is concentrated between 26 and 43.</w:t>
      </w:r>
    </w:p>
    <w:p>
      <w:pPr>
        <w:pStyle w:val="Heading1"/>
      </w:pPr>
      <w:r>
        <w:t xml:space="preserve">7. Customer Analysis</w:t>
      </w:r>
    </w:p>
    <w:p>
      <w:pPr>
        <w:pStyle w:val="Heading2"/>
      </w:pPr>
      <w:r>
        <w:t xml:space="preserve">7.1 Gender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Female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₹74.34M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7,832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19,548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₹9,491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Male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₹31.91M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3,407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8,433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₹9,367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143500" cy="1952625"/>
            <wp:effectExtent t="0" r="0" b="0" l="0"/>
            <wp:docPr id="1" name="01_gender.png" descr="Figure 2: Revenue by gender and by gender and marital status" title="Figure 2: Revenue by gender and by gender and marital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2: Revenue by gender and by gender and marital status</w:t>
      </w:r>
    </w:p>
    <w:p>
      <w:pPr>
        <w:spacing w:after="120"/>
      </w:pPr>
      <w:r>
        <w:t xml:space="preserve">Women account for 70% of transactions and 70% of revenue. Average spend per transaction is almost identical (₹9,491 for women vs ₹9,367 for men), so the gap comes from the number of buyers, not basket size.</w:t>
      </w:r>
    </w:p>
    <w:p>
      <w:pPr>
        <w:pStyle w:val="Heading2"/>
      </w:pPr>
      <w:r>
        <w:t xml:space="preserve">7.2 Marital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Unmarried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₹62.13M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6,518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16,249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₹9,531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Married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₹44.12M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4,721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11,732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₹9,346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Unmarried customers generate 58.5% of revenue. Unmarried women alone contribute 41.2%.</w:t>
      </w:r>
    </w:p>
    <w:p>
      <w:pPr>
        <w:pStyle w:val="Heading2"/>
      </w:pPr>
      <w:r>
        <w:t xml:space="preserve">7.3 Age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26-35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₹42.61M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4,541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11,395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₹9,384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36-45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₹22.14M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2,283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5,687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₹9,700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18-25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₹17.24M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1,879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4,650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₹9,175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46-50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₹9.21M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2,371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₹9,367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51-55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₹8.26M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2,112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₹9,954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55+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₹4.08M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1,076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₹9,557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0-17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₹2.70M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296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₹9,120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143500" cy="1952625"/>
            <wp:effectExtent t="0" r="0" b="0" l="0"/>
            <wp:docPr id="1" name="02_age.png" descr="Figure 3: Revenue by age group and gender" title="Figure 3: Revenue by age group and g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3: Revenue by age group and gender</w:t>
      </w:r>
    </w:p>
    <w:p>
      <w:pPr>
        <w:spacing w:after="120"/>
      </w:pPr>
      <w:r>
        <w:t xml:space="preserve">Ages 26–35 contribute ₹42.6M (40.1%), followed by 36-45 (20.8%) and 18-25 (16.2%). Together ages 18–45 give 77%. Spend per transaction is similar across age groups (₹9.1K–₹10.0K).</w:t>
      </w:r>
    </w:p>
    <w:p>
      <w:pPr>
        <w:pStyle w:val="Heading2"/>
      </w:pPr>
      <w:r>
        <w:t xml:space="preserve">7.4 Occupation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Sector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₹14.76M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1,583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3,997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₹9,321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₹13.03M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12.3%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1,408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3,455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₹9,258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Aviation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₹12.60M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1,310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3,215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₹9,620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Banking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₹10.77M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1,137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2,817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₹9,473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Govt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₹8.52M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2,155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₹9,973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Hospitality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₹6.38M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1,739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₹9,070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₹6.30M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1,596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₹9,884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Automobile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₹5.37M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565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1,371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₹9,502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Chemical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₹5.30M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1,309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₹9,792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Lawyer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₹4.98M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1,344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₹9,382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₹4.78M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1,270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₹9,547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 Processing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₹4.07M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1,073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₹9,623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Construction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₹3.60M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1,025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₹8,690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Textile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₹3.20M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349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893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₹9,183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Agriculture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₹2.59M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₹9,163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05_occ.png" descr="Figure 4: Revenue by occupation" title="Figure 4: Revenue by occup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4: Revenue by occupation</w:t>
      </w:r>
    </w:p>
    <w:p>
      <w:pPr>
        <w:spacing w:after="120"/>
      </w:pPr>
      <w:r>
        <w:t xml:space="preserve">IT Sector, Healthcare, Aviation and Banking together give 48% of revenue; the top three alone give 38%. Agriculture, Textile and Construction contribute least.</w:t>
      </w:r>
    </w:p>
    <w:p>
      <w:pPr>
        <w:pStyle w:val="Heading1"/>
      </w:pPr>
      <w:r>
        <w:t xml:space="preserve">8. Product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Food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₹33.93M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2,490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6,110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₹13,628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Clothing &amp; Apparel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₹16.50M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2,655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6,634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₹6,213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 &amp; Gadgets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₹15.64M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2,087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5,226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₹7,496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Footwear &amp; Shoes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₹15.58M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1,059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2,646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₹14,707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₹5.44M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₹15,455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Games &amp; Toys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₹4.33M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386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940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₹11,222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Sports Products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₹3.64M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356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₹10,213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Beauty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₹1.96M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1,086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₹4,643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₹1.96M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₹20,192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Stationery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₹1.68M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1.6%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₹14,965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Household items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₹1.57M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1,331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₹3,018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Tupperware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₹1.16M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₹16,051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₹1.06M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₹10,306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Decor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₹0.73M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96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₹7,608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Pet Care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₹0.48M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536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₹2,275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 &amp; Power Tools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₹0.41M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₹15,601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Veterinary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₹0.11M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₹1,391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Office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₹0.08M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₹725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334000" cy="2419350"/>
            <wp:effectExtent t="0" r="0" b="0" l="0"/>
            <wp:docPr id="1" name="06_category.png" descr="Figure 5: Revenue and units by product category" title="Figure 5: Revenue and units by product 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5: Revenue and units by product category</w:t>
      </w:r>
    </w:p>
    <w:p>
      <w:pPr>
        <w:spacing w:after="120"/>
      </w:pPr>
      <w:r>
        <w:t xml:space="preserve">Food generates ₹33.9M (31.9%) from 2,490 transactions. Clothing &amp; Apparel has the most transactions (2,655) but lower revenue than Food. The top four categories contribute 77% of revenue; five categories (Decor, Pet Care, Hand &amp; Power Tools, Veterinary, Office) are each below 1%.</w:t>
      </w:r>
    </w:p>
    <w:p>
      <w:pPr>
        <w:spacing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07_cat_gender.png" descr="Figure 6: Top 8 categories by gender" title="Figure 6: Top 8 categories by ge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6: Top 8 categories by gender</w:t>
      </w:r>
    </w:p>
    <w:p>
      <w:pPr>
        <w:spacing w:after="120"/>
      </w:pPr>
      <w:r>
        <w:t xml:space="preserve">Women spend more than men in every top category, with the widest gap in Food (₹24.2M vs ₹9.8M) and Beauty (₹1.5M vs ₹0.4M). Men spend more than women only in Books and Hand &amp; Power Tools.</w:t>
      </w:r>
    </w:p>
    <w:p>
      <w:pPr>
        <w:pStyle w:val="Heading1"/>
      </w:pPr>
      <w:r>
        <w:t xml:space="preserve">9. Geographic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₹41.60M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4,289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10,623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₹9,699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Southern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₹26.61M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2,693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6,740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₹9,880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Western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₹18.37M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17.3%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1,952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4,876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₹9,413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Northern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₹12.62M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1,491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3,727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₹8,463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Eastern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₹7.05M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6.6%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2,015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₹8,660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143500" cy="1952625"/>
            <wp:effectExtent t="0" r="0" b="0" l="0"/>
            <wp:docPr id="1" name="04_zone.png" descr="Figure 7: Revenue by zone" title="Figure 7: Revenue by z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7: Revenue by zone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50"/>
        <w:gridCol w:w="1000"/>
        <w:gridCol w:w="1500"/>
        <w:gridCol w:w="1200"/>
        <w:gridCol w:w="1710"/>
      </w:tblGrid>
      <w:tr>
        <w:trPr>
          <w:tblHeader/>
        </w:trP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Share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Avg / txn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 Pradesh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₹19.37M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18.2%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1,944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4,807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₹9,967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₹14.43M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13.6%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1,525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3,810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₹9,461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Karnataka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₹13.52M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1,304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3,240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₹10,371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Delhi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₹11.60M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2,740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₹10,511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Madhya Pradesh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₹8.10M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2,252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₹8,796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Andhra Pradesh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₹8.04M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7.6%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2,051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₹9,910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Himachal Pradesh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₹4.96M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608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1,568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₹8,163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Haryana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₹4.22M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452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1,109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₹9,337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Bihar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₹4.02M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434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1,062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₹9,269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Gujarat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₹3.95M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427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1,066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₹9,241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Kerala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₹3.89M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3.7%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453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1,137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₹8,597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Jharkhand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₹3.03M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2.9%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953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₹7,964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Uttarakhand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₹2.52M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824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₹7,878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Rajasthan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₹1.91M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231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₹8,266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Punjab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₹1.53M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495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₹7,629</w:t>
            </w:r>
          </w:p>
        </w:tc>
      </w:tr>
      <w:tr>
        <w:tc>
          <w:tcPr>
            <w:tcW w:type="dxa" w:w="2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Telangana</w:t>
            </w:r>
          </w:p>
        </w:tc>
        <w:tc>
          <w:tcPr>
            <w:tcW w:type="dxa" w:w="145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₹1.15M</w:t>
            </w:r>
          </w:p>
        </w:tc>
        <w:tc>
          <w:tcPr>
            <w:tcW w:type="dxa" w:w="10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1.1%</w:t>
            </w:r>
          </w:p>
        </w:tc>
        <w:tc>
          <w:tcPr>
            <w:tcW w:type="dxa" w:w="1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125</w:t>
            </w:r>
          </w:p>
        </w:tc>
        <w:tc>
          <w:tcPr>
            <w:tcW w:type="dxa" w:w="12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312</w:t>
            </w:r>
          </w:p>
        </w:tc>
        <w:tc>
          <w:tcPr>
            <w:tcW w:type="dxa" w:w="171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₹9,212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3810000" cy="2381250"/>
            <wp:effectExtent t="0" r="0" b="0" l="0"/>
            <wp:docPr id="1" name="03_state.png" descr="Figure 8: Revenue by state" title="Figure 8: Revenue by st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8: Revenue by state</w:t>
      </w:r>
    </w:p>
    <w:p>
      <w:pPr>
        <w:spacing w:after="120"/>
      </w:pPr>
      <w:r>
        <w:t xml:space="preserve">Uttar Pradesh leads with ₹19.4M (18.2%), followed by Maharashtra, Karnataka and Delhi; the top five states give 63.1%. The Central zone (Uttar Pradesh, Delhi, Madhya Pradesh, Uttarakhand as mapped in the data) contributes 39.2%. Telangana, Punjab and Rajasthan contribute least.</w:t>
      </w:r>
    </w:p>
    <w:p>
      <w:pPr>
        <w:pStyle w:val="Heading1"/>
      </w:pPr>
      <w:r>
        <w:t xml:space="preserve">10. Correlation Analysis</w:t>
      </w:r>
    </w:p>
    <w:p>
      <w:pPr>
        <w:spacing w:before="120"/>
        <w:jc w:val="center"/>
      </w:pPr>
      <w:r>
        <w:drawing>
          <wp:inline distT="0" distB="0" distL="0" distR="0">
            <wp:extent cx="2857500" cy="2333625"/>
            <wp:effectExtent t="0" r="0" b="0" l="0"/>
            <wp:docPr id="1" name="09_corr.png" descr="Figure 9: Correlation of numeric columns" title="Figure 9: Correlation of numeric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5A60"/>
          <w:sz w:val="18"/>
          <w:szCs w:val="18"/>
        </w:rPr>
        <w:t xml:space="preserve">Figure 9: Correlation of numeric columns</w:t>
      </w:r>
    </w:p>
    <w:p>
      <w:pPr>
        <w:spacing w:after="120"/>
      </w:pPr>
      <w:r>
        <w:t xml:space="preserve">Age, marital status and quantity have almost no linear relationship with transaction amount (all |r| &lt; 0.04). Segment differences therefore come from how many customers each segment has, not from higher spending per purchase.</w:t>
      </w:r>
    </w:p>
    <w:p>
      <w:pPr>
        <w:pStyle w:val="Heading1"/>
      </w:pPr>
      <w:r>
        <w:t xml:space="preserve">11. Key Insights</w:t>
      </w:r>
    </w:p>
    <w:p>
      <w:pPr>
        <w:pStyle w:val="ListParagraph"/>
        <w:numPr>
          <w:ilvl w:val="0"/>
          <w:numId w:val="2"/>
        </w:numPr>
      </w:pPr>
      <w:r>
        <w:t xml:space="preserve">Sales are driven by volume of buyers: women aged 26–35 are the core segment.</w:t>
      </w:r>
    </w:p>
    <w:p>
      <w:pPr>
        <w:pStyle w:val="ListParagraph"/>
        <w:numPr>
          <w:ilvl w:val="0"/>
          <w:numId w:val="2"/>
        </w:numPr>
      </w:pPr>
      <w:r>
        <w:t xml:space="preserve">Revenue is concentrated: four categories give 77%, four states give 55%.</w:t>
      </w:r>
    </w:p>
    <w:p>
      <w:pPr>
        <w:pStyle w:val="ListParagraph"/>
        <w:numPr>
          <w:ilvl w:val="0"/>
          <w:numId w:val="2"/>
        </w:numPr>
      </w:pPr>
      <w:r>
        <w:t xml:space="preserve">Basket size is nearly flat across gender, age, marital status and occupation.</w:t>
      </w:r>
    </w:p>
    <w:p>
      <w:pPr>
        <w:pStyle w:val="ListParagraph"/>
        <w:numPr>
          <w:ilvl w:val="0"/>
          <w:numId w:val="2"/>
        </w:numPr>
      </w:pPr>
      <w:r>
        <w:t xml:space="preserve">Male, 46+ and smaller-state customers are the main untapped segments.</w:t>
      </w:r>
    </w:p>
    <w:p>
      <w:pPr>
        <w:pStyle w:val="Heading1"/>
      </w:pPr>
      <w:r>
        <w:t xml:space="preserve">12.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3960"/>
      </w:tblGrid>
      <w:tr>
        <w:trPr>
          <w:tblHeader/>
        </w:trP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shd w:fill="3B1F2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Personalised campaigns for women aged 26–35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70% of revenue by gender; 40.1% by age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and promote Food, Clothing, Electronics, Footwear early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77% of revenue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Gifting bundles to grow male and 46+ buyers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 30%, ages 46+ 20% of revenue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Concentrate ads on UP, Maharashtra, Karnataka, Delhi; test in Punjab, Rajasthan, Telangana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 4 states 55%; smallest states under 2%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Corporate offers for IT, Healthcare, Aviation, Banking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48% of revenue</w:t>
            </w:r>
          </w:p>
        </w:tc>
      </w:tr>
      <w:tr>
        <w:tc>
          <w:tcPr>
            <w:tcW w:type="dxa" w:w="5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 data quality and dashboard issues before publishing</w:t>
            </w:r>
          </w:p>
        </w:tc>
        <w:tc>
          <w:tcPr>
            <w:tcW w:type="dxa" w:w="3960"/>
            <w:tcBorders>
              <w:top w:val="single" w:color="D9C6B8" w:sz="4"/>
              <w:left w:val="single" w:color="D9C6B8" w:sz="4"/>
              <w:bottom w:val="single" w:color="D9C6B8" w:sz="4"/>
              <w:right w:val="single" w:color="D9C6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5</w:t>
            </w:r>
          </w:p>
        </w:tc>
      </w:tr>
    </w:tbl>
    <w:p>
      <w:pPr>
        <w:pStyle w:val="Heading1"/>
      </w:pPr>
      <w:r>
        <w:t xml:space="preserve">13. Limitations &amp; Next Steps</w:t>
      </w:r>
    </w:p>
    <w:p>
      <w:pPr>
        <w:pStyle w:val="ListParagraph"/>
        <w:numPr>
          <w:ilvl w:val="0"/>
          <w:numId w:val="2"/>
        </w:numPr>
      </w:pPr>
      <w:r>
        <w:t xml:space="preserve">Single season with no date column; time trends cannot be analysed.</w:t>
      </w:r>
    </w:p>
    <w:p>
      <w:pPr>
        <w:pStyle w:val="ListParagraph"/>
        <w:numPr>
          <w:ilvl w:val="0"/>
          <w:numId w:val="2"/>
        </w:numPr>
      </w:pPr>
      <w:r>
        <w:t xml:space="preserve">No cost data; profit and margin cannot be analysed.</w:t>
      </w:r>
    </w:p>
    <w:p>
      <w:pPr>
        <w:pStyle w:val="ListParagraph"/>
        <w:numPr>
          <w:ilvl w:val="0"/>
          <w:numId w:val="2"/>
        </w:numPr>
      </w:pPr>
      <w:r>
        <w:t xml:space="preserve">User_ID is not fully reliable as a customer key.</w:t>
      </w:r>
    </w:p>
    <w:p>
      <w:pPr>
        <w:pStyle w:val="ListParagraph"/>
        <w:numPr>
          <w:ilvl w:val="0"/>
          <w:numId w:val="2"/>
        </w:numPr>
      </w:pPr>
      <w:r>
        <w:t xml:space="preserve">Next: add dates, RFM segmentation, profitability, and a Power BI version of the dashboard.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mbria" w:cs="Cambria" w:eastAsia="Cambria" w:hAnsi="Cambria"/>
      <w:b/>
      <w:bCs/>
      <w:color w:val="3B1F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mbria" w:cs="Cambria" w:eastAsia="Cambria" w:hAnsi="Cambria"/>
      <w:b/>
      <w:bCs/>
      <w:color w:val="B545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0564628eecdf68b128fc8de850cadf6e3d3d31.png"/><Relationship Id="rId8" Type="http://schemas.openxmlformats.org/officeDocument/2006/relationships/image" Target="media/504e7a8864da70de4b2f9dea200c89cb51afd98a.png"/><Relationship Id="rId9" Type="http://schemas.openxmlformats.org/officeDocument/2006/relationships/image" Target="media/18ba3b63eb98373c84cb9a746b42a44095071f33.png"/><Relationship Id="rId10" Type="http://schemas.openxmlformats.org/officeDocument/2006/relationships/image" Target="media/16dcb47d696538d96927d87877ecfa8515fadff8.png"/><Relationship Id="rId11" Type="http://schemas.openxmlformats.org/officeDocument/2006/relationships/image" Target="media/4bfa44982d4f6986159301c4298bae50f66dc46b.png"/><Relationship Id="rId12" Type="http://schemas.openxmlformats.org/officeDocument/2006/relationships/image" Target="media/711ba29bc0c055b8dbf8997cf14a6fbe581eb71c.png"/><Relationship Id="rId13" Type="http://schemas.openxmlformats.org/officeDocument/2006/relationships/image" Target="media/f4091eb5d2b23df4cd7017f92916eb2eab0cc561.png"/><Relationship Id="rId14" Type="http://schemas.openxmlformats.org/officeDocument/2006/relationships/image" Target="media/af7b06bdb317fc17623e65301b2d4fb027a8a764.png"/><Relationship Id="rId15" Type="http://schemas.openxmlformats.org/officeDocument/2006/relationships/image" Target="media/e6fbf46d02620be7e0d6159cd78218b150bd611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2026-09-30T08:59:02.986Z</dcterms:created>
  <dcterms:modified xsi:type="dcterms:W3CDTF">2026-09-30T08:59:02.987Z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