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mbria" w:cs="Cambria" w:eastAsia="Cambria" w:hAnsi="Cambria"/>
          <w:b/>
          <w:bCs/>
          <w:color w:val="1F2D3D"/>
          <w:sz w:val="60"/>
          <w:szCs w:val="60"/>
        </w:rPr>
        <w:t xml:space="preserve">E-Commerce Sales Dashboard</w:t>
      </w:r>
    </w:p>
    <w:p>
      <w:r>
        <w:rPr>
          <w:color w:val="F28C28"/>
          <w:sz w:val="30"/>
          <w:szCs w:val="30"/>
        </w:rPr>
        <w:t xml:space="preserve">Exploratory Data Analysis Project Report (Power BI)</w:t>
      </w:r>
    </w:p>
    <w:p>
      <w:pPr>
        <w:spacing w:before="300"/>
      </w:pPr>
      <w:r>
        <w:rPr>
          <w:color w:val="5B6B74"/>
          <w:sz w:val="24"/>
          <w:szCs w:val="24"/>
        </w:rPr>
        <w:t xml:space="preserve">Dataset: 15,000 orders | 3,000 customers | Jan 2024 – Dec 2025 | India</w:t>
      </w:r>
    </w:p>
    <w:p>
      <w:pPr>
        <w:spacing w:before="120"/>
      </w:pPr>
      <w:r>
        <w:rPr>
          <w:color w:val="5B6B74"/>
          <w:sz w:val="24"/>
          <w:szCs w:val="24"/>
        </w:rPr>
        <w:t xml:space="preserve">Tools: Power BI Desktop, data model, calculated column, slicers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documents an exploratory data analysis (EDA) and Power BI dashboard for an e-commerce company. The project combines two tables, SALES (15,000 orders) and CUSTOMER (3,000 customers), covering January 2024 to December 2025 across 16 Indian cities and 12 states.</w:t>
      </w:r>
    </w:p>
    <w:p>
      <w:pPr>
        <w:pStyle w:val="ListParagraph"/>
        <w:numPr>
          <w:ilvl w:val="0"/>
          <w:numId w:val="2"/>
        </w:numPr>
      </w:pPr>
      <w:r>
        <w:t xml:space="preserve">Total sales are ₹287.23M with ₹66.48M profit (23.1% margin) from 28,408 units and 15,000 orders.</w:t>
      </w:r>
    </w:p>
    <w:p>
      <w:pPr>
        <w:pStyle w:val="ListParagraph"/>
        <w:numPr>
          <w:ilvl w:val="0"/>
          <w:numId w:val="2"/>
        </w:numPr>
      </w:pPr>
      <w:r>
        <w:t xml:space="preserve">Electronics gives 62.9% of sales but has the lowest category margin (17.6%); Laptop alone is 26.7% of sales.</w:t>
      </w:r>
    </w:p>
    <w:p>
      <w:pPr>
        <w:pStyle w:val="ListParagraph"/>
        <w:numPr>
          <w:ilvl w:val="0"/>
          <w:numId w:val="2"/>
        </w:numPr>
      </w:pPr>
      <w:r>
        <w:t xml:space="preserve">Sales are flat year over year (+0.2%); October is the peak month and February the weakest.</w:t>
      </w:r>
    </w:p>
    <w:p>
      <w:pPr>
        <w:pStyle w:val="ListParagraph"/>
        <w:numPr>
          <w:ilvl w:val="0"/>
          <w:numId w:val="2"/>
        </w:numPr>
      </w:pPr>
      <w:r>
        <w:t xml:space="preserve">Margin falls from 38.9% with no discount to 22.3% at 20–25% discount.</w:t>
      </w:r>
    </w:p>
    <w:p>
      <w:pPr>
        <w:pStyle w:val="ListParagraph"/>
        <w:numPr>
          <w:ilvl w:val="0"/>
          <w:numId w:val="2"/>
        </w:numPr>
      </w:pPr>
      <w:r>
        <w:t xml:space="preserve">85% of buying customers ordered more than once and the top 20% give 52.2% of sales.</w:t>
      </w:r>
    </w:p>
    <w:p>
      <w:pPr>
        <w:pStyle w:val="ListParagraph"/>
        <w:numPr>
          <w:ilvl w:val="0"/>
          <w:numId w:val="2"/>
        </w:numPr>
      </w:pPr>
      <w:r>
        <w:t xml:space="preserve">The dashboard review found four fixes: the AOV card sums a column, month charts merge two years, the customer chart uses non-unique names, and 21.5% of orders predate customer signup.</w:t>
      </w:r>
    </w:p>
    <w:p>
      <w:pPr>
        <w:pStyle w:val="Heading1"/>
      </w:pPr>
      <w:r>
        <w:t xml:space="preserve">2. Objectives &amp; Scope</w:t>
      </w:r>
    </w:p>
    <w:p>
      <w:pPr>
        <w:pStyle w:val="ListParagraph"/>
        <w:numPr>
          <w:ilvl w:val="0"/>
          <w:numId w:val="2"/>
        </w:numPr>
      </w:pPr>
      <w:r>
        <w:t xml:space="preserve">Build a Power BI dashboard tracking sales, quantity, profit and average order value.</w:t>
      </w:r>
    </w:p>
    <w:p>
      <w:pPr>
        <w:pStyle w:val="ListParagraph"/>
        <w:numPr>
          <w:ilvl w:val="0"/>
          <w:numId w:val="2"/>
        </w:numPr>
      </w:pPr>
      <w:r>
        <w:t xml:space="preserve">Analyse performance by category, product, time, channel, payment method, geography and customer segment.</w:t>
      </w:r>
    </w:p>
    <w:p>
      <w:pPr>
        <w:pStyle w:val="ListParagraph"/>
        <w:numPr>
          <w:ilvl w:val="0"/>
          <w:numId w:val="2"/>
        </w:numPr>
      </w:pPr>
      <w:r>
        <w:t xml:space="preserve">Measure the impact of discounts on profitability.</w:t>
      </w:r>
    </w:p>
    <w:p>
      <w:pPr>
        <w:pStyle w:val="ListParagraph"/>
        <w:numPr>
          <w:ilvl w:val="0"/>
          <w:numId w:val="2"/>
        </w:numPr>
      </w:pPr>
      <w:r>
        <w:t xml:space="preserve">Review the dashboard for accuracy and recommend improvements.</w:t>
      </w:r>
    </w:p>
    <w:p>
      <w:pPr>
        <w:spacing w:after="120"/>
      </w:pPr>
      <w:r>
        <w:t xml:space="preserve">Out of scope: returns, targets and forecasts (not present in the data).</w:t>
      </w:r>
    </w:p>
    <w:p>
      <w:pPr>
        <w:pStyle w:val="Heading1"/>
      </w:pPr>
      <w:r>
        <w:t xml:space="preserve">3. Dataset Description</w:t>
      </w:r>
    </w:p>
    <w:p>
      <w:pPr>
        <w:pStyle w:val="Heading2"/>
      </w:pPr>
      <w:r>
        <w:t xml:space="preserve">3.1 SALES table (15,000 rows × 15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OrderID, OrderDate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order id; date from 2024-01-01 to 2025-12-31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to the CUSTOMER table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Product, Category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products in 5 categories (each product belongs to one category)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Quantity, UnitPrice, DiscountPct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1–5 units; ₹250 – ₹59,390 per unit; discount 0–25%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SalesAmount, CostAmount, Profit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value, cost and profit in ₹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Channel, PaymentMethod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/ Store / Marketplace; UPI, Credit Card, Debit Card, Net Banking, Cash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City, Region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cities and 5 regions of delivery</w:t>
            </w:r>
          </w:p>
        </w:tc>
      </w:tr>
    </w:tbl>
    <w:p>
      <w:pPr>
        <w:pStyle w:val="Heading2"/>
      </w:pPr>
      <w:r>
        <w:t xml:space="preserve">3.2 CUSTOMER table (3,000 rows × 8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CustomerID, CustomerName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id; name (478 distinct names)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Gender, Age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 / Female / Other; age 18–65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City, State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cities, 12 states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CustomerSegment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Consumer, Corporate, Small Business</w:t>
            </w:r>
          </w:p>
        </w:tc>
      </w:tr>
      <w:tr>
        <w:tc>
          <w:tcPr>
            <w:tcW w:type="dxa" w:w="3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SignupDate</w:t>
            </w:r>
          </w:p>
        </w:tc>
        <w:tc>
          <w:tcPr>
            <w:tcW w:type="dxa" w:w="63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2023-01-01 to 2025-06-18</w:t>
            </w:r>
          </w:p>
        </w:tc>
      </w:tr>
    </w:tbl>
    <w:p>
      <w:pPr>
        <w:pStyle w:val="Heading1"/>
      </w:pPr>
      <w:r>
        <w:t xml:space="preserve">4. Power BI Project Structure</w:t>
      </w:r>
    </w:p>
    <w:p>
      <w:pPr>
        <w:pStyle w:val="Heading2"/>
      </w:pPr>
      <w:r>
        <w:t xml:space="preserve">4.1 Data model</w:t>
      </w:r>
    </w:p>
    <w:p>
      <w:pPr>
        <w:spacing w:before="120"/>
        <w:jc w:val="center"/>
      </w:pPr>
      <w:r>
        <w:drawing>
          <wp:inline distT="0" distB="0" distL="0" distR="0">
            <wp:extent cx="4381500" cy="1638300"/>
            <wp:effectExtent t="0" r="0" b="0" l="0"/>
            <wp:docPr id="1" name="13_model.png" descr="Figure 1: Data model (relationship inferred from CustomerID)" title="Figure 1: Data model (relationship inferred from CustomerI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1: Data model (relationship inferred from CustomerID)</w:t>
      </w:r>
    </w:p>
    <w:p>
      <w:pPr>
        <w:spacing w:after="120"/>
      </w:pPr>
      <w:r>
        <w:t xml:space="preserve">The report file contains two tables, SALES and CUSTOMER. A relationship on CustomerID is needed for the State chart (State comes from CUSTOMER, sales from SALES) and was validated on the data: every order has a matching customer and 324 customers have no orders. SALES also contains a calculated column AOV that is not in the source CSV. The compressed data model was not opened, so DAX and relationship properties were not inspected.</w:t>
      </w:r>
    </w:p>
    <w:p>
      <w:pPr>
        <w:pStyle w:val="Heading2"/>
      </w:pPr>
      <w:r>
        <w:t xml:space="preserve">4.2 Report page</w:t>
      </w:r>
    </w:p>
    <w:p>
      <w:pPr>
        <w:spacing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12_layout.png" descr="Figure 2: Dashboard layout reconstructed from visual positions in the .pbix" title="Figure 2: Dashboard layout reconstructed from visual positions in the .p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2: Dashboard layout reconstructed from visual positions in the .pbix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160"/>
      </w:tblGrid>
      <w:tr>
        <w:trPr>
          <w:tblHeader/>
        </w:trP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SalesAmount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Quantity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Profit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AOV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AOV (calculated column)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by State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CUSTOMER[State], Sum of SalesAmount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Donut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PaymentMethod, Sum of Quantity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Donut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Category, Sum of Quantity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by Customer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CUSTOMER[CustomerName], Sum of SalesAmount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by Month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OrderDate (Month level), Sum of SalesAmount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by Month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OrderDate (Month level), Sum of Profit</w:t>
            </w:r>
          </w:p>
        </w:tc>
      </w:tr>
      <w:tr>
        <w:tc>
          <w:tcPr>
            <w:tcW w:type="dxa" w:w="2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 filter</w:t>
            </w:r>
          </w:p>
        </w:tc>
        <w:tc>
          <w:tcPr>
            <w:tcW w:type="dxa" w:w="1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Slicer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OrderDate (Quarter level)</w:t>
            </w:r>
          </w:p>
        </w:tc>
      </w:tr>
    </w:tbl>
    <w:p>
      <w:pPr>
        <w:spacing w:after="120"/>
      </w:pPr>
      <w:r>
        <w:t xml:space="preserve">The page is 1920 × 1080 with a custom background image, the title “XYZ ltd. ECOMMERCE SALES DASHBOARD” and the Fluent 2 base theme.</w:t>
      </w:r>
    </w:p>
    <w:p>
      <w:pPr>
        <w:pStyle w:val="Heading1"/>
      </w:pPr>
      <w:r>
        <w:t xml:space="preserve">5. Data Quality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Nulls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in either table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Duplicates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duplicate rows; OrderID and CustomerID unique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orders without a customer; 324 customers without orders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SalesAmount = Qty × Price × (1 − Discount)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for 100% of rows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= Sales − Cost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for 100% of rows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Loss-making orders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 orders (₹1,32,350 total loss)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 before SignupDate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3,226 orders (21.5%)</w:t>
            </w:r>
          </w:p>
        </w:tc>
      </w:tr>
      <w:tr>
        <w:tc>
          <w:tcPr>
            <w:tcW w:type="dxa" w:w="4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Outliers (SalesAmount, IQR rule)</w:t>
            </w:r>
          </w:p>
        </w:tc>
        <w:tc>
          <w:tcPr>
            <w:tcW w:type="dxa" w:w="5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1,262 orders: high-priced laptops and smartphones; kept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334000" cy="1476375"/>
            <wp:effectExtent t="0" r="0" b="0" l="0"/>
            <wp:docPr id="1" name="10_dist.png" descr="Figure 3: Distribution of SalesAmount and customer age" title="Figure 3: Distribution of SalesAmount and customer 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3: Distribution of SalesAmount and customer age</w:t>
      </w:r>
    </w:p>
    <w:p>
      <w:pPr>
        <w:pStyle w:val="Heading1"/>
      </w:pPr>
      <w:r>
        <w:t xml:space="preserve">6. Overall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₹287.23M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cost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₹220.75M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₹66.48M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23.15%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Units sold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28,408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who ordered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2,676 of 3,000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order value (Sales ÷ Orders)</w:t>
            </w:r>
          </w:p>
        </w:tc>
        <w:tc>
          <w:tcPr>
            <w:tcW w:type="dxa" w:w="41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₹19,149</w:t>
            </w:r>
          </w:p>
        </w:tc>
      </w:tr>
    </w:tbl>
    <w:p>
      <w:pPr>
        <w:spacing w:after="120"/>
      </w:pPr>
      <w:r>
        <w:t xml:space="preserve">The dashboard AOV card uses Sum of AOV, which adds a per-row value across all orders and is not an average. The correct company-level AOV is ₹19,149.</w:t>
      </w:r>
    </w:p>
    <w:p>
      <w:pPr>
        <w:pStyle w:val="Heading1"/>
      </w:pPr>
      <w:r>
        <w:t xml:space="preserve">7. Product &amp; Category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₹180.61M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62.9%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₹31.89M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17.6%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4,157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₹40.54M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₹13.11M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2,486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Appliances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₹29.99M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10.4%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₹9.92M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33.1%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2,518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₹19.46M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6.8%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₹5.11M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2,572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₹16.63M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5.8%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₹6.46M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3,267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334000" cy="1933575"/>
            <wp:effectExtent t="0" r="0" b="0" l="0"/>
            <wp:docPr id="1" name="01_category.png" descr="Figure 4: Sales and profit margin by category" title="Figure 4: Sales and profit margin by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4: Sales and profit margin by category</w:t>
      </w:r>
    </w:p>
    <w:p>
      <w:pPr>
        <w:spacing w:after="120"/>
      </w:pPr>
      <w:r>
        <w:t xml:space="preserve">Electronics gives ₹180.6M (62.9%) at a 17.6% margin, while Accessories earn 38.8% on ₹16.6M. Units sold by category on the dashboard donut: Electronics 7,822, Accessories 6,216, Office Supplies 4,859, Home Appliances 4,822 and Furniture 4,689.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₹76.57M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26.7%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₹11.15M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14.6%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794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Smartphone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₹41.62M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14.5%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₹7.01M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16.9%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₹32.87M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11.4%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₹6.52M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870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₹24.75M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8.6%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₹5.66M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805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Printer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₹18.59M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6.5%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₹4.66M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891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Chair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₹17.53M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₹5.25M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29.9%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828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₹12.91M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₹4.20M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 Fryer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₹12.37M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₹3.83M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31.0%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805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Bookshelf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₹10.10M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₹3.67M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Coffee Maker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₹9.85M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₹3.45M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35.0%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845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₹9.25M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₹3.46M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37.4%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Mixer Grinder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₹7.77M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2.7%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₹2.64M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34.0%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868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Headphones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₹4.80M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₹1.54M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32.0%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Backpack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₹3.20M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₹1.26M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Keyboard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₹2.54M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₹1.03M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Mouse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₹1.65M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₹0.71M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43.2%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796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₹0.48M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₹0.24M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50.4%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804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 Set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₹0.39M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₹0.21M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877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02_product.png" descr="Figure 5: Sales by product" title="Figure 5: Sales by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5: Sales by product</w:t>
      </w:r>
    </w:p>
    <w:p>
      <w:pPr>
        <w:spacing w:after="120"/>
      </w:pPr>
      <w:r>
        <w:t xml:space="preserve">Laptop (₹76.6M, 14.6% margin), Smartphone (₹41.6M, 16.9%) and Tablet (₹32.9M, 19.8%) give 52.6% of sales. Low-ticket items such as Pen Set and Notebook have the highest margins (over 50%) but under 1% of sales.</w:t>
      </w:r>
    </w:p>
    <w:p>
      <w:pPr>
        <w:pStyle w:val="Heading1"/>
      </w:pPr>
      <w:r>
        <w:t xml:space="preserve">8. Time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₹143.50M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₹32.82M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7,449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₹143.73M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₹33.66M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7,551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334000" cy="1933575"/>
            <wp:effectExtent t="0" r="0" b="0" l="0"/>
            <wp:docPr id="1" name="03_monthly.png" descr="Figure 6: Monthly sales and profit, 2024 vs 2025" title="Figure 6: Monthly sales and profit, 2024 v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6: Monthly sales and profit, 2024 vs 2025</w:t>
      </w:r>
    </w:p>
    <w:p>
      <w:pPr>
        <w:pStyle w:val="ListParagraph"/>
        <w:numPr>
          <w:ilvl w:val="0"/>
          <w:numId w:val="2"/>
        </w:numPr>
      </w:pPr>
      <w:r>
        <w:t xml:space="preserve">2025 sales are +0.2% versus 2024 and margin rose from 22.9% to 23.4%.</w:t>
      </w:r>
    </w:p>
    <w:p>
      <w:pPr>
        <w:pStyle w:val="ListParagraph"/>
        <w:numPr>
          <w:ilvl w:val="0"/>
          <w:numId w:val="2"/>
        </w:numPr>
      </w:pPr>
      <w:r>
        <w:t xml:space="preserve">Peak month: 2025-10 (₹13.70M); lowest month: 2025-02 (₹10.31M).</w:t>
      </w:r>
    </w:p>
    <w:p>
      <w:pPr>
        <w:pStyle w:val="ListParagraph"/>
        <w:numPr>
          <w:ilvl w:val="0"/>
          <w:numId w:val="2"/>
        </w:numPr>
      </w:pPr>
      <w:r>
        <w:t xml:space="preserve">October is the strongest calendar month in both years; February is the weakest.</w:t>
      </w:r>
    </w:p>
    <w:p>
      <w:pPr>
        <w:spacing w:before="120"/>
        <w:jc w:val="center"/>
      </w:pPr>
      <w:r>
        <w:drawing>
          <wp:inline distT="0" distB="0" distL="0" distR="0">
            <wp:extent cx="5143500" cy="1781175"/>
            <wp:effectExtent t="0" r="0" b="0" l="0"/>
            <wp:docPr id="1" name="04_quarter_year.png" descr="Figure 7: Sales by quarter and year" title="Figure 7: Sales by quarter and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7: Sales by quarter and year</w:t>
      </w:r>
    </w:p>
    <w:p>
      <w:pPr>
        <w:spacing w:after="120"/>
      </w:pPr>
      <w:r>
        <w:t xml:space="preserve">Quarterly sales are balanced (Q4 25.7%, Q1 25.2%, Q2 25.0%, Q3 24.1%), so seasonality is mild.</w:t>
      </w:r>
    </w:p>
    <w:p>
      <w:pPr>
        <w:pStyle w:val="Heading1"/>
      </w:pPr>
      <w:r>
        <w:t xml:space="preserve">9. Channel &amp; Payment Analysis</w:t>
      </w:r>
    </w:p>
    <w:p>
      <w:pPr>
        <w:spacing w:before="120"/>
        <w:jc w:val="center"/>
      </w:pPr>
      <w:r>
        <w:drawing>
          <wp:inline distT="0" distB="0" distL="0" distR="0">
            <wp:extent cx="5143500" cy="1866900"/>
            <wp:effectExtent t="0" r="0" b="0" l="0"/>
            <wp:docPr id="1" name="05_channel_pay.png" descr="Figure 8: Sales by channel and payment method" title="Figure 8: Sales by channel and payment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8: Sales by channel and payment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₹155.50M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₹36.42M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8,264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₹73.43M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25.6%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₹16.71M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3,759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₹58.30M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20.3%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₹13.36M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2,977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UPI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₹107.24M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37.3%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₹24.32M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22.7%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5,607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₹72.03M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₹16.90M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3,755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Debit Card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₹53.18M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18.5%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₹12.37M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2,704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Banking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₹34.44M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₹8.12M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1,824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₹20.33M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₹4.78M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Online gives 54.1% of sales, followed by Store (25.6%) and Marketplace (20.3%). UPI is the leading payment method (37.3% of sales). Margins differ by less than one point across channels and payment methods.</w:t>
      </w:r>
    </w:p>
    <w:p>
      <w:pPr>
        <w:pStyle w:val="Heading1"/>
      </w:pPr>
      <w:r>
        <w:t xml:space="preserve">10. Geographic Analysis</w:t>
      </w:r>
    </w:p>
    <w:p>
      <w:pPr>
        <w:spacing w:before="120"/>
        <w:jc w:val="center"/>
      </w:pPr>
      <w:r>
        <w:drawing>
          <wp:inline distT="0" distB="0" distL="0" distR="0">
            <wp:extent cx="5143500" cy="1971675"/>
            <wp:effectExtent t="0" r="0" b="0" l="0"/>
            <wp:docPr id="1" name="06_geo.png" descr="Figure 9: Sales by state and region" title="Figure 9: Sales by state and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9: Sales by state and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₹49.25M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₹11.46M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2,573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Gujarat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₹36.72M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12.8%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₹8.27M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1,837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₹31.42M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₹7.44M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23.7%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1,770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Rajasthan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₹23.32M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₹5.40M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1,248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Bengal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₹20.25M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₹4.62M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1,022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₹19.87M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6.9%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₹4.41M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22.2%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908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Kerala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₹19.29M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6.7%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₹4.56M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1,032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Telangana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₹19.29M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6.7%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₹4.43M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23.0%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1,045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Chandigarh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₹19.07M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6.6%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₹4.43M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23.2%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939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₹17.76M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₹4.22M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1,003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₹16.42M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5.7%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₹3.74M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787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₹14.57M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₹3.50M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24.1%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₹85.97M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29.9%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₹19.73M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4,410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₹76.22M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26.5%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₹17.62M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3,988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₹73.37M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25.6%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₹17.07M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3,810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₹31.42M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₹7.44M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23.7%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1,770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₹20.25M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₹4.62M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22.8%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1,022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Maharashtra leads with ₹49.3M (17.1%), followed by Gujarat (12.8%) and Madhya Pradesh (10.9%). By region, West gives 29.9% and South 26.5%. East and Delhi are the smallest markets. State is taken from the customer record; the order city matches the customer city for every order.</w:t>
      </w:r>
    </w:p>
    <w:p>
      <w:pPr>
        <w:pStyle w:val="Heading1"/>
      </w:pPr>
      <w:r>
        <w:t xml:space="preserve">11. Customer Analysis</w:t>
      </w:r>
    </w:p>
    <w:p>
      <w:pPr>
        <w:spacing w:before="12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07_customers.png" descr="Figure 10: Sales by segment, gender and age group" title="Figure 10: Sales by segment, gender and ag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10: Sales by segment, gender and age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100"/>
        <w:gridCol w:w="1500"/>
        <w:gridCol w:w="12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CustomerSegment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₹181.43M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63.2%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₹41.77M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23.0%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9,402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₹67.69M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₹15.76M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3,536</w:t>
            </w:r>
          </w:p>
        </w:tc>
      </w:tr>
      <w:tr>
        <w:tc>
          <w:tcPr>
            <w:tcW w:type="dxa" w:w="2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₹38.11M</w:t>
            </w:r>
          </w:p>
        </w:tc>
        <w:tc>
          <w:tcPr>
            <w:tcW w:type="dxa" w:w="1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  <w:tc>
          <w:tcPr>
            <w:tcW w:type="dxa" w:w="1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₹8.95M</w:t>
            </w:r>
          </w:p>
        </w:tc>
        <w:tc>
          <w:tcPr>
            <w:tcW w:type="dxa" w:w="1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23.5%</w:t>
            </w:r>
          </w:p>
        </w:tc>
        <w:tc>
          <w:tcPr>
            <w:tcW w:type="dxa" w:w="15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2,062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Consumers give 63.2% of sales, Corporate 23.6% and Small Business 13.3%. Gender and age groups contribute almost equally (Female 47.9%, Male 47.0%; each age group from 26 to 65 about 21%, 18-25 at 15.4%); margins are the same across all groups.</w:t>
      </w:r>
    </w:p>
    <w:p>
      <w:pPr>
        <w:pStyle w:val="Heading2"/>
      </w:pPr>
      <w:r>
        <w:t xml:space="preserve">11.1 Customer behaviour</w:t>
      </w:r>
    </w:p>
    <w:p>
      <w:pPr>
        <w:spacing w:after="120"/>
      </w:pPr>
      <w:r>
        <w:t xml:space="preserve">85.1% of buying customers placed more than one order (average 5.6 orders, maximum 41). The top 20% of customers account for 52.2% of sales.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09_top_customers.png" descr="Figure 11: Top 10 customers by sales (CustomerID)" title="Figure 11: Top 10 customers by sales (CustomerI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11: Top 10 customers by sales (CustomerID)</w:t>
      </w:r>
    </w:p>
    <w:p>
      <w:pPr>
        <w:spacing w:after="120"/>
      </w:pPr>
      <w:r>
        <w:t xml:space="preserve">The dashboard chart “Sales by Customer Name” groups by name rather than ID. With 478 distinct names for 3,000 customers, the top name (Arjun Das, ₹2.23M) combines 11 different customers, so the chart overstates single-customer sales.</w:t>
      </w:r>
    </w:p>
    <w:p>
      <w:pPr>
        <w:pStyle w:val="Heading1"/>
      </w:pPr>
      <w:r>
        <w:t xml:space="preserve">12. Discount &amp; Profitability</w:t>
      </w:r>
    </w:p>
    <w:p>
      <w:pPr>
        <w:spacing w:before="120"/>
        <w:jc w:val="center"/>
      </w:pPr>
      <w:r>
        <w:drawing>
          <wp:inline distT="0" distB="0" distL="0" distR="0">
            <wp:extent cx="5143500" cy="1866900"/>
            <wp:effectExtent t="0" r="0" b="0" l="0"/>
            <wp:docPr id="1" name="08_discount_margin.png" descr="Figure 12: Average margin by discount level and by product" title="Figure 12: Average margin by discount level and by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12: Average margin by discount level and by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margin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2,975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38.93%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₹18.91M</w:t>
            </w:r>
          </w:p>
        </w:tc>
      </w:tr>
      <w:tr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3,735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35.66%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₹19.49M</w:t>
            </w:r>
          </w:p>
        </w:tc>
      </w:tr>
      <w:tr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4,188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32.43%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₹17.51M</w:t>
            </w:r>
          </w:p>
        </w:tc>
      </w:tr>
      <w:tr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2,293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28.18%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₹7.44M</w:t>
            </w:r>
          </w:p>
        </w:tc>
      </w:tr>
      <w:tr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20-25%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1,809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22.33%</w:t>
            </w:r>
          </w:p>
        </w:tc>
        <w:tc>
          <w:tcPr>
            <w:tcW w:type="dxa" w:w="234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₹3.13M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correlation between discount and margin % is -0.439. Orders with 15% or higher discount (4,102 orders, 27% of orders) have margins below 28%. Discounts do not raise order value (correlation with SalesAmount is −0.06).</w:t>
      </w:r>
    </w:p>
    <w:p>
      <w:pPr>
        <w:pStyle w:val="Heading2"/>
      </w:pPr>
      <w:r>
        <w:t xml:space="preserve">Correlation</w:t>
      </w:r>
    </w:p>
    <w:p>
      <w:pPr>
        <w:spacing w:before="120"/>
        <w:jc w:val="center"/>
      </w:pPr>
      <w:r>
        <w:drawing>
          <wp:inline distT="0" distB="0" distL="0" distR="0">
            <wp:extent cx="2857500" cy="2381250"/>
            <wp:effectExtent t="0" r="0" b="0" l="0"/>
            <wp:docPr id="1" name="11_corr.png" descr="Figure 13: Correlation of numeric columns" title="Figure 13: Correlation of numeric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4"/>
          <w:sz w:val="18"/>
          <w:szCs w:val="18"/>
        </w:rPr>
        <w:t xml:space="preserve">Figure 13: Correlation of numeric columns</w:t>
      </w:r>
    </w:p>
    <w:p>
      <w:pPr>
        <w:spacing w:after="120"/>
      </w:pPr>
      <w:r>
        <w:t xml:space="preserve">SalesAmount depends mainly on UnitPrice (r = 0.80) and Quantity (r = 0.38); Profit follows SalesAmount (r = 0.87).</w:t>
      </w:r>
    </w:p>
    <w:p>
      <w:pPr>
        <w:pStyle w:val="Heading1"/>
      </w:pPr>
      <w:r>
        <w:t xml:space="preserve">13. Dashboard Review &amp;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4760"/>
      </w:tblGrid>
      <w:tr>
        <w:trPr>
          <w:tblHeader/>
        </w:trP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AOV card uses Sum of AOV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measure: AOV = DIVIDE(SUM(SALES[SalesAmount]), DISTINCTCOUNT(SALES[OrderID]))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charts use the Month level only, merging 2024 and 2025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Year-Month axis or add a Year slicer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chart groups by CustomerName (non-unique)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by CustomerID or add a unique label; use Top N filter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21.5% of orders are before the customer signup date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source dates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one Quarter slicer and one page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Year, Region, Category slicers; add drill-through and tooltips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Donuts show units, not sales</w:t>
            </w:r>
          </w:p>
        </w:tc>
        <w:tc>
          <w:tcPr>
            <w:tcW w:type="dxa" w:w="47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sales value or percentages in labels</w:t>
            </w:r>
          </w:p>
        </w:tc>
      </w:tr>
    </w:tbl>
    <w:p>
      <w:pPr>
        <w:pStyle w:val="Heading1"/>
      </w:pPr>
      <w:r>
        <w:t xml:space="preserve">14. Key Insights</w:t>
      </w:r>
    </w:p>
    <w:p>
      <w:pPr>
        <w:pStyle w:val="ListParagraph"/>
        <w:numPr>
          <w:ilvl w:val="0"/>
          <w:numId w:val="2"/>
        </w:numPr>
      </w:pPr>
      <w:r>
        <w:t xml:space="preserve">Revenue is concentrated in Electronics, which has the lowest margin.</w:t>
      </w:r>
    </w:p>
    <w:p>
      <w:pPr>
        <w:pStyle w:val="ListParagraph"/>
        <w:numPr>
          <w:ilvl w:val="0"/>
          <w:numId w:val="2"/>
        </w:numPr>
      </w:pPr>
      <w:r>
        <w:t xml:space="preserve">Discounts are the clearest controllable lever on profit.</w:t>
      </w:r>
    </w:p>
    <w:p>
      <w:pPr>
        <w:pStyle w:val="ListParagraph"/>
        <w:numPr>
          <w:ilvl w:val="0"/>
          <w:numId w:val="2"/>
        </w:numPr>
      </w:pPr>
      <w:r>
        <w:t xml:space="preserve">Sales are flat and only mildly seasonal; growth needs new demand.</w:t>
      </w:r>
    </w:p>
    <w:p>
      <w:pPr>
        <w:pStyle w:val="ListParagraph"/>
        <w:numPr>
          <w:ilvl w:val="0"/>
          <w:numId w:val="2"/>
        </w:numPr>
      </w:pPr>
      <w:r>
        <w:t xml:space="preserve">Margins are uniform across channels, regions and customers, so product mix and discounts drive profit.</w:t>
      </w:r>
    </w:p>
    <w:p>
      <w:pPr>
        <w:pStyle w:val="ListParagraph"/>
        <w:numPr>
          <w:ilvl w:val="0"/>
          <w:numId w:val="2"/>
        </w:numPr>
      </w:pPr>
      <w:r>
        <w:t xml:space="preserve">The business relies on repeat buyers: 85% repeat rate, with the top 20% giving 52% of sales.</w:t>
      </w:r>
    </w:p>
    <w:p>
      <w:pPr>
        <w:pStyle w:val="Heading1"/>
      </w:pPr>
      <w:r>
        <w:t xml:space="preserve">15.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mix toward Accessories, Home Appliances and Furniture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32–39% margins vs 17.6% for Electronics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 blanket discounts near 10%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drops from 38.9% to 22.3%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Loyalty programme for top customers; reactivate 324 inactive customers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20% = 52% of sales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 in Online and UPI journeys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54% and 37% of sales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 East and smaller states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 7%, Delhi 5% of sales</w:t>
            </w:r>
          </w:p>
        </w:tc>
      </w:tr>
      <w:tr>
        <w:tc>
          <w:tcPr>
            <w:tcW w:type="dxa" w:w="5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dashboard measures before sharing</w:t>
            </w:r>
          </w:p>
        </w:tc>
        <w:tc>
          <w:tcPr>
            <w:tcW w:type="dxa" w:w="40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13</w:t>
            </w:r>
          </w:p>
        </w:tc>
      </w:tr>
    </w:tbl>
    <w:p>
      <w:pPr>
        <w:pStyle w:val="Heading1"/>
      </w:pPr>
      <w:r>
        <w:t xml:space="preserve">16. Limitations &amp; Next Steps</w:t>
      </w:r>
    </w:p>
    <w:p>
      <w:pPr>
        <w:pStyle w:val="ListParagraph"/>
        <w:numPr>
          <w:ilvl w:val="0"/>
          <w:numId w:val="2"/>
        </w:numPr>
      </w:pPr>
      <w:r>
        <w:t xml:space="preserve">No order status, returns, targets or marketing data.</w:t>
      </w:r>
    </w:p>
    <w:p>
      <w:pPr>
        <w:pStyle w:val="ListParagraph"/>
        <w:numPr>
          <w:ilvl w:val="0"/>
          <w:numId w:val="2"/>
        </w:numPr>
      </w:pPr>
      <w:r>
        <w:t xml:space="preserve">The compressed Power BI data model was not inspected, so DAX and relationship settings are inferred.</w:t>
      </w:r>
    </w:p>
    <w:p>
      <w:pPr>
        <w:pStyle w:val="ListParagraph"/>
        <w:numPr>
          <w:ilvl w:val="0"/>
          <w:numId w:val="2"/>
        </w:numPr>
      </w:pPr>
      <w:r>
        <w:t xml:space="preserve">Next: DAX measures (YoY, margin %, running totals), RFM segmentation, forecasting and publishing to Power BI Service.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0B6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14e4ee0983f3a7b62f9db05a96d00390aad11b.png"/><Relationship Id="rId8" Type="http://schemas.openxmlformats.org/officeDocument/2006/relationships/image" Target="media/72d51e81520e75dc6daadb350902107375cfee09.png"/><Relationship Id="rId9" Type="http://schemas.openxmlformats.org/officeDocument/2006/relationships/image" Target="media/ebcaa1aefa2e9ba9f75abf6344b86d8ccf8b4284.png"/><Relationship Id="rId10" Type="http://schemas.openxmlformats.org/officeDocument/2006/relationships/image" Target="media/d74b582011c5bd168f3e35aefc0d7f7b479293e3.png"/><Relationship Id="rId11" Type="http://schemas.openxmlformats.org/officeDocument/2006/relationships/image" Target="media/116fea267574e10d826a6f34de191c9c52546ece.png"/><Relationship Id="rId12" Type="http://schemas.openxmlformats.org/officeDocument/2006/relationships/image" Target="media/3e2060306ed4c76fe9dc0046c35f6e693813e6f2.png"/><Relationship Id="rId13" Type="http://schemas.openxmlformats.org/officeDocument/2006/relationships/image" Target="media/c5e509b54e50eef5bfc802e52612de00475ccc66.png"/><Relationship Id="rId14" Type="http://schemas.openxmlformats.org/officeDocument/2006/relationships/image" Target="media/44ead1d85cdb1adee948103d9e345c5eb9877731.png"/><Relationship Id="rId15" Type="http://schemas.openxmlformats.org/officeDocument/2006/relationships/image" Target="media/a5a5f388c206e1154416ad041742298c9f6cfc99.png"/><Relationship Id="rId16" Type="http://schemas.openxmlformats.org/officeDocument/2006/relationships/image" Target="media/000ae431fc3e39394da47475a809768390d0738b.png"/><Relationship Id="rId17" Type="http://schemas.openxmlformats.org/officeDocument/2006/relationships/image" Target="media/8bd946d882ddb0bb92f8bdc816b3cd7443db32e3.png"/><Relationship Id="rId18" Type="http://schemas.openxmlformats.org/officeDocument/2006/relationships/image" Target="media/d94dd724c8de81fd375863c5d92ffcb9aed4db1a.png"/><Relationship Id="rId19" Type="http://schemas.openxmlformats.org/officeDocument/2006/relationships/image" Target="media/9f67e9b01b366d8952a3d2b0208fa23a20bd00b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2026-10-01T08:34:20.974Z</dcterms:created>
  <dcterms:modified xsi:type="dcterms:W3CDTF">2026-10-01T08:34:20.975Z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