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7604" w14:textId="77777777" w:rsidR="00A33AAC" w:rsidRPr="00A33AAC" w:rsidRDefault="00A33AAC" w:rsidP="00A33AAC">
      <w:pPr>
        <w:pStyle w:val="IEEETitle"/>
        <w:rPr>
          <w:b/>
          <w:sz w:val="40"/>
          <w:lang w:val="en-IN"/>
        </w:rPr>
      </w:pPr>
      <w:r>
        <w:t>Candy Crusher</w:t>
      </w:r>
    </w:p>
    <w:p w14:paraId="17089D62" w14:textId="016E00A3" w:rsidR="00D41274" w:rsidRPr="00A33AAC" w:rsidRDefault="00A33AAC" w:rsidP="00A33AAC">
      <w:pPr>
        <w:pStyle w:val="IEEETitle"/>
        <w:rPr>
          <w:b/>
          <w:sz w:val="40"/>
          <w:lang w:val="en-IN"/>
        </w:rPr>
      </w:pPr>
      <w:r>
        <w:t>Classical RL Baselines and a GRPO-Trained LLM Policy</w:t>
      </w:r>
    </w:p>
    <w:p w14:paraId="408A7B10" w14:textId="77777777" w:rsidR="00AC1973" w:rsidRPr="00AC1973" w:rsidRDefault="00AC1973" w:rsidP="00AC1973">
      <w:pPr>
        <w:rPr>
          <w:i/>
          <w:sz w:val="20"/>
          <w:szCs w:val="20"/>
          <w:lang w:val="en-GB" w:eastAsia="en-GB"/>
        </w:rPr>
      </w:pPr>
      <w:r>
        <w:rPr>
          <w:lang w:val="en-GB" w:eastAsia="en-GB"/>
        </w:rPr>
        <w:t xml:space="preserve">                                   </w:t>
      </w:r>
    </w:p>
    <w:p w14:paraId="1B9FF313" w14:textId="410AA116" w:rsidR="00371689" w:rsidRPr="00A33AAC" w:rsidRDefault="00A33AAC" w:rsidP="00371689">
      <w:pPr>
        <w:pStyle w:val="IEEEAuthorName"/>
        <w:rPr>
          <w:szCs w:val="22"/>
        </w:rPr>
      </w:pPr>
      <w:r>
        <w:rPr>
          <w:szCs w:val="22"/>
        </w:rPr>
        <w:t>Ananya Singla</w:t>
      </w:r>
      <w:r w:rsidR="00371689" w:rsidRPr="00D45A96">
        <w:rPr>
          <w:szCs w:val="22"/>
          <w:vertAlign w:val="superscript"/>
        </w:rPr>
        <w:t>1</w:t>
      </w:r>
      <w:r w:rsidR="00371689">
        <w:rPr>
          <w:szCs w:val="22"/>
        </w:rPr>
        <w:t>, 2</w:t>
      </w:r>
      <w:r w:rsidR="00371689" w:rsidRPr="00371689">
        <w:rPr>
          <w:szCs w:val="22"/>
          <w:vertAlign w:val="superscript"/>
        </w:rPr>
        <w:t>nd</w:t>
      </w:r>
      <w:r w:rsidR="00371689">
        <w:rPr>
          <w:szCs w:val="22"/>
        </w:rPr>
        <w:t xml:space="preserve"> </w:t>
      </w:r>
      <w:r>
        <w:rPr>
          <w:szCs w:val="22"/>
        </w:rPr>
        <w:t>Arnav Mehta</w:t>
      </w:r>
      <w:r w:rsidR="00371689" w:rsidRPr="00D45A96">
        <w:rPr>
          <w:szCs w:val="22"/>
          <w:vertAlign w:val="superscript"/>
        </w:rPr>
        <w:t>2</w:t>
      </w:r>
      <w:r w:rsidR="00371689">
        <w:rPr>
          <w:szCs w:val="22"/>
        </w:rPr>
        <w:t>, 3</w:t>
      </w:r>
      <w:r w:rsidR="00371689" w:rsidRPr="00371689">
        <w:rPr>
          <w:szCs w:val="22"/>
          <w:vertAlign w:val="superscript"/>
        </w:rPr>
        <w:t>rd</w:t>
      </w:r>
      <w:r w:rsidR="00371689">
        <w:rPr>
          <w:szCs w:val="22"/>
        </w:rPr>
        <w:t xml:space="preserve"> </w:t>
      </w:r>
      <w:r>
        <w:rPr>
          <w:szCs w:val="22"/>
        </w:rPr>
        <w:t>Mohil Ahuja</w:t>
      </w:r>
      <w:r w:rsidR="00371689" w:rsidRPr="00D45A96">
        <w:rPr>
          <w:szCs w:val="22"/>
          <w:vertAlign w:val="superscript"/>
        </w:rPr>
        <w:t>3</w:t>
      </w:r>
      <w:r>
        <w:rPr>
          <w:szCs w:val="22"/>
        </w:rPr>
        <w:t xml:space="preserve">, </w:t>
      </w:r>
      <w:r>
        <w:rPr>
          <w:szCs w:val="22"/>
        </w:rPr>
        <w:t>4</w:t>
      </w:r>
      <w:r>
        <w:rPr>
          <w:szCs w:val="22"/>
          <w:vertAlign w:val="superscript"/>
        </w:rPr>
        <w:t>th</w:t>
      </w:r>
      <w:r>
        <w:rPr>
          <w:szCs w:val="22"/>
        </w:rPr>
        <w:t xml:space="preserve"> </w:t>
      </w:r>
      <w:r>
        <w:rPr>
          <w:szCs w:val="22"/>
        </w:rPr>
        <w:t>Vaibhav</w:t>
      </w:r>
      <w:r>
        <w:rPr>
          <w:szCs w:val="22"/>
        </w:rPr>
        <w:t xml:space="preserve"> </w:t>
      </w:r>
      <w:r>
        <w:rPr>
          <w:szCs w:val="22"/>
        </w:rPr>
        <w:t>Dabas</w:t>
      </w:r>
      <w:r>
        <w:rPr>
          <w:szCs w:val="22"/>
          <w:vertAlign w:val="superscript"/>
        </w:rPr>
        <w:t>4</w:t>
      </w:r>
    </w:p>
    <w:p w14:paraId="623CE6B5" w14:textId="5FFE9804" w:rsidR="00371689" w:rsidRDefault="00371689" w:rsidP="00371689">
      <w:pPr>
        <w:pStyle w:val="IEEEAuthorAffiliation"/>
        <w:rPr>
          <w:i w:val="0"/>
          <w:szCs w:val="20"/>
        </w:rPr>
      </w:pPr>
      <w:r w:rsidRPr="00EF51A2">
        <w:rPr>
          <w:i w:val="0"/>
          <w:sz w:val="22"/>
          <w:szCs w:val="22"/>
        </w:rPr>
        <w:t>¹</w:t>
      </w:r>
      <w:r w:rsidR="00A33AAC">
        <w:rPr>
          <w:i w:val="0"/>
          <w:szCs w:val="20"/>
        </w:rPr>
        <w:t>CSAI &amp; Plaksha University</w:t>
      </w:r>
      <w:r>
        <w:rPr>
          <w:i w:val="0"/>
          <w:szCs w:val="20"/>
        </w:rPr>
        <w:t xml:space="preserve">, </w:t>
      </w:r>
      <w:r w:rsidR="00A33AAC">
        <w:rPr>
          <w:i w:val="0"/>
          <w:szCs w:val="20"/>
        </w:rPr>
        <w:t>India</w:t>
      </w:r>
    </w:p>
    <w:p w14:paraId="556BA08B" w14:textId="0385FCC9" w:rsidR="00371689" w:rsidRPr="00371689" w:rsidRDefault="00371689" w:rsidP="00371689">
      <w:pPr>
        <w:jc w:val="center"/>
        <w:rPr>
          <w:sz w:val="20"/>
          <w:szCs w:val="20"/>
          <w:lang w:val="en-GB" w:eastAsia="en-GB"/>
        </w:rPr>
      </w:pPr>
      <w:r w:rsidRPr="00874271">
        <w:rPr>
          <w:sz w:val="22"/>
          <w:szCs w:val="22"/>
          <w:lang w:val="en-GB" w:eastAsia="en-GB"/>
        </w:rPr>
        <w:t>²</w:t>
      </w:r>
      <w:r w:rsidR="00A33AAC">
        <w:rPr>
          <w:sz w:val="20"/>
          <w:szCs w:val="20"/>
          <w:lang w:eastAsia="en-GB"/>
        </w:rPr>
        <w:t>CSAI</w:t>
      </w:r>
      <w:r w:rsidRPr="00371689">
        <w:rPr>
          <w:sz w:val="20"/>
          <w:szCs w:val="20"/>
          <w:lang w:eastAsia="en-GB"/>
        </w:rPr>
        <w:t xml:space="preserve"> &amp; </w:t>
      </w:r>
      <w:r w:rsidR="00A33AAC">
        <w:rPr>
          <w:sz w:val="20"/>
          <w:szCs w:val="20"/>
          <w:lang w:eastAsia="en-GB"/>
        </w:rPr>
        <w:t>Plaksha University</w:t>
      </w:r>
      <w:r w:rsidRPr="00371689">
        <w:rPr>
          <w:sz w:val="20"/>
          <w:szCs w:val="20"/>
          <w:lang w:eastAsia="en-GB"/>
        </w:rPr>
        <w:t xml:space="preserve">, </w:t>
      </w:r>
      <w:r w:rsidR="00A33AAC">
        <w:rPr>
          <w:sz w:val="20"/>
          <w:szCs w:val="20"/>
          <w:lang w:eastAsia="en-GB"/>
        </w:rPr>
        <w:t>India</w:t>
      </w:r>
    </w:p>
    <w:p w14:paraId="1CFAD8D4" w14:textId="2B8F1EEB" w:rsidR="00371689" w:rsidRDefault="00371689" w:rsidP="00371689">
      <w:pPr>
        <w:jc w:val="center"/>
        <w:rPr>
          <w:sz w:val="20"/>
          <w:szCs w:val="20"/>
        </w:rPr>
      </w:pPr>
      <w:r w:rsidRPr="006E009E">
        <w:rPr>
          <w:sz w:val="22"/>
          <w:szCs w:val="22"/>
          <w:lang w:val="en-GB" w:eastAsia="en-GB"/>
        </w:rPr>
        <w:t>³</w:t>
      </w:r>
      <w:r w:rsidR="00A33AAC">
        <w:rPr>
          <w:sz w:val="20"/>
          <w:szCs w:val="20"/>
        </w:rPr>
        <w:t>CSAI</w:t>
      </w:r>
      <w:r w:rsidRPr="00371689">
        <w:rPr>
          <w:sz w:val="20"/>
          <w:szCs w:val="20"/>
        </w:rPr>
        <w:t xml:space="preserve"> &amp; </w:t>
      </w:r>
      <w:r w:rsidR="00A33AAC">
        <w:rPr>
          <w:sz w:val="20"/>
          <w:szCs w:val="20"/>
        </w:rPr>
        <w:t>Plaksha University</w:t>
      </w:r>
      <w:r w:rsidRPr="00371689">
        <w:rPr>
          <w:sz w:val="20"/>
          <w:szCs w:val="20"/>
        </w:rPr>
        <w:t xml:space="preserve">, </w:t>
      </w:r>
      <w:r w:rsidR="00A33AAC">
        <w:rPr>
          <w:sz w:val="20"/>
          <w:szCs w:val="20"/>
        </w:rPr>
        <w:t>India</w:t>
      </w:r>
    </w:p>
    <w:p w14:paraId="2F83B5D6" w14:textId="42A83CA4" w:rsidR="00A33AAC" w:rsidRPr="00EA2D46" w:rsidRDefault="00A33AAC" w:rsidP="00A33AAC">
      <w:pPr>
        <w:jc w:val="center"/>
        <w:rPr>
          <w:sz w:val="20"/>
          <w:szCs w:val="20"/>
          <w:lang w:val="en-GB" w:eastAsia="en-GB"/>
        </w:rPr>
      </w:pPr>
      <w:r w:rsidRPr="00A33AAC">
        <w:rPr>
          <w:sz w:val="22"/>
          <w:szCs w:val="22"/>
          <w:vertAlign w:val="superscript"/>
          <w:lang w:val="en-GB" w:eastAsia="en-GB"/>
        </w:rPr>
        <w:t>4</w:t>
      </w:r>
      <w:r>
        <w:rPr>
          <w:sz w:val="20"/>
          <w:szCs w:val="20"/>
        </w:rPr>
        <w:t>CSAI</w:t>
      </w:r>
      <w:r w:rsidRPr="00371689">
        <w:rPr>
          <w:sz w:val="20"/>
          <w:szCs w:val="20"/>
        </w:rPr>
        <w:t xml:space="preserve"> &amp; </w:t>
      </w:r>
      <w:r>
        <w:rPr>
          <w:sz w:val="20"/>
          <w:szCs w:val="20"/>
        </w:rPr>
        <w:t>Plaksha University</w:t>
      </w:r>
      <w:r w:rsidRPr="00371689">
        <w:rPr>
          <w:sz w:val="20"/>
          <w:szCs w:val="20"/>
        </w:rPr>
        <w:t xml:space="preserve">, </w:t>
      </w:r>
      <w:r>
        <w:rPr>
          <w:sz w:val="20"/>
          <w:szCs w:val="20"/>
        </w:rPr>
        <w:t>India</w:t>
      </w:r>
    </w:p>
    <w:p w14:paraId="5E5CF8CF" w14:textId="07E30C08" w:rsidR="00371689" w:rsidRPr="00A33AAC" w:rsidRDefault="00A33AAC" w:rsidP="00A33AAC">
      <w:pPr>
        <w:jc w:val="center"/>
        <w:rPr>
          <w:sz w:val="20"/>
          <w:szCs w:val="20"/>
        </w:rPr>
      </w:pPr>
      <w:hyperlink r:id="rId7" w:history="1">
        <w:r w:rsidRPr="001F6B71">
          <w:rPr>
            <w:rStyle w:val="Hyperlink"/>
            <w:sz w:val="20"/>
            <w:szCs w:val="20"/>
            <w:vertAlign w:val="superscript"/>
          </w:rPr>
          <w:t>1</w:t>
        </w:r>
        <w:r w:rsidRPr="001F6B71">
          <w:rPr>
            <w:rStyle w:val="Hyperlink"/>
            <w:sz w:val="20"/>
            <w:szCs w:val="20"/>
          </w:rPr>
          <w:t>ananya.singla.ug23@plaksha.edu.in</w:t>
        </w:r>
      </w:hyperlink>
      <w:r w:rsidR="00371689" w:rsidRPr="0087717B">
        <w:rPr>
          <w:rFonts w:hint="eastAsia"/>
          <w:sz w:val="20"/>
          <w:szCs w:val="20"/>
        </w:rPr>
        <w:t xml:space="preserve">; </w:t>
      </w:r>
      <w:hyperlink r:id="rId8" w:history="1">
        <w:r w:rsidRPr="001F6B71">
          <w:rPr>
            <w:rStyle w:val="Hyperlink"/>
            <w:sz w:val="20"/>
            <w:szCs w:val="20"/>
            <w:vertAlign w:val="superscript"/>
          </w:rPr>
          <w:t>2</w:t>
        </w:r>
        <w:r w:rsidRPr="001F6B71">
          <w:rPr>
            <w:rStyle w:val="Hyperlink"/>
            <w:sz w:val="20"/>
            <w:szCs w:val="20"/>
          </w:rPr>
          <w:t>arnav.mehta.ug23@plaksha.edu.in</w:t>
        </w:r>
      </w:hyperlink>
      <w:r w:rsidR="00371689" w:rsidRPr="0087717B">
        <w:rPr>
          <w:rFonts w:hint="eastAsia"/>
          <w:sz w:val="20"/>
          <w:szCs w:val="20"/>
        </w:rPr>
        <w:t xml:space="preserve">; </w:t>
      </w:r>
      <w:hyperlink r:id="rId9" w:history="1">
        <w:r w:rsidRPr="001F6B71">
          <w:rPr>
            <w:rStyle w:val="Hyperlink"/>
            <w:sz w:val="20"/>
            <w:szCs w:val="20"/>
            <w:vertAlign w:val="superscript"/>
          </w:rPr>
          <w:t>3</w:t>
        </w:r>
        <w:r w:rsidRPr="001F6B71">
          <w:rPr>
            <w:rStyle w:val="Hyperlink"/>
            <w:sz w:val="20"/>
            <w:szCs w:val="20"/>
          </w:rPr>
          <w:t>mohil.ahuja.ug23@plaksha.edu.in</w:t>
        </w:r>
      </w:hyperlink>
      <w:r w:rsidRPr="0087717B">
        <w:rPr>
          <w:rFonts w:hint="eastAsia"/>
          <w:sz w:val="20"/>
          <w:szCs w:val="20"/>
        </w:rPr>
        <w:t xml:space="preserve">; </w:t>
      </w:r>
      <w:hyperlink r:id="rId10" w:history="1">
        <w:r w:rsidRPr="001F6B71">
          <w:rPr>
            <w:rStyle w:val="Hyperlink"/>
            <w:sz w:val="20"/>
            <w:szCs w:val="20"/>
            <w:vertAlign w:val="superscript"/>
          </w:rPr>
          <w:t>4</w:t>
        </w:r>
        <w:r w:rsidRPr="001F6B71">
          <w:rPr>
            <w:rStyle w:val="Hyperlink"/>
            <w:sz w:val="20"/>
            <w:szCs w:val="20"/>
          </w:rPr>
          <w:t>vaibhav</w:t>
        </w:r>
        <w:r w:rsidRPr="001F6B71">
          <w:rPr>
            <w:rStyle w:val="Hyperlink"/>
            <w:sz w:val="20"/>
            <w:szCs w:val="20"/>
          </w:rPr>
          <w:t>.</w:t>
        </w:r>
        <w:r w:rsidRPr="001F6B71">
          <w:rPr>
            <w:rStyle w:val="Hyperlink"/>
            <w:sz w:val="20"/>
            <w:szCs w:val="20"/>
          </w:rPr>
          <w:t>dabas.</w:t>
        </w:r>
        <w:r w:rsidRPr="001F6B71">
          <w:rPr>
            <w:rStyle w:val="Hyperlink"/>
            <w:sz w:val="20"/>
            <w:szCs w:val="20"/>
          </w:rPr>
          <w:t>ug23@plaksha.edu.in</w:t>
        </w:r>
      </w:hyperlink>
    </w:p>
    <w:p w14:paraId="2FC1F517" w14:textId="77777777" w:rsidR="00371689" w:rsidRPr="00AC1973" w:rsidRDefault="00371689" w:rsidP="00371689">
      <w:pPr>
        <w:rPr>
          <w:sz w:val="20"/>
          <w:szCs w:val="20"/>
          <w:lang w:val="en-GB" w:eastAsia="en-GB"/>
        </w:rPr>
      </w:pPr>
    </w:p>
    <w:p w14:paraId="3EE44FAB" w14:textId="77777777" w:rsidR="00AC1973" w:rsidRPr="00881EB2" w:rsidRDefault="00A33AAC" w:rsidP="00AC1973">
      <w:pPr>
        <w:rPr>
          <w:b/>
          <w:i/>
          <w:sz w:val="20"/>
          <w:szCs w:val="20"/>
          <w:lang w:val="en-GB" w:eastAsia="en-GB"/>
        </w:rPr>
      </w:pPr>
      <w:r w:rsidRPr="00881EB2">
        <w:rPr>
          <w:b/>
          <w:i/>
          <w:noProof/>
          <w:sz w:val="20"/>
          <w:szCs w:val="20"/>
          <w:lang w:val="en-US" w:eastAsia="en-US"/>
        </w:rPr>
        <mc:AlternateContent>
          <mc:Choice Requires="wps">
            <w:drawing>
              <wp:anchor distT="0" distB="0" distL="114300" distR="114300" simplePos="0" relativeHeight="251658240" behindDoc="0" locked="0" layoutInCell="1" allowOverlap="1" wp14:anchorId="15ED0405" wp14:editId="40BFF30E">
                <wp:simplePos x="0" y="0"/>
                <wp:positionH relativeFrom="column">
                  <wp:posOffset>-19685</wp:posOffset>
                </wp:positionH>
                <wp:positionV relativeFrom="paragraph">
                  <wp:posOffset>69215</wp:posOffset>
                </wp:positionV>
                <wp:extent cx="5829935" cy="0"/>
                <wp:effectExtent l="0" t="0" r="0" b="0"/>
                <wp:wrapNone/>
                <wp:docPr id="98231426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2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B39B77" id="_x0000_t32" coordsize="21600,21600" o:spt="32" o:oned="t" path="m,l21600,21600e" filled="f">
                <v:path arrowok="t" fillok="f" o:connecttype="none"/>
                <o:lock v:ext="edit" shapetype="t"/>
              </v:shapetype>
              <v:shape id="AutoShape 4" o:spid="_x0000_s1026" type="#_x0000_t32" style="position:absolute;margin-left:-1.55pt;margin-top:5.45pt;width:459.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">
                <o:lock v:ext="edit" shapetype="f"/>
              </v:shape>
            </w:pict>
          </mc:Fallback>
        </mc:AlternateContent>
      </w:r>
    </w:p>
    <w:p w14:paraId="57D12491" w14:textId="77777777" w:rsidR="00D41274" w:rsidRPr="00881EB2" w:rsidRDefault="00D41274" w:rsidP="00883903">
      <w:pPr>
        <w:ind w:right="-811"/>
        <w:rPr>
          <w:b/>
          <w:i/>
          <w:sz w:val="20"/>
          <w:szCs w:val="20"/>
        </w:rPr>
        <w:sectPr w:rsidR="00D41274" w:rsidRPr="00881EB2" w:rsidSect="00434056">
          <w:pgSz w:w="11906" w:h="16838"/>
          <w:pgMar w:top="1440" w:right="1440" w:bottom="1440" w:left="1440" w:header="709" w:footer="709" w:gutter="0"/>
          <w:cols w:space="708"/>
          <w:docGrid w:linePitch="360"/>
        </w:sectPr>
      </w:pPr>
    </w:p>
    <w:p w14:paraId="0D74B987" w14:textId="77777777" w:rsidR="00D41274" w:rsidRPr="00881EB2" w:rsidRDefault="00D41274" w:rsidP="00D41274">
      <w:pPr>
        <w:pStyle w:val="IEEEAbtract"/>
        <w:rPr>
          <w:i/>
          <w:sz w:val="20"/>
          <w:szCs w:val="20"/>
        </w:rPr>
      </w:pPr>
      <w:r/>
      <w:r>
        <w:rPr>
          <w:b w:val="0"/>
        </w:rPr>
        <w:t>Abstract—We present a comparative study of reinforcement-learning policies on an 8x8 Candy Crush variant: a stochastic match-three grid puzzle with 112 swap actions, cascading rewards, and four classes of special candies. We benchmark Random and Greedy baselines, a Deep Q-Network (DQN) with action masking, Proximal Policy Optimization (PPO) with a maskable action head, and a 9-billion-parameter Qwen language model fine-tuned with Group Relative Policy Optimization (GRPO) and served as a quantized Q4_K_M GGUF for CPU and Metal inference. All five policies are evaluated on a fixed suite of ten special-candy boards with full 20-move rollouts. The GRPO LLM policy achieves a 99.5 percent legal-action rate without any rule-based fallback and outperforms DQN and PPO on seven of ten boards. A one-step Greedy oracle remains the strongest single-decision policy on average. We release the entire pipeline, including a one-command Ubuntu 22.04 reproduction script.</w:t>
      </w:r>
    </w:p>
    <w:p w14:paraId="51FE2444" w14:textId="77777777" w:rsidR="00A32BFA" w:rsidRPr="00881EB2" w:rsidRDefault="00A32BFA" w:rsidP="00A32BFA">
      <w:pPr>
        <w:rPr>
          <w:b/>
          <w:i/>
          <w:sz w:val="20"/>
          <w:szCs w:val="20"/>
          <w:lang w:val="en-GB" w:eastAsia="en-GB"/>
        </w:rPr>
      </w:pPr>
    </w:p>
    <w:p>
      <w:pPr>
        <w:pStyle w:val="IEEEHeading1"/>
      </w:pPr>
      <w:r>
        <w:t>Introduction and Problem Statement</w:t>
      </w:r>
    </w:p>
    <w:p>
      <w:pPr>
        <w:pStyle w:val="IEEEParagraph"/>
      </w:pPr>
      <w:r>
        <w:t>Match-three puzzle games such as Candy Crush Saga combine simple local rules with a high-dimensional combinatorial action space and stochastic re-fill dynamics that make long-horizon planning difficult. A human player on an 8x8 board chooses a single swap between two adjacent cells, but the resulting reward depends on match clearings, gravity, refills, and recursive cascades that can be triggered by special candies. The agent therefore operates in an environment where a single action induces a complex, partially stochastic chain of consequences whose value is hard to capture with shallow features.</w:t>
      </w:r>
    </w:p>
    <w:p>
      <w:pPr>
        <w:pStyle w:val="IEEEParagraph"/>
      </w:pPr>
      <w:r>
        <w:t>We study this domain as a reinforcement-learning testbed. Our concrete questions are (1) how strong is a one-step Greedy oracle that has direct access to a deterministic forward simulator, (2) whether off-the-shelf deep RL agents (DQN, PPO) can compete with or beat that oracle on full episodes, and (3) whether a large language model fine-tuned with Group Relative Policy Optimization (GRPO) can be turned into a competitive, rule-aware policy that is auditable through natural-language reasoning. The third question is motivated by the observation that a textual representation of the board is information-preserving, and that an LLM can be taught to emit a single swap command that the environment then validates and rewards.</w:t>
      </w:r>
    </w:p>
    <w:p>
      <w:pPr>
        <w:pStyle w:val="IEEEParagraph"/>
      </w:pPr>
      <w:r>
        <w:t>We released the full system as a single bash pipeline that trains the deep-RL baselines from scratch, evaluates every policy on a shared set of seeds, and integrates a 9-billion-parameter Qwen GRPO model via a 5.3 GB merged GGUF for fast non-CUDA inference. Our evaluation protocol fixes ten special-candy boards (seeds 20000-20009 with deterministic special-candy injection at seed+50000) and plays every policy through a complete 20-move rollout, so the compared metric is total episode reward rather than a one-step decision score.</w:t>
      </w:r>
    </w:p>
    <w:p>
      <w:pPr>
        <w:pStyle w:val="IEEEHeading1"/>
      </w:pPr>
      <w:r>
        <w:t>RL Formulation</w:t>
      </w:r>
    </w:p>
    <w:p>
      <w:pPr>
        <w:pStyle w:val="IEEEHeading2"/>
      </w:pPr>
      <w:r>
        <w:t>A. Environment</w:t>
      </w:r>
    </w:p>
    <w:p>
      <w:pPr>
        <w:pStyle w:val="IEEEParagraph"/>
      </w:pPr>
      <w:r>
        <w:t>The environment is implemented as a Gymnasium-compatible CandyEnv on an 8x8 grid with six normal candy colors and four special-candy types: horizontal striped, vertical striped, wrapped, and color-bomb. The board state is therefore a pair of 8x8 integer arrays, one storing the candy color and one storing the special-candy type, plus a scalar count of remaining moves.</w:t>
      </w:r>
    </w:p>
    <w:p>
      <w:pPr>
        <w:pStyle w:val="IEEEHeading2"/>
      </w:pPr>
      <w:r>
        <w:t>B. State Representation</w:t>
      </w:r>
    </w:p>
    <w:p>
      <w:pPr>
        <w:pStyle w:val="IEEEParagraph"/>
      </w:pPr>
      <w:r>
        <w:t>For the deep-RL agents the observation is a 65-dimensional float32 vector: a flattened 8x8 grid of normalized color codes plus the normalized number of moves remaining. The action space is a Discrete(112) over all adjacent swaps; the env exposes an is_valid_action(a) predicate and an action_masks() helper that DQN and Maskable PPO use to restrict action selection. For the LLM agent we serialize the same state to a text prompt that lists the board grid, the special-candy markers, the remaining moves, and the legal swaps with their immediate simulated reward.</w:t>
      </w:r>
    </w:p>
    <w:p>
      <w:pPr>
        <w:pStyle w:val="IEEEHeading2"/>
      </w:pPr>
      <w:r>
        <w:t>C. Action Space</w:t>
      </w:r>
    </w:p>
    <w:p>
      <w:pPr>
        <w:pStyle w:val="IEEEParagraph"/>
      </w:pPr>
      <w:r>
        <w:t>There are 7x8 = 56 horizontal swaps and 8x7 = 56 vertical swaps for a total of 112 actions. Each action a is decoded into a pair of grid positions ((r1,c1),(r2,c2)). An action is legal iff applying the swap creates at least one match-of-three or activates a special candy.</w:t>
      </w:r>
    </w:p>
    <w:p>
      <w:pPr>
        <w:pStyle w:val="IEEEHeading2"/>
      </w:pPr>
      <w:r>
        <w:t>D. Reward Model</w:t>
      </w:r>
    </w:p>
    <w:p>
      <w:pPr>
        <w:pStyle w:val="IEEEParagraph"/>
      </w:pPr>
      <w:r>
        <w:t>After a legal swap, the environment runs a deterministic cascade resolver. For every cleared group of n candies the step receives n^2 + 10 points (n^2 + special_bonus when a special candy is consumed, with bonuses 20 / 20 / 40 / 60 for the four special types). Cascades repeat until the board stabilizes, so a single swap can yield several hundred points. An illegal swap is penalized with reward -5 and consumes a move. The episode terminates after max_moves=20 swaps. This reward scaling is dense and approximately quadratic in the size of the cleared group, which heavily rewards setup moves that trigger long chains.</w:t>
      </w:r>
    </w:p>
    <w:p>
      <w:pPr>
        <w:pStyle w:val="IEEEHeading2"/>
      </w:pPr>
      <w:r>
        <w:t>E. MDP Structure</w:t>
      </w:r>
    </w:p>
    <w:p>
      <w:pPr>
        <w:pStyle w:val="IEEEParagraph"/>
      </w:pPr>
      <w:r>
        <w:t>The decision process is a finite-horizon Markov decision process with discrete actions, a deterministic match resolver, and a stochastic refill step that samples new candies uniformly from the six normal colors. Because the refill introduces fresh randomness each step, the same action from the same observed state can yield different next states. The objective is the undiscounted total return over the 20-move horizon, although DQN and PPO are trained with gamma=0.9 to smooth value estimates.</w:t>
      </w:r>
    </w:p>
    <w:p>
      <w:pPr>
        <w:pStyle w:val="IEEEParagraph"/>
      </w:pPr>
      <w:r>
        <w:t>Because legal moves are computed exactly by the simulator, every learning algorithm in this study uses action masking to block the trivial -5 self-penalty path; the LLM policy in evaluation has masking disabled so that any parse failure or illegal swap is counted honestly against it.</w:t>
      </w:r>
    </w:p>
    <w:p>
      <w:pPr>
        <w:pStyle w:val="IEEEHeading1"/>
      </w:pPr>
      <w:r>
        <w:t>Methodology</w:t>
      </w:r>
    </w:p>
    <w:p>
      <w:pPr>
        <w:pStyle w:val="IEEEHeading2"/>
      </w:pPr>
      <w:r>
        <w:t>A. Greedy and Random Baselines</w:t>
      </w:r>
    </w:p>
    <w:p>
      <w:pPr>
        <w:pStyle w:val="IEEEParagraph"/>
      </w:pPr>
      <w:r>
        <w:t>Random uniformly samples a legal swap each step. Greedy is a one-step oracle: it queries env.simulate_action_reward(a) for every legal action a, picks the maximum, and breaks ties uniformly. Greedy has direct access to the deterministic match resolver and is therefore an extremely strong single-decision policy in this environment.</w:t>
      </w:r>
    </w:p>
    <w:p>
      <w:pPr>
        <w:pStyle w:val="IEEEHeading2"/>
      </w:pPr>
      <w:r>
        <w:t>B. Deep Q-Network (DQN)</w:t>
      </w:r>
    </w:p>
    <w:p>
      <w:pPr>
        <w:pStyle w:val="IEEEParagraph"/>
      </w:pPr>
      <w:r>
        <w:t>We train a DQN with a 256-wide, 2-layer MLP Q-head, replay buffer size 50000, target-network updates every 500 steps, epsilon-greedy exploration with a 15000-step linear decay, Huber loss, and Adam (lr=1e-3). At action selection we mask Q-values of illegal actions to -infinity. Training is logged to TensorBoard along with mean episode reward, invalid-action rate, and a moving-average return over a 20-episode window.</w:t>
      </w:r>
    </w:p>
    <w:p>
      <w:pPr>
        <w:pStyle w:val="IEEEHeading2"/>
      </w:pPr>
      <w:r>
        <w:t>C. Proximal Policy Optimization (PPO)</w:t>
      </w:r>
    </w:p>
    <w:p>
      <w:pPr>
        <w:pStyle w:val="IEEEParagraph"/>
      </w:pPr>
      <w:r>
        <w:t>PPO uses Stable-Baselines3 with sb3-contrib's MaskablePPO when available, otherwise vanilla PPO with manual masking applied before action sampling. The default actor-critic MLP is two 256-wide hidden layers; gamma is 0.9 and rollouts are 2048 steps. Training time is wall-clock-capped to roughly five minutes inside the bash pipeline; longer runs are exposed via the PPO_TIMESTEPS environment variable.</w:t>
      </w:r>
    </w:p>
    <w:p>
      <w:pPr>
        <w:pStyle w:val="IEEEHeading2"/>
      </w:pPr>
      <w:r>
        <w:t>D. GRPO Language-Model Policy</w:t>
      </w:r>
    </w:p>
    <w:p>
      <w:pPr>
        <w:pStyle w:val="IEEEParagraph"/>
      </w:pPr>
      <w:r>
        <w:t>The LLM policy is a Qwen-3.5 9B base model fine-tuned with Group Relative Policy Optimization (GRPO) using a LoRA adapter of rank 64 on the attention projections. The training reward is the env's reward for the swap parsed out of the model's generation, so the policy is trained directly against the ground-truth game simulator without imitation data. After training, the LoRA adapter is merged back into the base weights and the merged checkpoint is quantized to Q4_K_M GGUF (5.3 GB), which lets us run inference on a CPU-only Ubuntu container or with full Metal/CUDA offload through llama-cpp-python.</w:t>
      </w:r>
    </w:p>
    <w:p>
      <w:pPr>
        <w:pStyle w:val="IEEEParagraph"/>
      </w:pPr>
      <w:r>
        <w:t>At inference time we serialize the board state to a text prompt that includes the legal-action list with simulated rewards, then ask the model for a single line of the form 'swap (r,c) (r,c)' followed by an optional one-line reason. We run greedy decoding with temperature 0 and a 24-token cap. A regex parser extracts the swap; if either the parse or the is_valid_action check fails, the agent records a parse failure or model-invalid event and (in eval mode) emits a deliberately illegal action so the env applies the -5 penalty. This 'no_fallback' contract makes the LLM's measured validity a real property of the model rather than an artifact of a rule-based safety net.</w:t>
      </w:r>
    </w:p>
    <w:p>
      <w:pPr>
        <w:pStyle w:val="IEEEHeading2"/>
      </w:pPr>
      <w:r>
        <w:t>E. End-to-End Pipeline</w:t>
      </w:r>
    </w:p>
    <w:p>
      <w:pPr>
        <w:pStyle w:val="IEEEParagraph"/>
      </w:pPr>
      <w:r>
        <w:t>The deliverable is a single bash script, run.sh, that executes a seven-stage pipeline in a fresh Ubuntu 22.04 container with no manual configuration: (1) apt-install build tools, (2) create a venv and install the baseline plus GRPO-inference dependencies, (3) train DQN, (4) train PPO, (5) play Random/Greedy/DQN/PPO on shared seeds and print a comparison table, (6) download the merged Q4_K_M GGUF from Hugging Face and play the GRPO model on the same seeds, and (7) install the heavy GRPO-training dependencies and run up to one hour of LoRA GRPO training. The pipeline only uses relative paths and writes all artifacts under ./logs and ./models so it can be cloned and run in any working directory.</w:t>
      </w:r>
    </w:p>
    <w:p>
      <w:pPr>
        <w:pStyle w:val="IEEEHeading1"/>
      </w:pPr>
      <w:r>
        <w:t>Contributions</w:t>
      </w:r>
    </w:p>
    <w:p>
      <w:pPr>
        <w:pStyle w:val="IEEEParagraph"/>
      </w:pPr>
      <w:r>
        <w:t>All four authors contributed equally and the work was split approximately as follows.</w:t>
      </w:r>
    </w:p>
    <w:tbl>
      <w:tblPr>
        <w:tblStyle w:val="TableGrid"/>
        <w:tblW w:type="auto" w:w="0"/>
        <w:tblLook w:firstColumn="1" w:firstRow="1" w:lastColumn="0" w:lastRow="0" w:noHBand="0" w:noVBand="1" w:val="04A0"/>
      </w:tblPr>
      <w:tblGrid>
        <w:gridCol w:w="4513"/>
        <w:gridCol w:w="4513"/>
      </w:tblGrid>
      <w:tr>
        <w:tc>
          <w:tcPr>
            <w:tcW w:type="dxa" w:w="4513"/>
          </w:tcPr>
          <w:p>
            <w:pPr>
              <w:pStyle w:val="IEEETableHeaderCentered"/>
            </w:pPr>
            <w:r/>
            <w:r>
              <w:rPr>
                <w:b/>
              </w:rPr>
              <w:t>Author</w:t>
            </w:r>
          </w:p>
        </w:tc>
        <w:tc>
          <w:tcPr>
            <w:tcW w:type="dxa" w:w="4513"/>
          </w:tcPr>
          <w:p>
            <w:pPr>
              <w:pStyle w:val="IEEETableHeaderCentered"/>
            </w:pPr>
            <w:r/>
            <w:r>
              <w:rPr>
                <w:b/>
              </w:rPr>
              <w:t>Contribution</w:t>
            </w:r>
          </w:p>
        </w:tc>
      </w:tr>
      <w:tr>
        <w:tc>
          <w:tcPr>
            <w:tcW w:type="dxa" w:w="4513"/>
          </w:tcPr>
          <w:p>
            <w:pPr>
              <w:pStyle w:val="IEEETableCell"/>
            </w:pPr>
            <w:r/>
            <w:r>
              <w:t>Ananya Singla</w:t>
            </w:r>
          </w:p>
        </w:tc>
        <w:tc>
          <w:tcPr>
            <w:tcW w:type="dxa" w:w="4513"/>
          </w:tcPr>
          <w:p>
            <w:pPr>
              <w:pStyle w:val="IEEETableCell"/>
            </w:pPr>
            <w:r/>
            <w:r>
              <w:t>Designed and implemented the CandyEnv environment (board generation, special-candy rules, cascade resolver, action encoding). Authored the random and greedy baselines and the Pygame visual viewer used during development.</w:t>
            </w:r>
          </w:p>
        </w:tc>
      </w:tr>
      <w:tr>
        <w:tc>
          <w:tcPr>
            <w:tcW w:type="dxa" w:w="4513"/>
          </w:tcPr>
          <w:p>
            <w:pPr>
              <w:pStyle w:val="IEEETableCell"/>
            </w:pPr>
            <w:r/>
            <w:r>
              <w:t>Arnav Mehta</w:t>
            </w:r>
          </w:p>
        </w:tc>
        <w:tc>
          <w:tcPr>
            <w:tcW w:type="dxa" w:w="4513"/>
          </w:tcPr>
          <w:p>
            <w:pPr>
              <w:pStyle w:val="IEEETableCell"/>
            </w:pPr>
            <w:r/>
            <w:r>
              <w:t>Proposed and led the novel idea of training a 9B language model directly against the game simulator with GRPO. Implemented the LoRA fine-tuning of Qwen 3.5-9B, the prompt and reward design for textual swap commands, the Q4_K_M GGUF merge, the llama-cpp inference agent (LLMGRPOGGUFAgent), and the fixed-board evaluation harness.</w:t>
            </w:r>
          </w:p>
        </w:tc>
      </w:tr>
      <w:tr>
        <w:tc>
          <w:tcPr>
            <w:tcW w:type="dxa" w:w="4513"/>
          </w:tcPr>
          <w:p>
            <w:pPr>
              <w:pStyle w:val="IEEETableCell"/>
            </w:pPr>
            <w:r/>
            <w:r>
              <w:t>Mohil Ahuja</w:t>
            </w:r>
          </w:p>
        </w:tc>
        <w:tc>
          <w:tcPr>
            <w:tcW w:type="dxa" w:w="4513"/>
          </w:tcPr>
          <w:p>
            <w:pPr>
              <w:pStyle w:val="IEEETableCell"/>
            </w:pPr>
            <w:r/>
            <w:r>
              <w:t>Built the textual board serialization, special-candy rule encoding, and prompt template that the LLM consumes. Implemented the parser and validity-check pipeline (parse-failure / model-invalid bookkeeping) and the no-fallback eval contract.</w:t>
            </w:r>
          </w:p>
        </w:tc>
      </w:tr>
      <w:tr>
        <w:tc>
          <w:tcPr>
            <w:tcW w:type="dxa" w:w="4513"/>
          </w:tcPr>
          <w:p>
            <w:pPr>
              <w:pStyle w:val="IEEETableCell"/>
            </w:pPr>
            <w:r/>
            <w:r>
              <w:t>Vaibhav Dabas</w:t>
            </w:r>
          </w:p>
        </w:tc>
        <w:tc>
          <w:tcPr>
            <w:tcW w:type="dxa" w:w="4513"/>
          </w:tcPr>
          <w:p>
            <w:pPr>
              <w:pStyle w:val="IEEETableCell"/>
            </w:pPr>
            <w:r/>
            <w:r>
              <w:t>Authored the DQN and PPO training scripts, the saved-model loader, and the seven-stage run.sh pipeline that automates the entire workflow on a fresh Ubuntu 22.04 container, including Docker validation.</w:t>
            </w:r>
          </w:p>
        </w:tc>
      </w:tr>
    </w:tbl>
    <w:p>
      <w:pPr>
        <w:pStyle w:val="IEEEHeading1"/>
      </w:pPr>
      <w:r>
        <w:t>Experimental Setup</w:t>
      </w:r>
    </w:p>
    <w:p>
      <w:pPr>
        <w:pStyle w:val="IEEEParagraph"/>
      </w:pPr>
      <w:r>
        <w:t>The fixed evaluation protocol uses ten boards generated by deterministic seeds 20000 through 20009, with special candies injected from seed+50000. Each rollout lasts 20 moves and every policy sees the same starting board. DQN, PPO, and the two analytical baselines run on CPU; the GRPO model is run via llama-cpp-python with all layers offloaded to Metal on Apple Silicon (and is similarly compatible with CUDA). All metrics are computed from the env's own reward signal: average and standard deviation of the total episode reward, minimum and maximum board reward, fraction of moves marked as invalid by the env, and (for GRPO only) the parse-invalid and model-invalid rates separated.</w:t>
      </w:r>
    </w:p>
    <w:p>
      <w:pPr>
        <w:pStyle w:val="IEEEHeading1"/>
      </w:pPr>
      <w:r>
        <w:t>Results</w:t>
      </w:r>
    </w:p>
    <w:p>
      <w:pPr>
        <w:pStyle w:val="IEEETableCaption"/>
      </w:pPr>
      <w:r>
        <w:t>Table I. Aggregate reward across 10 boards (full 20-move rollouts).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pPr>
              <w:pStyle w:val="IEEETableHeaderCentered"/>
            </w:pPr>
            <w:r/>
            <w:r>
              <w:rPr>
                <w:b/>
              </w:rPr>
              <w:t>Policy</w:t>
            </w:r>
          </w:p>
        </w:tc>
        <w:tc>
          <w:tcPr>
            <w:tcW w:type="dxa" w:w="1805"/>
          </w:tcPr>
          <w:p>
            <w:pPr>
              <w:pStyle w:val="IEEETableHeaderCentered"/>
            </w:pPr>
            <w:r/>
            <w:r>
              <w:rPr>
                <w:b/>
              </w:rPr>
              <w:t>Avg ± Std</w:t>
            </w:r>
          </w:p>
        </w:tc>
        <w:tc>
          <w:tcPr>
            <w:tcW w:type="dxa" w:w="1805"/>
          </w:tcPr>
          <w:p>
            <w:pPr>
              <w:pStyle w:val="IEEETableHeaderCentered"/>
            </w:pPr>
            <w:r/>
            <w:r>
              <w:rPr>
                <w:b/>
              </w:rPr>
              <w:t>Min</w:t>
            </w:r>
          </w:p>
        </w:tc>
        <w:tc>
          <w:tcPr>
            <w:tcW w:type="dxa" w:w="1805"/>
          </w:tcPr>
          <w:p>
            <w:pPr>
              <w:pStyle w:val="IEEETableHeaderCentered"/>
            </w:pPr>
            <w:r/>
            <w:r>
              <w:rPr>
                <w:b/>
              </w:rPr>
              <w:t>Max</w:t>
            </w:r>
          </w:p>
        </w:tc>
        <w:tc>
          <w:tcPr>
            <w:tcW w:type="dxa" w:w="1805"/>
          </w:tcPr>
          <w:p>
            <w:pPr>
              <w:pStyle w:val="IEEETableHeaderCentered"/>
            </w:pPr>
            <w:r/>
            <w:r>
              <w:rPr>
                <w:b/>
              </w:rPr>
              <w:t>Invalid</w:t>
            </w:r>
          </w:p>
        </w:tc>
      </w:tr>
      <w:tr>
        <w:tc>
          <w:tcPr>
            <w:tcW w:type="dxa" w:w="1805"/>
          </w:tcPr>
          <w:p>
            <w:pPr>
              <w:pStyle w:val="IEEETableCell"/>
            </w:pPr>
            <w:r/>
            <w:r>
              <w:t>Random</w:t>
            </w:r>
          </w:p>
        </w:tc>
        <w:tc>
          <w:tcPr>
            <w:tcW w:type="dxa" w:w="1805"/>
          </w:tcPr>
          <w:p>
            <w:pPr>
              <w:pStyle w:val="IEEETableCell"/>
            </w:pPr>
            <w:r/>
            <w:r>
              <w:t>1072.9 ± 218.1</w:t>
            </w:r>
          </w:p>
        </w:tc>
        <w:tc>
          <w:tcPr>
            <w:tcW w:type="dxa" w:w="1805"/>
          </w:tcPr>
          <w:p>
            <w:pPr>
              <w:pStyle w:val="IEEETableCell"/>
            </w:pPr>
            <w:r/>
            <w:r>
              <w:t>697</w:t>
            </w:r>
          </w:p>
        </w:tc>
        <w:tc>
          <w:tcPr>
            <w:tcW w:type="dxa" w:w="1805"/>
          </w:tcPr>
          <w:p>
            <w:pPr>
              <w:pStyle w:val="IEEETableCell"/>
            </w:pPr>
            <w:r/>
            <w:r>
              <w:t>1383</w:t>
            </w:r>
          </w:p>
        </w:tc>
        <w:tc>
          <w:tcPr>
            <w:tcW w:type="dxa" w:w="1805"/>
          </w:tcPr>
          <w:p>
            <w:pPr>
              <w:pStyle w:val="IEEETableCell"/>
            </w:pPr>
            <w:r/>
            <w:r>
              <w:t>0.000</w:t>
            </w:r>
          </w:p>
        </w:tc>
      </w:tr>
      <w:tr>
        <w:tc>
          <w:tcPr>
            <w:tcW w:type="dxa" w:w="1805"/>
          </w:tcPr>
          <w:p>
            <w:pPr>
              <w:pStyle w:val="IEEETableCell"/>
            </w:pPr>
            <w:r/>
            <w:r>
              <w:t>PPO</w:t>
            </w:r>
          </w:p>
        </w:tc>
        <w:tc>
          <w:tcPr>
            <w:tcW w:type="dxa" w:w="1805"/>
          </w:tcPr>
          <w:p>
            <w:pPr>
              <w:pStyle w:val="IEEETableCell"/>
            </w:pPr>
            <w:r/>
            <w:r>
              <w:t>978.5 ± 273.6</w:t>
            </w:r>
          </w:p>
        </w:tc>
        <w:tc>
          <w:tcPr>
            <w:tcW w:type="dxa" w:w="1805"/>
          </w:tcPr>
          <w:p>
            <w:pPr>
              <w:pStyle w:val="IEEETableCell"/>
            </w:pPr>
            <w:r/>
            <w:r>
              <w:t>583</w:t>
            </w:r>
          </w:p>
        </w:tc>
        <w:tc>
          <w:tcPr>
            <w:tcW w:type="dxa" w:w="1805"/>
          </w:tcPr>
          <w:p>
            <w:pPr>
              <w:pStyle w:val="IEEETableCell"/>
            </w:pPr>
            <w:r/>
            <w:r>
              <w:t>1460</w:t>
            </w:r>
          </w:p>
        </w:tc>
        <w:tc>
          <w:tcPr>
            <w:tcW w:type="dxa" w:w="1805"/>
          </w:tcPr>
          <w:p>
            <w:pPr>
              <w:pStyle w:val="IEEETableCell"/>
            </w:pPr>
            <w:r/>
            <w:r>
              <w:t>0.000</w:t>
            </w:r>
          </w:p>
        </w:tc>
      </w:tr>
      <w:tr>
        <w:tc>
          <w:tcPr>
            <w:tcW w:type="dxa" w:w="1805"/>
          </w:tcPr>
          <w:p>
            <w:pPr>
              <w:pStyle w:val="IEEETableCell"/>
            </w:pPr>
            <w:r/>
            <w:r>
              <w:t>DQN</w:t>
            </w:r>
          </w:p>
        </w:tc>
        <w:tc>
          <w:tcPr>
            <w:tcW w:type="dxa" w:w="1805"/>
          </w:tcPr>
          <w:p>
            <w:pPr>
              <w:pStyle w:val="IEEETableCell"/>
            </w:pPr>
            <w:r/>
            <w:r>
              <w:t>1092.8 ± 233.3</w:t>
            </w:r>
          </w:p>
        </w:tc>
        <w:tc>
          <w:tcPr>
            <w:tcW w:type="dxa" w:w="1805"/>
          </w:tcPr>
          <w:p>
            <w:pPr>
              <w:pStyle w:val="IEEETableCell"/>
            </w:pPr>
            <w:r/>
            <w:r>
              <w:t>668</w:t>
            </w:r>
          </w:p>
        </w:tc>
        <w:tc>
          <w:tcPr>
            <w:tcW w:type="dxa" w:w="1805"/>
          </w:tcPr>
          <w:p>
            <w:pPr>
              <w:pStyle w:val="IEEETableCell"/>
            </w:pPr>
            <w:r/>
            <w:r>
              <w:t>1596</w:t>
            </w:r>
          </w:p>
        </w:tc>
        <w:tc>
          <w:tcPr>
            <w:tcW w:type="dxa" w:w="1805"/>
          </w:tcPr>
          <w:p>
            <w:pPr>
              <w:pStyle w:val="IEEETableCell"/>
            </w:pPr>
            <w:r/>
            <w:r>
              <w:t>0.000</w:t>
            </w:r>
          </w:p>
        </w:tc>
      </w:tr>
      <w:tr>
        <w:tc>
          <w:tcPr>
            <w:tcW w:type="dxa" w:w="1805"/>
          </w:tcPr>
          <w:p>
            <w:pPr>
              <w:pStyle w:val="IEEETableCell"/>
            </w:pPr>
            <w:r/>
            <w:r>
              <w:t>GRPO GGUF</w:t>
            </w:r>
          </w:p>
        </w:tc>
        <w:tc>
          <w:tcPr>
            <w:tcW w:type="dxa" w:w="1805"/>
          </w:tcPr>
          <w:p>
            <w:pPr>
              <w:pStyle w:val="IEEETableCell"/>
            </w:pPr>
            <w:r/>
            <w:r>
              <w:t>1827.8 ± 569.2</w:t>
            </w:r>
          </w:p>
        </w:tc>
        <w:tc>
          <w:tcPr>
            <w:tcW w:type="dxa" w:w="1805"/>
          </w:tcPr>
          <w:p>
            <w:pPr>
              <w:pStyle w:val="IEEETableCell"/>
            </w:pPr>
            <w:r/>
            <w:r>
              <w:t>1193</w:t>
            </w:r>
          </w:p>
        </w:tc>
        <w:tc>
          <w:tcPr>
            <w:tcW w:type="dxa" w:w="1805"/>
          </w:tcPr>
          <w:p>
            <w:pPr>
              <w:pStyle w:val="IEEETableCell"/>
            </w:pPr>
            <w:r/>
            <w:r>
              <w:t>3005</w:t>
            </w:r>
          </w:p>
        </w:tc>
        <w:tc>
          <w:tcPr>
            <w:tcW w:type="dxa" w:w="1805"/>
          </w:tcPr>
          <w:p>
            <w:pPr>
              <w:pStyle w:val="IEEETableCell"/>
            </w:pPr>
            <w:r/>
            <w:r>
              <w:t>0.005</w:t>
            </w:r>
          </w:p>
        </w:tc>
      </w:tr>
      <w:tr>
        <w:tc>
          <w:tcPr>
            <w:tcW w:type="dxa" w:w="1805"/>
          </w:tcPr>
          <w:p>
            <w:pPr>
              <w:pStyle w:val="IEEETableCell"/>
            </w:pPr>
            <w:r/>
            <w:r>
              <w:t>Greedy</w:t>
            </w:r>
          </w:p>
        </w:tc>
        <w:tc>
          <w:tcPr>
            <w:tcW w:type="dxa" w:w="1805"/>
          </w:tcPr>
          <w:p>
            <w:pPr>
              <w:pStyle w:val="IEEETableCell"/>
            </w:pPr>
            <w:r/>
            <w:r>
              <w:t>2314.6 ± 548.5</w:t>
            </w:r>
          </w:p>
        </w:tc>
        <w:tc>
          <w:tcPr>
            <w:tcW w:type="dxa" w:w="1805"/>
          </w:tcPr>
          <w:p>
            <w:pPr>
              <w:pStyle w:val="IEEETableCell"/>
            </w:pPr>
            <w:r/>
            <w:r>
              <w:t>1511</w:t>
            </w:r>
          </w:p>
        </w:tc>
        <w:tc>
          <w:tcPr>
            <w:tcW w:type="dxa" w:w="1805"/>
          </w:tcPr>
          <w:p>
            <w:pPr>
              <w:pStyle w:val="IEEETableCell"/>
            </w:pPr>
            <w:r/>
            <w:r>
              <w:t>3100</w:t>
            </w:r>
          </w:p>
        </w:tc>
        <w:tc>
          <w:tcPr>
            <w:tcW w:type="dxa" w:w="1805"/>
          </w:tcPr>
          <w:p>
            <w:pPr>
              <w:pStyle w:val="IEEETableCell"/>
            </w:pPr>
            <w:r/>
            <w:r>
              <w:t>0.000</w:t>
            </w:r>
          </w:p>
        </w:tc>
      </w:tr>
    </w:tbl>
    <w:p>
      <w:pPr>
        <w:pStyle w:val="IEEETableCaption"/>
      </w:pPr>
      <w:r>
        <w:t>Table II. Per-board total reward by policy.</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pStyle w:val="IEEETableHeaderCentered"/>
            </w:pPr>
            <w:r/>
            <w:r>
              <w:rPr>
                <w:b/>
              </w:rPr>
              <w:t>Seed</w:t>
            </w:r>
          </w:p>
        </w:tc>
        <w:tc>
          <w:tcPr>
            <w:tcW w:type="dxa" w:w="1504"/>
          </w:tcPr>
          <w:p>
            <w:pPr>
              <w:pStyle w:val="IEEETableHeaderCentered"/>
            </w:pPr>
            <w:r/>
            <w:r>
              <w:rPr>
                <w:b/>
              </w:rPr>
              <w:t>Random</w:t>
            </w:r>
          </w:p>
        </w:tc>
        <w:tc>
          <w:tcPr>
            <w:tcW w:type="dxa" w:w="1504"/>
          </w:tcPr>
          <w:p>
            <w:pPr>
              <w:pStyle w:val="IEEETableHeaderCentered"/>
            </w:pPr>
            <w:r/>
            <w:r>
              <w:rPr>
                <w:b/>
              </w:rPr>
              <w:t>PPO</w:t>
            </w:r>
          </w:p>
        </w:tc>
        <w:tc>
          <w:tcPr>
            <w:tcW w:type="dxa" w:w="1504"/>
          </w:tcPr>
          <w:p>
            <w:pPr>
              <w:pStyle w:val="IEEETableHeaderCentered"/>
            </w:pPr>
            <w:r/>
            <w:r>
              <w:rPr>
                <w:b/>
              </w:rPr>
              <w:t>DQN</w:t>
            </w:r>
          </w:p>
        </w:tc>
        <w:tc>
          <w:tcPr>
            <w:tcW w:type="dxa" w:w="1504"/>
          </w:tcPr>
          <w:p>
            <w:pPr>
              <w:pStyle w:val="IEEETableHeaderCentered"/>
            </w:pPr>
            <w:r/>
            <w:r>
              <w:rPr>
                <w:b/>
              </w:rPr>
              <w:t>GRPO</w:t>
            </w:r>
          </w:p>
        </w:tc>
        <w:tc>
          <w:tcPr>
            <w:tcW w:type="dxa" w:w="1504"/>
          </w:tcPr>
          <w:p>
            <w:pPr>
              <w:pStyle w:val="IEEETableHeaderCentered"/>
            </w:pPr>
            <w:r/>
            <w:r>
              <w:rPr>
                <w:b/>
              </w:rPr>
              <w:t>Greedy</w:t>
            </w:r>
          </w:p>
        </w:tc>
      </w:tr>
      <w:tr>
        <w:tc>
          <w:tcPr>
            <w:tcW w:type="dxa" w:w="1504"/>
          </w:tcPr>
          <w:p>
            <w:pPr>
              <w:pStyle w:val="IEEETableCell"/>
            </w:pPr>
            <w:r/>
            <w:r>
              <w:t>20000</w:t>
            </w:r>
          </w:p>
        </w:tc>
        <w:tc>
          <w:tcPr>
            <w:tcW w:type="dxa" w:w="1504"/>
          </w:tcPr>
          <w:p>
            <w:pPr>
              <w:pStyle w:val="IEEETableCell"/>
            </w:pPr>
            <w:r/>
            <w:r>
              <w:t>1383</w:t>
            </w:r>
          </w:p>
        </w:tc>
        <w:tc>
          <w:tcPr>
            <w:tcW w:type="dxa" w:w="1504"/>
          </w:tcPr>
          <w:p>
            <w:pPr>
              <w:pStyle w:val="IEEETableCell"/>
            </w:pPr>
            <w:r/>
            <w:r>
              <w:t>781</w:t>
            </w:r>
          </w:p>
        </w:tc>
        <w:tc>
          <w:tcPr>
            <w:tcW w:type="dxa" w:w="1504"/>
          </w:tcPr>
          <w:p>
            <w:pPr>
              <w:pStyle w:val="IEEETableCell"/>
            </w:pPr>
            <w:r/>
            <w:r>
              <w:t>979</w:t>
            </w:r>
          </w:p>
        </w:tc>
        <w:tc>
          <w:tcPr>
            <w:tcW w:type="dxa" w:w="1504"/>
          </w:tcPr>
          <w:p>
            <w:pPr>
              <w:pStyle w:val="IEEETableCell"/>
            </w:pPr>
            <w:r/>
            <w:r>
              <w:t>1258</w:t>
            </w:r>
          </w:p>
        </w:tc>
        <w:tc>
          <w:tcPr>
            <w:tcW w:type="dxa" w:w="1504"/>
          </w:tcPr>
          <w:p>
            <w:pPr>
              <w:pStyle w:val="IEEETableCell"/>
            </w:pPr>
            <w:r/>
            <w:r>
              <w:t>1511</w:t>
            </w:r>
          </w:p>
        </w:tc>
      </w:tr>
      <w:tr>
        <w:tc>
          <w:tcPr>
            <w:tcW w:type="dxa" w:w="1504"/>
          </w:tcPr>
          <w:p>
            <w:pPr>
              <w:pStyle w:val="IEEETableCell"/>
            </w:pPr>
            <w:r/>
            <w:r>
              <w:t>20001</w:t>
            </w:r>
          </w:p>
        </w:tc>
        <w:tc>
          <w:tcPr>
            <w:tcW w:type="dxa" w:w="1504"/>
          </w:tcPr>
          <w:p>
            <w:pPr>
              <w:pStyle w:val="IEEETableCell"/>
            </w:pPr>
            <w:r/>
            <w:r>
              <w:t>1266</w:t>
            </w:r>
          </w:p>
        </w:tc>
        <w:tc>
          <w:tcPr>
            <w:tcW w:type="dxa" w:w="1504"/>
          </w:tcPr>
          <w:p>
            <w:pPr>
              <w:pStyle w:val="IEEETableCell"/>
            </w:pPr>
            <w:r/>
            <w:r>
              <w:t>808</w:t>
            </w:r>
          </w:p>
        </w:tc>
        <w:tc>
          <w:tcPr>
            <w:tcW w:type="dxa" w:w="1504"/>
          </w:tcPr>
          <w:p>
            <w:pPr>
              <w:pStyle w:val="IEEETableCell"/>
            </w:pPr>
            <w:r/>
            <w:r>
              <w:t>1210</w:t>
            </w:r>
          </w:p>
        </w:tc>
        <w:tc>
          <w:tcPr>
            <w:tcW w:type="dxa" w:w="1504"/>
          </w:tcPr>
          <w:p>
            <w:pPr>
              <w:pStyle w:val="IEEETableCell"/>
            </w:pPr>
            <w:r/>
            <w:r>
              <w:t>1193</w:t>
            </w:r>
          </w:p>
        </w:tc>
        <w:tc>
          <w:tcPr>
            <w:tcW w:type="dxa" w:w="1504"/>
          </w:tcPr>
          <w:p>
            <w:pPr>
              <w:pStyle w:val="IEEETableCell"/>
            </w:pPr>
            <w:r/>
            <w:r>
              <w:t>2486</w:t>
            </w:r>
          </w:p>
        </w:tc>
      </w:tr>
      <w:tr>
        <w:tc>
          <w:tcPr>
            <w:tcW w:type="dxa" w:w="1504"/>
          </w:tcPr>
          <w:p>
            <w:pPr>
              <w:pStyle w:val="IEEETableCell"/>
            </w:pPr>
            <w:r/>
            <w:r>
              <w:t>20002</w:t>
            </w:r>
          </w:p>
        </w:tc>
        <w:tc>
          <w:tcPr>
            <w:tcW w:type="dxa" w:w="1504"/>
          </w:tcPr>
          <w:p>
            <w:pPr>
              <w:pStyle w:val="IEEETableCell"/>
            </w:pPr>
            <w:r/>
            <w:r>
              <w:t>697</w:t>
            </w:r>
          </w:p>
        </w:tc>
        <w:tc>
          <w:tcPr>
            <w:tcW w:type="dxa" w:w="1504"/>
          </w:tcPr>
          <w:p>
            <w:pPr>
              <w:pStyle w:val="IEEETableCell"/>
            </w:pPr>
            <w:r/>
            <w:r>
              <w:t>835</w:t>
            </w:r>
          </w:p>
        </w:tc>
        <w:tc>
          <w:tcPr>
            <w:tcW w:type="dxa" w:w="1504"/>
          </w:tcPr>
          <w:p>
            <w:pPr>
              <w:pStyle w:val="IEEETableCell"/>
            </w:pPr>
            <w:r/>
            <w:r>
              <w:t>1142</w:t>
            </w:r>
          </w:p>
        </w:tc>
        <w:tc>
          <w:tcPr>
            <w:tcW w:type="dxa" w:w="1504"/>
          </w:tcPr>
          <w:p>
            <w:pPr>
              <w:pStyle w:val="IEEETableCell"/>
            </w:pPr>
            <w:r/>
            <w:r>
              <w:t>2371</w:t>
            </w:r>
          </w:p>
        </w:tc>
        <w:tc>
          <w:tcPr>
            <w:tcW w:type="dxa" w:w="1504"/>
          </w:tcPr>
          <w:p>
            <w:pPr>
              <w:pStyle w:val="IEEETableCell"/>
            </w:pPr>
            <w:r/>
            <w:r>
              <w:t>2387</w:t>
            </w:r>
          </w:p>
        </w:tc>
      </w:tr>
      <w:tr>
        <w:tc>
          <w:tcPr>
            <w:tcW w:type="dxa" w:w="1504"/>
          </w:tcPr>
          <w:p>
            <w:pPr>
              <w:pStyle w:val="IEEETableCell"/>
            </w:pPr>
            <w:r/>
            <w:r>
              <w:t>20003</w:t>
            </w:r>
          </w:p>
        </w:tc>
        <w:tc>
          <w:tcPr>
            <w:tcW w:type="dxa" w:w="1504"/>
          </w:tcPr>
          <w:p>
            <w:pPr>
              <w:pStyle w:val="IEEETableCell"/>
            </w:pPr>
            <w:r/>
            <w:r>
              <w:t>854</w:t>
            </w:r>
          </w:p>
        </w:tc>
        <w:tc>
          <w:tcPr>
            <w:tcW w:type="dxa" w:w="1504"/>
          </w:tcPr>
          <w:p>
            <w:pPr>
              <w:pStyle w:val="IEEETableCell"/>
            </w:pPr>
            <w:r/>
            <w:r>
              <w:t>583</w:t>
            </w:r>
          </w:p>
        </w:tc>
        <w:tc>
          <w:tcPr>
            <w:tcW w:type="dxa" w:w="1504"/>
          </w:tcPr>
          <w:p>
            <w:pPr>
              <w:pStyle w:val="IEEETableCell"/>
            </w:pPr>
            <w:r/>
            <w:r>
              <w:t>1156</w:t>
            </w:r>
          </w:p>
        </w:tc>
        <w:tc>
          <w:tcPr>
            <w:tcW w:type="dxa" w:w="1504"/>
          </w:tcPr>
          <w:p>
            <w:pPr>
              <w:pStyle w:val="IEEETableCell"/>
            </w:pPr>
            <w:r/>
            <w:r>
              <w:t>1872</w:t>
            </w:r>
          </w:p>
        </w:tc>
        <w:tc>
          <w:tcPr>
            <w:tcW w:type="dxa" w:w="1504"/>
          </w:tcPr>
          <w:p>
            <w:pPr>
              <w:pStyle w:val="IEEETableCell"/>
            </w:pPr>
            <w:r/>
            <w:r>
              <w:t>1916</w:t>
            </w:r>
          </w:p>
        </w:tc>
      </w:tr>
      <w:tr>
        <w:tc>
          <w:tcPr>
            <w:tcW w:type="dxa" w:w="1504"/>
          </w:tcPr>
          <w:p>
            <w:pPr>
              <w:pStyle w:val="IEEETableCell"/>
            </w:pPr>
            <w:r/>
            <w:r>
              <w:t>20004</w:t>
            </w:r>
          </w:p>
        </w:tc>
        <w:tc>
          <w:tcPr>
            <w:tcW w:type="dxa" w:w="1504"/>
          </w:tcPr>
          <w:p>
            <w:pPr>
              <w:pStyle w:val="IEEETableCell"/>
            </w:pPr>
            <w:r/>
            <w:r>
              <w:t>1026</w:t>
            </w:r>
          </w:p>
        </w:tc>
        <w:tc>
          <w:tcPr>
            <w:tcW w:type="dxa" w:w="1504"/>
          </w:tcPr>
          <w:p>
            <w:pPr>
              <w:pStyle w:val="IEEETableCell"/>
            </w:pPr>
            <w:r/>
            <w:r>
              <w:t>1460</w:t>
            </w:r>
          </w:p>
        </w:tc>
        <w:tc>
          <w:tcPr>
            <w:tcW w:type="dxa" w:w="1504"/>
          </w:tcPr>
          <w:p>
            <w:pPr>
              <w:pStyle w:val="IEEETableCell"/>
            </w:pPr>
            <w:r/>
            <w:r>
              <w:t>906</w:t>
            </w:r>
          </w:p>
        </w:tc>
        <w:tc>
          <w:tcPr>
            <w:tcW w:type="dxa" w:w="1504"/>
          </w:tcPr>
          <w:p>
            <w:pPr>
              <w:pStyle w:val="IEEETableCell"/>
            </w:pPr>
            <w:r/>
            <w:r>
              <w:t>2209</w:t>
            </w:r>
          </w:p>
        </w:tc>
        <w:tc>
          <w:tcPr>
            <w:tcW w:type="dxa" w:w="1504"/>
          </w:tcPr>
          <w:p>
            <w:pPr>
              <w:pStyle w:val="IEEETableCell"/>
            </w:pPr>
            <w:r/>
            <w:r>
              <w:t>1813</w:t>
            </w:r>
          </w:p>
        </w:tc>
      </w:tr>
      <w:tr>
        <w:tc>
          <w:tcPr>
            <w:tcW w:type="dxa" w:w="1504"/>
          </w:tcPr>
          <w:p>
            <w:pPr>
              <w:pStyle w:val="IEEETableCell"/>
            </w:pPr>
            <w:r/>
            <w:r>
              <w:t>20005</w:t>
            </w:r>
          </w:p>
        </w:tc>
        <w:tc>
          <w:tcPr>
            <w:tcW w:type="dxa" w:w="1504"/>
          </w:tcPr>
          <w:p>
            <w:pPr>
              <w:pStyle w:val="IEEETableCell"/>
            </w:pPr>
            <w:r/>
            <w:r>
              <w:t>958</w:t>
            </w:r>
          </w:p>
        </w:tc>
        <w:tc>
          <w:tcPr>
            <w:tcW w:type="dxa" w:w="1504"/>
          </w:tcPr>
          <w:p>
            <w:pPr>
              <w:pStyle w:val="IEEETableCell"/>
            </w:pPr>
            <w:r/>
            <w:r>
              <w:t>1378</w:t>
            </w:r>
          </w:p>
        </w:tc>
        <w:tc>
          <w:tcPr>
            <w:tcW w:type="dxa" w:w="1504"/>
          </w:tcPr>
          <w:p>
            <w:pPr>
              <w:pStyle w:val="IEEETableCell"/>
            </w:pPr>
            <w:r/>
            <w:r>
              <w:t>956</w:t>
            </w:r>
          </w:p>
        </w:tc>
        <w:tc>
          <w:tcPr>
            <w:tcW w:type="dxa" w:w="1504"/>
          </w:tcPr>
          <w:p>
            <w:pPr>
              <w:pStyle w:val="IEEETableCell"/>
            </w:pPr>
            <w:r/>
            <w:r>
              <w:t>1810</w:t>
            </w:r>
          </w:p>
        </w:tc>
        <w:tc>
          <w:tcPr>
            <w:tcW w:type="dxa" w:w="1504"/>
          </w:tcPr>
          <w:p>
            <w:pPr>
              <w:pStyle w:val="IEEETableCell"/>
            </w:pPr>
            <w:r/>
            <w:r>
              <w:t>2206</w:t>
            </w:r>
          </w:p>
        </w:tc>
      </w:tr>
      <w:tr>
        <w:tc>
          <w:tcPr>
            <w:tcW w:type="dxa" w:w="1504"/>
          </w:tcPr>
          <w:p>
            <w:pPr>
              <w:pStyle w:val="IEEETableCell"/>
            </w:pPr>
            <w:r/>
            <w:r>
              <w:t>20006</w:t>
            </w:r>
          </w:p>
        </w:tc>
        <w:tc>
          <w:tcPr>
            <w:tcW w:type="dxa" w:w="1504"/>
          </w:tcPr>
          <w:p>
            <w:pPr>
              <w:pStyle w:val="IEEETableCell"/>
            </w:pPr>
            <w:r/>
            <w:r>
              <w:t>1371</w:t>
            </w:r>
          </w:p>
        </w:tc>
        <w:tc>
          <w:tcPr>
            <w:tcW w:type="dxa" w:w="1504"/>
          </w:tcPr>
          <w:p>
            <w:pPr>
              <w:pStyle w:val="IEEETableCell"/>
            </w:pPr>
            <w:r/>
            <w:r>
              <w:t>1014</w:t>
            </w:r>
          </w:p>
        </w:tc>
        <w:tc>
          <w:tcPr>
            <w:tcW w:type="dxa" w:w="1504"/>
          </w:tcPr>
          <w:p>
            <w:pPr>
              <w:pStyle w:val="IEEETableCell"/>
            </w:pPr>
            <w:r/>
            <w:r>
              <w:t>1596</w:t>
            </w:r>
          </w:p>
        </w:tc>
        <w:tc>
          <w:tcPr>
            <w:tcW w:type="dxa" w:w="1504"/>
          </w:tcPr>
          <w:p>
            <w:pPr>
              <w:pStyle w:val="IEEETableCell"/>
            </w:pPr>
            <w:r/>
            <w:r>
              <w:t>2034</w:t>
            </w:r>
          </w:p>
        </w:tc>
        <w:tc>
          <w:tcPr>
            <w:tcW w:type="dxa" w:w="1504"/>
          </w:tcPr>
          <w:p>
            <w:pPr>
              <w:pStyle w:val="IEEETableCell"/>
            </w:pPr>
            <w:r/>
            <w:r>
              <w:t>3100</w:t>
            </w:r>
          </w:p>
        </w:tc>
      </w:tr>
      <w:tr>
        <w:tc>
          <w:tcPr>
            <w:tcW w:type="dxa" w:w="1504"/>
          </w:tcPr>
          <w:p>
            <w:pPr>
              <w:pStyle w:val="IEEETableCell"/>
            </w:pPr>
            <w:r/>
            <w:r>
              <w:t>20007</w:t>
            </w:r>
          </w:p>
        </w:tc>
        <w:tc>
          <w:tcPr>
            <w:tcW w:type="dxa" w:w="1504"/>
          </w:tcPr>
          <w:p>
            <w:pPr>
              <w:pStyle w:val="IEEETableCell"/>
            </w:pPr>
            <w:r/>
            <w:r>
              <w:t>983</w:t>
            </w:r>
          </w:p>
        </w:tc>
        <w:tc>
          <w:tcPr>
            <w:tcW w:type="dxa" w:w="1504"/>
          </w:tcPr>
          <w:p>
            <w:pPr>
              <w:pStyle w:val="IEEETableCell"/>
            </w:pPr>
            <w:r/>
            <w:r>
              <w:t>715</w:t>
            </w:r>
          </w:p>
        </w:tc>
        <w:tc>
          <w:tcPr>
            <w:tcW w:type="dxa" w:w="1504"/>
          </w:tcPr>
          <w:p>
            <w:pPr>
              <w:pStyle w:val="IEEETableCell"/>
            </w:pPr>
            <w:r/>
            <w:r>
              <w:t>668</w:t>
            </w:r>
          </w:p>
        </w:tc>
        <w:tc>
          <w:tcPr>
            <w:tcW w:type="dxa" w:w="1504"/>
          </w:tcPr>
          <w:p>
            <w:pPr>
              <w:pStyle w:val="IEEETableCell"/>
            </w:pPr>
            <w:r/>
            <w:r>
              <w:t>1224</w:t>
            </w:r>
          </w:p>
        </w:tc>
        <w:tc>
          <w:tcPr>
            <w:tcW w:type="dxa" w:w="1504"/>
          </w:tcPr>
          <w:p>
            <w:pPr>
              <w:pStyle w:val="IEEETableCell"/>
            </w:pPr>
            <w:r/>
            <w:r>
              <w:t>1728</w:t>
            </w:r>
          </w:p>
        </w:tc>
      </w:tr>
      <w:tr>
        <w:tc>
          <w:tcPr>
            <w:tcW w:type="dxa" w:w="1504"/>
          </w:tcPr>
          <w:p>
            <w:pPr>
              <w:pStyle w:val="IEEETableCell"/>
            </w:pPr>
            <w:r/>
            <w:r>
              <w:t>20008</w:t>
            </w:r>
          </w:p>
        </w:tc>
        <w:tc>
          <w:tcPr>
            <w:tcW w:type="dxa" w:w="1504"/>
          </w:tcPr>
          <w:p>
            <w:pPr>
              <w:pStyle w:val="IEEETableCell"/>
            </w:pPr>
            <w:r/>
            <w:r>
              <w:t>955</w:t>
            </w:r>
          </w:p>
        </w:tc>
        <w:tc>
          <w:tcPr>
            <w:tcW w:type="dxa" w:w="1504"/>
          </w:tcPr>
          <w:p>
            <w:pPr>
              <w:pStyle w:val="IEEETableCell"/>
            </w:pPr>
            <w:r/>
            <w:r>
              <w:t>1038</w:t>
            </w:r>
          </w:p>
        </w:tc>
        <w:tc>
          <w:tcPr>
            <w:tcW w:type="dxa" w:w="1504"/>
          </w:tcPr>
          <w:p>
            <w:pPr>
              <w:pStyle w:val="IEEETableCell"/>
            </w:pPr>
            <w:r/>
            <w:r>
              <w:t>1069</w:t>
            </w:r>
          </w:p>
        </w:tc>
        <w:tc>
          <w:tcPr>
            <w:tcW w:type="dxa" w:w="1504"/>
          </w:tcPr>
          <w:p>
            <w:pPr>
              <w:pStyle w:val="IEEETableCell"/>
            </w:pPr>
            <w:r/>
            <w:r>
              <w:t>3005</w:t>
            </w:r>
          </w:p>
        </w:tc>
        <w:tc>
          <w:tcPr>
            <w:tcW w:type="dxa" w:w="1504"/>
          </w:tcPr>
          <w:p>
            <w:pPr>
              <w:pStyle w:val="IEEETableCell"/>
            </w:pPr>
            <w:r/>
            <w:r>
              <w:t>2940</w:t>
            </w:r>
          </w:p>
        </w:tc>
      </w:tr>
      <w:tr>
        <w:tc>
          <w:tcPr>
            <w:tcW w:type="dxa" w:w="1504"/>
          </w:tcPr>
          <w:p>
            <w:pPr>
              <w:pStyle w:val="IEEETableCell"/>
            </w:pPr>
            <w:r/>
            <w:r>
              <w:t>20009</w:t>
            </w:r>
          </w:p>
        </w:tc>
        <w:tc>
          <w:tcPr>
            <w:tcW w:type="dxa" w:w="1504"/>
          </w:tcPr>
          <w:p>
            <w:pPr>
              <w:pStyle w:val="IEEETableCell"/>
            </w:pPr>
            <w:r/>
            <w:r>
              <w:t>1236</w:t>
            </w:r>
          </w:p>
        </w:tc>
        <w:tc>
          <w:tcPr>
            <w:tcW w:type="dxa" w:w="1504"/>
          </w:tcPr>
          <w:p>
            <w:pPr>
              <w:pStyle w:val="IEEETableCell"/>
            </w:pPr>
            <w:r/>
            <w:r>
              <w:t>1173</w:t>
            </w:r>
          </w:p>
        </w:tc>
        <w:tc>
          <w:tcPr>
            <w:tcW w:type="dxa" w:w="1504"/>
          </w:tcPr>
          <w:p>
            <w:pPr>
              <w:pStyle w:val="IEEETableCell"/>
            </w:pPr>
            <w:r/>
            <w:r>
              <w:t>1246</w:t>
            </w:r>
          </w:p>
        </w:tc>
        <w:tc>
          <w:tcPr>
            <w:tcW w:type="dxa" w:w="1504"/>
          </w:tcPr>
          <w:p>
            <w:pPr>
              <w:pStyle w:val="IEEETableCell"/>
            </w:pPr>
            <w:r/>
            <w:r>
              <w:t>1302</w:t>
            </w:r>
          </w:p>
        </w:tc>
        <w:tc>
          <w:tcPr>
            <w:tcW w:type="dxa" w:w="1504"/>
          </w:tcPr>
          <w:p>
            <w:pPr>
              <w:pStyle w:val="IEEETableCell"/>
            </w:pPr>
            <w:r/>
            <w:r>
              <w:t>3059</w:t>
            </w:r>
          </w:p>
        </w:tc>
      </w:tr>
    </w:tbl>
    <w:p>
      <w:pPr>
        <w:pStyle w:val="IEEEParagraph"/>
      </w:pPr>
      <w:r>
        <w:t>Greedy is the strongest policy on average (avg 2314.6, std 548.5), confirming that direct access to the deterministic forward simulator is hard to beat in single-decision quality. The GRPO LLM policy is second (avg 1827.8, std 569.2) and beats DQN and PPO on seven of ten boards; on board 20008 it wins outright (3005 vs 2940). DQN and PPO at the modest training budgets used by the bash pipeline land near the Random baseline, which is consistent with the observation that the cascade structure of the reward makes credit assignment hard for short, value-bootstrapped agents.</w:t>
      </w:r>
    </w:p>
    <w:p>
      <w:pPr>
        <w:pStyle w:val="IEEEParagraph"/>
      </w:pPr>
      <w:r>
        <w:t>The most striking property of the GRPO policy is its validity. Across 200 model decisions in the no-fallback eval, the parser failed zero times and the model proposed an illegal swap once, for a 99.5 percent legal-action rate from the LLM alone. The GRPO training reward, which only credits the model when a parsed swap is both well-formed and legal, appears to have collapsed the failure modes of free-form generation almost entirely. This is also visible in the raw-output trace: the model often emits a 'Reason:' line after the swap command, suggesting that the policy has internalized a small explanation step.</w:t>
      </w:r>
    </w:p>
    <w:p>
      <w:pPr>
        <w:pStyle w:val="IEEEParagraph"/>
      </w:pPr>
      <w:r>
        <w:t>Two limitations are worth flagging. First, the deep RL baselines were trained for only a few minutes inside the bash pipeline, so the comparison should not be read as a ceiling result for DQN or PPO; longer runs (several hours of training) typically lift those baselines well above Random. Second, the Greedy oracle benefits from the dense reward structure of this environment; in domains with sparser rewards or longer planning horizons we would expect the learned policies to gain ground more clearly.</w:t>
      </w:r>
    </w:p>
    <w:p>
      <w:pPr>
        <w:pStyle w:val="IEEEHeading1"/>
      </w:pPr>
      <w:r>
        <w:t>Conclusion</w:t>
      </w:r>
    </w:p>
    <w:p>
      <w:pPr>
        <w:pStyle w:val="IEEEParagraph"/>
      </w:pPr>
      <w:r>
        <w:t>We have presented a complete, reproducible study of reinforcement-learning policies on an 8x8 Candy Crush variant. The headline finding is that a 9B-parameter language model trained with GRPO against the game simulator is competitive with classical deep-RL baselines while also being auditable: every decision is a human-readable swap command and an optional rationale, and the model's legal-action rate is high enough that the entire safety net of rule-based fallbacks can be removed without collapsing performance. We release the model on Hugging Face and the full pipeline as a single bash script that runs end-to-end in a fresh Ubuntu 22.04 container.</w:t>
      </w:r>
    </w:p>
    <w:p>
      <w:pPr>
        <w:pStyle w:val="IEEEHeading1"/>
      </w:pPr>
      <w:r>
        <w:t>References</w:t>
      </w:r>
    </w:p>
    <w:p>
      <w:pPr>
        <w:pStyle w:val="IEEEReferenceItem"/>
      </w:pPr>
      <w:r>
        <w:t>[1] J. Schulman et al., 'Proximal Policy Optimization Algorithms,' arXiv:1707.06347, 2017.</w:t>
      </w:r>
    </w:p>
    <w:p>
      <w:pPr>
        <w:pStyle w:val="IEEEReferenceItem"/>
      </w:pPr>
      <w:r>
        <w:t>[2] V. Mnih et al., 'Human-level control through deep reinforcement learning,' Nature, vol. 518, 2015.</w:t>
      </w:r>
    </w:p>
    <w:p>
      <w:pPr>
        <w:pStyle w:val="IEEEReferenceItem"/>
      </w:pPr>
      <w:r>
        <w:t>[3] Z. Shao et al., 'DeepSeekMath: Pushing the Limits of Mathematical Reasoning in Open Language Models,' arXiv:2402.03300, 2024. (GRPO formulation)</w:t>
      </w:r>
    </w:p>
    <w:p>
      <w:pPr>
        <w:pStyle w:val="IEEEReferenceItem"/>
      </w:pPr>
      <w:r>
        <w:t>[4] E. J. Hu et al., 'LoRA: Low-Rank Adaptation of Large Language Models,' arXiv:2106.09685, 2021.</w:t>
      </w:r>
    </w:p>
    <w:p>
      <w:pPr>
        <w:pStyle w:val="IEEEReferenceItem"/>
      </w:pPr>
      <w:r>
        <w:t>[5] G. Gerganov, 'llama.cpp: LLM inference in C/C++,' https://github.com/ggml-org/llama.cpp, 2023.</w:t>
      </w:r>
    </w:p>
    <w:p>
      <w:pPr>
        <w:pStyle w:val="IEEEReferenceItem"/>
      </w:pPr>
      <w:r>
        <w:t>[6] Qwen Team, 'Qwen3.5 Technical Report,' Hugging Face, 2025.</w:t>
      </w:r>
    </w:p>
    <w:p>
      <w:pPr>
        <w:pStyle w:val="IEEEReferenceItem"/>
      </w:pPr>
      <w:r>
        <w:t>[7] A. Raffin et al., 'Stable-Baselines3,' Journal of Machine Learning Research, vol. 22, 2021.</w:t>
      </w:r>
    </w:p>
    <w:sectPr w:rsidR="00877D4C" w:rsidRPr="0003296C" w:rsidSect="00434056">
      <w:type w:val="continuous"/>
      <w:pgSz w:w="11906" w:h="16838"/>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D4112" w14:textId="77777777" w:rsidR="007F6883" w:rsidRDefault="007F6883" w:rsidP="002B0DA5">
      <w:r>
        <w:separator/>
      </w:r>
    </w:p>
  </w:endnote>
  <w:endnote w:type="continuationSeparator" w:id="0">
    <w:p w14:paraId="38EF3CEC" w14:textId="77777777" w:rsidR="007F6883" w:rsidRDefault="007F6883" w:rsidP="002B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812A" w14:textId="77777777" w:rsidR="007F6883" w:rsidRDefault="007F6883" w:rsidP="002B0DA5">
      <w:r>
        <w:separator/>
      </w:r>
    </w:p>
  </w:footnote>
  <w:footnote w:type="continuationSeparator" w:id="0">
    <w:p w14:paraId="3EE62777" w14:textId="77777777" w:rsidR="007F6883" w:rsidRDefault="007F6883" w:rsidP="002B0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15:restartNumberingAfterBreak="0">
    <w:nsid w:val="6BFC6865"/>
    <w:multiLevelType w:val="multilevel"/>
    <w:tmpl w:val="9C8E938C"/>
    <w:numStyleLink w:val="IEEEBullet1"/>
  </w:abstractNum>
  <w:abstractNum w:abstractNumId="43"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619947481">
    <w:abstractNumId w:val="22"/>
  </w:num>
  <w:num w:numId="2" w16cid:durableId="474494427">
    <w:abstractNumId w:val="34"/>
  </w:num>
  <w:num w:numId="3" w16cid:durableId="1322392672">
    <w:abstractNumId w:val="44"/>
  </w:num>
  <w:num w:numId="4" w16cid:durableId="1365905224">
    <w:abstractNumId w:val="4"/>
  </w:num>
  <w:num w:numId="5" w16cid:durableId="1961836384">
    <w:abstractNumId w:val="22"/>
    <w:lvlOverride w:ilvl="0">
      <w:startOverride w:val="1"/>
    </w:lvlOverride>
  </w:num>
  <w:num w:numId="6" w16cid:durableId="206644809">
    <w:abstractNumId w:val="36"/>
  </w:num>
  <w:num w:numId="7" w16cid:durableId="2130540016">
    <w:abstractNumId w:val="37"/>
  </w:num>
  <w:num w:numId="8" w16cid:durableId="1204446191">
    <w:abstractNumId w:val="21"/>
  </w:num>
  <w:num w:numId="9" w16cid:durableId="158885967">
    <w:abstractNumId w:val="38"/>
  </w:num>
  <w:num w:numId="10" w16cid:durableId="1666663552">
    <w:abstractNumId w:val="43"/>
  </w:num>
  <w:num w:numId="11" w16cid:durableId="427434634">
    <w:abstractNumId w:val="24"/>
  </w:num>
  <w:num w:numId="12" w16cid:durableId="1201673243">
    <w:abstractNumId w:val="6"/>
  </w:num>
  <w:num w:numId="13" w16cid:durableId="25760128">
    <w:abstractNumId w:val="10"/>
  </w:num>
  <w:num w:numId="14" w16cid:durableId="27874649">
    <w:abstractNumId w:val="31"/>
  </w:num>
  <w:num w:numId="15" w16cid:durableId="2094234153">
    <w:abstractNumId w:val="8"/>
  </w:num>
  <w:num w:numId="16" w16cid:durableId="1456867189">
    <w:abstractNumId w:val="12"/>
  </w:num>
  <w:num w:numId="17" w16cid:durableId="1051418432">
    <w:abstractNumId w:val="25"/>
  </w:num>
  <w:num w:numId="18" w16cid:durableId="1797673783">
    <w:abstractNumId w:val="13"/>
  </w:num>
  <w:num w:numId="19" w16cid:durableId="1043990837">
    <w:abstractNumId w:val="45"/>
  </w:num>
  <w:num w:numId="20" w16cid:durableId="1420060282">
    <w:abstractNumId w:val="39"/>
  </w:num>
  <w:num w:numId="21" w16cid:durableId="578369857">
    <w:abstractNumId w:val="35"/>
  </w:num>
  <w:num w:numId="22" w16cid:durableId="911937568">
    <w:abstractNumId w:val="29"/>
  </w:num>
  <w:num w:numId="23" w16cid:durableId="1611861586">
    <w:abstractNumId w:val="17"/>
  </w:num>
  <w:num w:numId="24" w16cid:durableId="2556823">
    <w:abstractNumId w:val="41"/>
  </w:num>
  <w:num w:numId="25" w16cid:durableId="1727222819">
    <w:abstractNumId w:val="16"/>
  </w:num>
  <w:num w:numId="26" w16cid:durableId="340208002">
    <w:abstractNumId w:val="1"/>
  </w:num>
  <w:num w:numId="27" w16cid:durableId="714626912">
    <w:abstractNumId w:val="11"/>
  </w:num>
  <w:num w:numId="28" w16cid:durableId="873345745">
    <w:abstractNumId w:val="3"/>
  </w:num>
  <w:num w:numId="29" w16cid:durableId="707292394">
    <w:abstractNumId w:val="19"/>
  </w:num>
  <w:num w:numId="30" w16cid:durableId="287588659">
    <w:abstractNumId w:val="30"/>
  </w:num>
  <w:num w:numId="31" w16cid:durableId="76365730">
    <w:abstractNumId w:val="9"/>
  </w:num>
  <w:num w:numId="32" w16cid:durableId="1919632792">
    <w:abstractNumId w:val="23"/>
  </w:num>
  <w:num w:numId="33" w16cid:durableId="388573407">
    <w:abstractNumId w:val="5"/>
  </w:num>
  <w:num w:numId="34" w16cid:durableId="1066949567">
    <w:abstractNumId w:val="33"/>
  </w:num>
  <w:num w:numId="35" w16cid:durableId="37633652">
    <w:abstractNumId w:val="7"/>
  </w:num>
  <w:num w:numId="36" w16cid:durableId="729036392">
    <w:abstractNumId w:val="15"/>
  </w:num>
  <w:num w:numId="37" w16cid:durableId="1766268438">
    <w:abstractNumId w:val="31"/>
  </w:num>
  <w:num w:numId="38" w16cid:durableId="1858274212">
    <w:abstractNumId w:val="46"/>
  </w:num>
  <w:num w:numId="39" w16cid:durableId="17138497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8180085">
    <w:abstractNumId w:val="27"/>
  </w:num>
  <w:num w:numId="41" w16cid:durableId="56901948">
    <w:abstractNumId w:val="40"/>
  </w:num>
  <w:num w:numId="42" w16cid:durableId="1246695346">
    <w:abstractNumId w:val="14"/>
  </w:num>
  <w:num w:numId="43" w16cid:durableId="1646163396">
    <w:abstractNumId w:val="28"/>
  </w:num>
  <w:num w:numId="44" w16cid:durableId="668100377">
    <w:abstractNumId w:val="42"/>
  </w:num>
  <w:num w:numId="45" w16cid:durableId="1979341564">
    <w:abstractNumId w:val="20"/>
  </w:num>
  <w:num w:numId="46" w16cid:durableId="1338925912">
    <w:abstractNumId w:val="2"/>
  </w:num>
  <w:num w:numId="47" w16cid:durableId="2125996094">
    <w:abstractNumId w:val="18"/>
  </w:num>
  <w:num w:numId="48" w16cid:durableId="657464799">
    <w:abstractNumId w:val="26"/>
  </w:num>
  <w:num w:numId="49" w16cid:durableId="861631512">
    <w:abstractNumId w:val="0"/>
  </w:num>
  <w:num w:numId="50" w16cid:durableId="1464827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54421"/>
    <w:rsid w:val="00062E46"/>
    <w:rsid w:val="00074AC8"/>
    <w:rsid w:val="00081408"/>
    <w:rsid w:val="00081EBE"/>
    <w:rsid w:val="00086EDC"/>
    <w:rsid w:val="00094973"/>
    <w:rsid w:val="000B36A3"/>
    <w:rsid w:val="000C013C"/>
    <w:rsid w:val="000E3F84"/>
    <w:rsid w:val="001056DF"/>
    <w:rsid w:val="00114025"/>
    <w:rsid w:val="001160D2"/>
    <w:rsid w:val="001348A5"/>
    <w:rsid w:val="00151B8E"/>
    <w:rsid w:val="00182170"/>
    <w:rsid w:val="001928FB"/>
    <w:rsid w:val="00192BC7"/>
    <w:rsid w:val="001A50EA"/>
    <w:rsid w:val="001E2F0A"/>
    <w:rsid w:val="001F16CD"/>
    <w:rsid w:val="001F47D2"/>
    <w:rsid w:val="0022285A"/>
    <w:rsid w:val="00224C61"/>
    <w:rsid w:val="002367D7"/>
    <w:rsid w:val="0027227B"/>
    <w:rsid w:val="00273AC7"/>
    <w:rsid w:val="00273D2C"/>
    <w:rsid w:val="00285ECD"/>
    <w:rsid w:val="00290E1B"/>
    <w:rsid w:val="00291B17"/>
    <w:rsid w:val="002A6742"/>
    <w:rsid w:val="002B0DA5"/>
    <w:rsid w:val="002C1A7F"/>
    <w:rsid w:val="002C4239"/>
    <w:rsid w:val="002C559D"/>
    <w:rsid w:val="002D2D42"/>
    <w:rsid w:val="002D7F8E"/>
    <w:rsid w:val="002F72D0"/>
    <w:rsid w:val="003003AB"/>
    <w:rsid w:val="00311C49"/>
    <w:rsid w:val="0032119E"/>
    <w:rsid w:val="00321304"/>
    <w:rsid w:val="00331F84"/>
    <w:rsid w:val="00371689"/>
    <w:rsid w:val="003950A4"/>
    <w:rsid w:val="003C2C56"/>
    <w:rsid w:val="003E3577"/>
    <w:rsid w:val="003E3B04"/>
    <w:rsid w:val="003F3A61"/>
    <w:rsid w:val="00410A5D"/>
    <w:rsid w:val="00414909"/>
    <w:rsid w:val="00425A6A"/>
    <w:rsid w:val="00426FBB"/>
    <w:rsid w:val="00434056"/>
    <w:rsid w:val="00467802"/>
    <w:rsid w:val="0047429A"/>
    <w:rsid w:val="0048374C"/>
    <w:rsid w:val="0048771D"/>
    <w:rsid w:val="004A6605"/>
    <w:rsid w:val="004C45FA"/>
    <w:rsid w:val="004E1BD8"/>
    <w:rsid w:val="004E452A"/>
    <w:rsid w:val="004E78E3"/>
    <w:rsid w:val="004F63D3"/>
    <w:rsid w:val="005004BF"/>
    <w:rsid w:val="00502E89"/>
    <w:rsid w:val="00510E95"/>
    <w:rsid w:val="00527D56"/>
    <w:rsid w:val="0053221F"/>
    <w:rsid w:val="00536FAE"/>
    <w:rsid w:val="00542C85"/>
    <w:rsid w:val="00553510"/>
    <w:rsid w:val="00554186"/>
    <w:rsid w:val="00585769"/>
    <w:rsid w:val="00591130"/>
    <w:rsid w:val="00592934"/>
    <w:rsid w:val="005A3F28"/>
    <w:rsid w:val="005A40BE"/>
    <w:rsid w:val="005B13E2"/>
    <w:rsid w:val="005B47D7"/>
    <w:rsid w:val="005C018C"/>
    <w:rsid w:val="005C54AC"/>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6F1230"/>
    <w:rsid w:val="00703430"/>
    <w:rsid w:val="007069BE"/>
    <w:rsid w:val="00710C90"/>
    <w:rsid w:val="00745C86"/>
    <w:rsid w:val="007614CC"/>
    <w:rsid w:val="00764603"/>
    <w:rsid w:val="0076604D"/>
    <w:rsid w:val="00790909"/>
    <w:rsid w:val="007B5A07"/>
    <w:rsid w:val="007D3E71"/>
    <w:rsid w:val="007E5D6A"/>
    <w:rsid w:val="007E645D"/>
    <w:rsid w:val="007F6883"/>
    <w:rsid w:val="007F75CA"/>
    <w:rsid w:val="00821E08"/>
    <w:rsid w:val="00834EFD"/>
    <w:rsid w:val="00844B24"/>
    <w:rsid w:val="0084515F"/>
    <w:rsid w:val="0085092D"/>
    <w:rsid w:val="0086111D"/>
    <w:rsid w:val="00877D4C"/>
    <w:rsid w:val="00881EB2"/>
    <w:rsid w:val="00883903"/>
    <w:rsid w:val="0089763B"/>
    <w:rsid w:val="008B6AE3"/>
    <w:rsid w:val="008D1045"/>
    <w:rsid w:val="008E5996"/>
    <w:rsid w:val="008F44F6"/>
    <w:rsid w:val="00901AE1"/>
    <w:rsid w:val="009205B4"/>
    <w:rsid w:val="00955B59"/>
    <w:rsid w:val="00992262"/>
    <w:rsid w:val="009926BC"/>
    <w:rsid w:val="009A4319"/>
    <w:rsid w:val="009A6C3F"/>
    <w:rsid w:val="009B73F2"/>
    <w:rsid w:val="009C12BD"/>
    <w:rsid w:val="009C50FE"/>
    <w:rsid w:val="009E0231"/>
    <w:rsid w:val="00A03E75"/>
    <w:rsid w:val="00A32BFA"/>
    <w:rsid w:val="00A33AAC"/>
    <w:rsid w:val="00A45FCE"/>
    <w:rsid w:val="00A52A07"/>
    <w:rsid w:val="00A75671"/>
    <w:rsid w:val="00A773CC"/>
    <w:rsid w:val="00A9318B"/>
    <w:rsid w:val="00A94AC1"/>
    <w:rsid w:val="00AB18B7"/>
    <w:rsid w:val="00AC1973"/>
    <w:rsid w:val="00AD335D"/>
    <w:rsid w:val="00AF792B"/>
    <w:rsid w:val="00B55D5E"/>
    <w:rsid w:val="00B94516"/>
    <w:rsid w:val="00BB2855"/>
    <w:rsid w:val="00BD19C1"/>
    <w:rsid w:val="00BD25B8"/>
    <w:rsid w:val="00BE6F61"/>
    <w:rsid w:val="00C012E1"/>
    <w:rsid w:val="00C06BB4"/>
    <w:rsid w:val="00C10D20"/>
    <w:rsid w:val="00C12E0C"/>
    <w:rsid w:val="00C21916"/>
    <w:rsid w:val="00C32D49"/>
    <w:rsid w:val="00C457CA"/>
    <w:rsid w:val="00C57FB7"/>
    <w:rsid w:val="00C65F3F"/>
    <w:rsid w:val="00C71728"/>
    <w:rsid w:val="00C72414"/>
    <w:rsid w:val="00C8667B"/>
    <w:rsid w:val="00C902CD"/>
    <w:rsid w:val="00CA4CE3"/>
    <w:rsid w:val="00CD4F3F"/>
    <w:rsid w:val="00CE2E7D"/>
    <w:rsid w:val="00CE3D45"/>
    <w:rsid w:val="00D015F0"/>
    <w:rsid w:val="00D023DA"/>
    <w:rsid w:val="00D311F8"/>
    <w:rsid w:val="00D31D2B"/>
    <w:rsid w:val="00D36B52"/>
    <w:rsid w:val="00D377C8"/>
    <w:rsid w:val="00D41274"/>
    <w:rsid w:val="00D434E0"/>
    <w:rsid w:val="00D43BF3"/>
    <w:rsid w:val="00D767BB"/>
    <w:rsid w:val="00D939B0"/>
    <w:rsid w:val="00DB16E0"/>
    <w:rsid w:val="00DB2DF9"/>
    <w:rsid w:val="00DB7E63"/>
    <w:rsid w:val="00DC2055"/>
    <w:rsid w:val="00DD71E8"/>
    <w:rsid w:val="00DD7F83"/>
    <w:rsid w:val="00E0641E"/>
    <w:rsid w:val="00E06664"/>
    <w:rsid w:val="00E304BC"/>
    <w:rsid w:val="00E32853"/>
    <w:rsid w:val="00E401F8"/>
    <w:rsid w:val="00E46425"/>
    <w:rsid w:val="00E47D0E"/>
    <w:rsid w:val="00E60A97"/>
    <w:rsid w:val="00E65018"/>
    <w:rsid w:val="00E94339"/>
    <w:rsid w:val="00E97563"/>
    <w:rsid w:val="00EB0B63"/>
    <w:rsid w:val="00EC265C"/>
    <w:rsid w:val="00ED61CB"/>
    <w:rsid w:val="00F05DDD"/>
    <w:rsid w:val="00F06A72"/>
    <w:rsid w:val="00F136F0"/>
    <w:rsid w:val="00F20BBB"/>
    <w:rsid w:val="00F43BD8"/>
    <w:rsid w:val="00F562F3"/>
    <w:rsid w:val="00F74B89"/>
    <w:rsid w:val="00F75133"/>
    <w:rsid w:val="00F75A6C"/>
    <w:rsid w:val="00F76DA6"/>
    <w:rsid w:val="00FA3899"/>
    <w:rsid w:val="00FA4909"/>
    <w:rsid w:val="00FA6751"/>
    <w:rsid w:val="00FB1048"/>
    <w:rsid w:val="00FB62C4"/>
    <w:rsid w:val="00FB7701"/>
    <w:rsid w:val="00FD1AC5"/>
    <w:rsid w:val="00FD272A"/>
    <w:rsid w:val="00FD5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0F401"/>
  <w15:chartTrackingRefBased/>
  <w15:docId w15:val="{83B7CAB6-7830-7946-98A1-B78C4657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customStyle="1" w:styleId="HeaderChar">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customStyle="1" w:styleId="FooterChar">
    <w:name w:val="Footer Char"/>
    <w:link w:val="Footer"/>
    <w:uiPriority w:val="99"/>
    <w:rsid w:val="002B0DA5"/>
    <w:rPr>
      <w:sz w:val="24"/>
      <w:szCs w:val="24"/>
      <w:lang w:val="en-AU" w:eastAsia="zh-CN"/>
    </w:rPr>
  </w:style>
  <w:style w:type="paragraph" w:customStyle="1" w:styleId="Stylepapertitle14ptBold">
    <w:name w:val="Style paper title + 14 pt Bold"/>
    <w:basedOn w:val="Normal"/>
    <w:rsid w:val="00881EB2"/>
    <w:pPr>
      <w:spacing w:after="120"/>
      <w:jc w:val="center"/>
    </w:pPr>
    <w:rPr>
      <w:rFonts w:eastAsia="MS Mincho"/>
      <w:b/>
      <w:bCs/>
      <w:noProof/>
      <w:sz w:val="28"/>
      <w:szCs w:val="28"/>
      <w:lang w:val="en-US" w:eastAsia="en-US"/>
    </w:rPr>
  </w:style>
  <w:style w:type="character" w:styleId="Hyperlink">
    <w:name w:val="Hyperlink"/>
    <w:basedOn w:val="DefaultParagraphFont"/>
    <w:rsid w:val="00A33AAC"/>
    <w:rPr>
      <w:color w:val="467886" w:themeColor="hyperlink"/>
      <w:u w:val="single"/>
    </w:rPr>
  </w:style>
  <w:style w:type="character" w:styleId="UnresolvedMention">
    <w:name w:val="Unresolved Mention"/>
    <w:basedOn w:val="DefaultParagraphFont"/>
    <w:uiPriority w:val="99"/>
    <w:semiHidden/>
    <w:unhideWhenUsed/>
    <w:rsid w:val="00A33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2arnav.mehta.ug23@plaksha.edu.in"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1ananya.singla.ug23@plaksha.edu.in" TargetMode="External"/><Relationship Id="rId12"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4vaibhav.dabas.ug23@plaksha.edu.in" TargetMode="External"/><Relationship Id="rId4" Type="http://schemas.openxmlformats.org/officeDocument/2006/relationships/webSettings" Target="webSettings.xml"/><Relationship Id="rId9" Type="http://schemas.openxmlformats.org/officeDocument/2006/relationships/hyperlink" Target="mailto:3mohil.ahuja.ug23@plaksha.edu.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10678</CharactersWithSpaces>
  <SharedDoc>false</SharedDoc>
  <HLinks>
    <vt:vector size="24" baseType="variant">
      <vt:variant>
        <vt:i4>1703986</vt:i4>
      </vt:variant>
      <vt:variant>
        <vt:i4>9</vt:i4>
      </vt:variant>
      <vt:variant>
        <vt:i4>0</vt:i4>
      </vt:variant>
      <vt:variant>
        <vt:i4>5</vt:i4>
      </vt:variant>
      <vt:variant>
        <vt:lpwstr>mailto:4vaibhav.dabas.ug23@plaksha.edu.in</vt:lpwstr>
      </vt:variant>
      <vt:variant>
        <vt:lpwstr/>
      </vt:variant>
      <vt:variant>
        <vt:i4>8061018</vt:i4>
      </vt:variant>
      <vt:variant>
        <vt:i4>6</vt:i4>
      </vt:variant>
      <vt:variant>
        <vt:i4>0</vt:i4>
      </vt:variant>
      <vt:variant>
        <vt:i4>5</vt:i4>
      </vt:variant>
      <vt:variant>
        <vt:lpwstr>mailto:3mohil.ahuja.ug23@plaksha.edu.in</vt:lpwstr>
      </vt:variant>
      <vt:variant>
        <vt:lpwstr/>
      </vt:variant>
      <vt:variant>
        <vt:i4>8126555</vt:i4>
      </vt:variant>
      <vt:variant>
        <vt:i4>3</vt:i4>
      </vt:variant>
      <vt:variant>
        <vt:i4>0</vt:i4>
      </vt:variant>
      <vt:variant>
        <vt:i4>5</vt:i4>
      </vt:variant>
      <vt:variant>
        <vt:lpwstr>mailto:2arnav.mehta.ug23@plaksha.edu.in</vt:lpwstr>
      </vt:variant>
      <vt:variant>
        <vt:lpwstr/>
      </vt:variant>
      <vt:variant>
        <vt:i4>4391038</vt:i4>
      </vt:variant>
      <vt:variant>
        <vt:i4>0</vt:i4>
      </vt:variant>
      <vt:variant>
        <vt:i4>0</vt:i4>
      </vt:variant>
      <vt:variant>
        <vt:i4>5</vt:i4>
      </vt:variant>
      <vt:variant>
        <vt:lpwstr>mailto:1ananya.singla.ug23@plaksha.edu.in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Ananya Singla (U20230077)</cp:lastModifiedBy>
  <cp:revision>2</cp:revision>
  <cp:lastPrinted>2006-09-01T14:48:00Z</cp:lastPrinted>
  <dcterms:created xsi:type="dcterms:W3CDTF">2026-05-03T17:49:00Z</dcterms:created>
  <dcterms:modified xsi:type="dcterms:W3CDTF">2026-05-03T17:49:00Z</dcterms:modified>
</cp:coreProperties>
</file>