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before="80"/>
        <w:jc w:val="center"/>
      </w:pPr>
      <w:r>
        <w:rPr>
          <w:b/>
          <w:bCs/>
          <w:color w:val="595959"/>
          <w:sz w:val="20"/>
          <w:szCs w:val="20"/>
        </w:rPr>
        <w:t xml:space="preserve">GAIL (India) Ltd. — Petrochemical Marketing Group / CPC</w:t>
      </w:r>
    </w:p>
    <w:p>
      <w:pPr>
        <w:spacing w:after="26"/>
        <w:jc w:val="center"/>
      </w:pPr>
      <w:r>
        <w:rPr>
          <w:b/>
          <w:bCs/>
          <w:color w:val="1F3864"/>
          <w:sz w:val="30"/>
          <w:szCs w:val="30"/>
        </w:rPr>
        <w:t xml:space="preserve">CIS 2026-27 — Master Data Checklist</w:t>
      </w:r>
    </w:p>
    <w:p>
      <w:pPr>
        <w:spacing w:after="40"/>
        <w:jc w:val="center"/>
      </w:pPr>
      <w:r>
        <w:rPr>
          <w:b/>
          <w:bCs/>
          <w:color w:val="2E5496"/>
          <w:sz w:val="22"/>
          <w:szCs w:val="22"/>
        </w:rPr>
        <w:t xml:space="preserve">What to Check When a Discount / Eligible Quantity Comes Wrong</w:t>
      </w:r>
    </w:p>
    <w:p>
      <w:pPr>
        <w:spacing w:after="150"/>
        <w:jc w:val="center"/>
      </w:pPr>
      <w:r>
        <w:rPr>
          <w:i/>
          <w:iCs/>
          <w:color w:val="595959"/>
          <w:sz w:val="18"/>
          <w:szCs w:val="18"/>
        </w:rPr>
        <w:t xml:space="preserve">Prepared by the SAP Implementation Team</w:t>
      </w:r>
    </w:p>
    <w:p>
      <w:pPr>
        <w:pBdr>
          <w:bottom w:val="single" w:color="2E5496" w:sz="8" w:space="1"/>
        </w:pBdr>
        <w:spacing w:after="140" w:before="60"/>
      </w:pPr>
    </w:p>
    <w:p>
      <w:pPr>
        <w:spacing w:after="120" w:before="0"/>
      </w:pPr>
      <w:r>
        <w:rPr>
          <w:color w:val="262626"/>
          <w:sz w:val="22"/>
          <w:szCs w:val="22"/>
        </w:rPr>
        <w:t xml:space="preserve">Most cases where a discount or eligible quantity comes as zero (or wrong) are due to a piece of master data not being maintained, or maintained in the wrong place - not a program error. This guide lists the common symptoms seen during testing and, for each, exactly what to check and maintain. A quick-reference table is given at the end.</w:t>
      </w:r>
    </w:p>
    <w:p>
      <w:pPr>
        <w:spacing w:after="60" w:before="180"/>
      </w:pPr>
      <w:r>
        <w:rPr>
          <w:b/>
          <w:bCs/>
          <w:color w:val="1F3864"/>
          <w:sz w:val="24"/>
          <w:szCs w:val="24"/>
        </w:rPr>
        <w:t xml:space="preserve">1.  Eligible quantity is 0 even though a “&lt;Month&gt; Waiver” is shown</w:t>
      </w:r>
    </w:p>
    <w:tbl>
      <w:tblPr>
        <w:tblW w:type="dxa" w:w="9720"/>
        <w:tblBorders>
          <w:top w:val="none"/>
          <w:left w:val="single" w:color="2E5496" w:sz="18"/>
          <w:bottom w:val="none"/>
          <w:right w:val="none"/>
          <w:insideH w:val="none"/>
          <w:insideV w:val="none"/>
        </w:tblBorders>
      </w:tblPr>
      <w:tblGrid>
        <w:gridCol w:w="9720"/>
      </w:tblGrid>
      <w:tr>
        <w:tc>
          <w:tcPr>
            <w:tcW w:type="dxa" w:w="9720"/>
            <w:shd w:fill="EAF1FB" w:color="auto" w:val="clear"/>
            <w:tcMar>
              <w:top w:type="dxa" w:w="100"/>
              <w:left w:type="dxa" w:w="170"/>
              <w:bottom w:type="dxa" w:w="100"/>
              <w:right w:type="dxa" w:w="150"/>
            </w:tcMar>
          </w:tcPr>
          <w:p>
            <w:r>
              <w:rPr>
                <w:b/>
                <w:bCs/>
                <w:color w:val="1F3864"/>
                <w:sz w:val="20"/>
                <w:szCs w:val="20"/>
              </w:rPr>
              <w:t xml:space="preserve">Why it happens:  </w:t>
            </w:r>
            <w:r>
              <w:rPr>
                <w:color w:val="33415c"/>
                <w:sz w:val="20"/>
                <w:szCs w:val="20"/>
              </w:rPr>
              <w:t xml:space="preserve">The “Jun Waiver” (or any month) text shown against a customer only reflects the WAIVER_1/2/3 field on the CIS master - it is only a label. It does NOT grant the discount. A customer must still lift at least the monthly minimum (e.g. 75% of the committed quantity); a waiver that actually lowers this minimum must be maintained separately.</w:t>
            </w:r>
          </w:p>
        </w:tc>
      </w:tr>
    </w:tbl>
    <w:p>
      <w:pPr>
        <w:spacing w:after="30" w:before="80"/>
      </w:pPr>
      <w:r>
        <w:rPr>
          <w:b/>
          <w:bCs/>
          <w:color w:val="2E5496"/>
          <w:sz w:val="21"/>
          <w:szCs w:val="21"/>
        </w:rPr>
        <w:t xml:space="preserve">What to check / maintain:</w:t>
      </w:r>
    </w:p>
    <w:p>
      <w:pPr>
        <w:pStyle w:val="ListParagraph"/>
        <w:numPr>
          <w:ilvl w:val="0"/>
          <w:numId w:val="1"/>
        </w:numPr>
        <w:spacing w:after="50"/>
      </w:pPr>
      <w:r>
        <w:rPr>
          <w:color w:val="262626"/>
          <w:sz w:val="22"/>
          <w:szCs w:val="22"/>
        </w:rPr>
        <w:t xml:space="preserve">YRVA_QAIS_DATA - confirm the committed quantity for the month (COMMITED_QTY_Mx) is correct, and check the actual lifted quantity against it. If the customer lifted below the minimum %, eligible = 0 is correct.</w:t>
      </w:r>
    </w:p>
    <w:p>
      <w:pPr>
        <w:pStyle w:val="ListParagraph"/>
        <w:numPr>
          <w:ilvl w:val="0"/>
          <w:numId w:val="1"/>
        </w:numPr>
        <w:spacing w:after="50"/>
      </w:pPr>
      <w:r>
        <w:rPr>
          <w:color w:val="262626"/>
          <w:sz w:val="22"/>
          <w:szCs w:val="22"/>
        </w:rPr>
        <w:t xml:space="preserve">YRVA_QAIS_ADD_WV - this is the table that actually GRANTS a monthly waiver. If the customer is entitled to a month waiver, maintain a row here for that CIS number + month (e.g. JUN). Putting the month only in the WAIVER_1 field of the CIS master is NOT enough.</w:t>
      </w:r>
    </w:p>
    <w:p>
      <w:pPr>
        <w:pStyle w:val="ListParagraph"/>
        <w:numPr>
          <w:ilvl w:val="0"/>
          <w:numId w:val="1"/>
        </w:numPr>
        <w:spacing w:after="50"/>
      </w:pPr>
      <w:r>
        <w:rPr>
          <w:color w:val="262626"/>
          <w:sz w:val="22"/>
          <w:szCs w:val="22"/>
        </w:rPr>
        <w:t xml:space="preserve">YCIS_SHORTFALL - if the discount depends on a shortfall grade, confirm the grade/period is declared here; the auto-waiver then applies only if the customer lifted the required % of the non-shortfall grades.</w:t>
      </w:r>
    </w:p>
    <w:p>
      <w:pPr>
        <w:spacing w:after="60" w:before="180"/>
      </w:pPr>
      <w:r>
        <w:rPr>
          <w:b/>
          <w:bCs/>
          <w:color w:val="1F3864"/>
          <w:sz w:val="24"/>
          <w:szCs w:val="24"/>
        </w:rPr>
        <w:t xml:space="preserve">2.  A Group / MLE customer shows Group Lifted Qty = 0 (and hence zero discount)</w:t>
      </w:r>
    </w:p>
    <w:tbl>
      <w:tblPr>
        <w:tblW w:type="dxa" w:w="9720"/>
        <w:tblBorders>
          <w:top w:val="none"/>
          <w:left w:val="single" w:color="2E5496" w:sz="18"/>
          <w:bottom w:val="none"/>
          <w:right w:val="none"/>
          <w:insideH w:val="none"/>
          <w:insideV w:val="none"/>
        </w:tblBorders>
      </w:tblPr>
      <w:tblGrid>
        <w:gridCol w:w="9720"/>
      </w:tblGrid>
      <w:tr>
        <w:tc>
          <w:tcPr>
            <w:tcW w:type="dxa" w:w="9720"/>
            <w:shd w:fill="EAF1FB" w:color="auto" w:val="clear"/>
            <w:tcMar>
              <w:top w:type="dxa" w:w="100"/>
              <w:left w:type="dxa" w:w="170"/>
              <w:bottom w:type="dxa" w:w="100"/>
              <w:right w:type="dxa" w:w="150"/>
            </w:tcMar>
          </w:tcPr>
          <w:p>
            <w:r>
              <w:rPr>
                <w:b/>
                <w:bCs/>
                <w:color w:val="1F3864"/>
                <w:sz w:val="20"/>
                <w:szCs w:val="20"/>
              </w:rPr>
              <w:t xml:space="preserve">Why it happens:  </w:t>
            </w:r>
            <w:r>
              <w:rPr>
                <w:color w:val="33415c"/>
                <w:sz w:val="20"/>
                <w:szCs w:val="20"/>
              </w:rPr>
              <w:t xml:space="preserve">For a group, the system clubs the members’ lifting only when a valid Business Partner GROUP/MLE relationship exists between them. The program recognises the group/MLE relationship family only (relationship type code starting with “ZGP”, shown in BP as “Has Group Customer” / “Has Multi Location Entity”). If the relationship is maintained under a different relationship type, or the lifting sits on customer codes that are not part of the CIS, the members are not clubbed and the group lifting stays 0.</w:t>
            </w:r>
          </w:p>
        </w:tc>
      </w:tr>
    </w:tbl>
    <w:p>
      <w:pPr>
        <w:spacing w:after="30" w:before="80"/>
      </w:pPr>
      <w:r>
        <w:rPr>
          <w:b/>
          <w:bCs/>
          <w:color w:val="2E5496"/>
          <w:sz w:val="21"/>
          <w:szCs w:val="21"/>
        </w:rPr>
        <w:t xml:space="preserve">What to check / maintain:</w:t>
      </w:r>
    </w:p>
    <w:p>
      <w:pPr>
        <w:pStyle w:val="ListParagraph"/>
        <w:numPr>
          <w:ilvl w:val="0"/>
          <w:numId w:val="1"/>
        </w:numPr>
        <w:spacing w:after="50"/>
      </w:pPr>
      <w:r>
        <w:rPr>
          <w:color w:val="262626"/>
          <w:sz w:val="22"/>
          <w:szCs w:val="22"/>
        </w:rPr>
        <w:t xml:space="preserve">Business Partner (BP) / table BUT050 - open the customer’s relationship and check the RELATIONSHIP TYPE. It must be the Group/MLE type (code starting with ZGP, i.e. “Has Group Customer” or “Has Multi Location Entity”). If it is any other relationship type, the group will not be recognised - re-maintain it as the correct Group/MLE relationship.</w:t>
      </w:r>
    </w:p>
    <w:p>
      <w:pPr>
        <w:pStyle w:val="ListParagraph"/>
        <w:numPr>
          <w:ilvl w:val="0"/>
          <w:numId w:val="1"/>
        </w:numPr>
        <w:spacing w:after="50"/>
      </w:pPr>
      <w:r>
        <w:rPr>
          <w:color w:val="262626"/>
          <w:sz w:val="22"/>
          <w:szCs w:val="22"/>
        </w:rPr>
        <w:t xml:space="preserve">Relationship validity - the relationship must be valid for the run month (Valid From / Valid To covering the CIS period).</w:t>
      </w:r>
    </w:p>
    <w:p>
      <w:pPr>
        <w:pStyle w:val="ListParagraph"/>
        <w:numPr>
          <w:ilvl w:val="0"/>
          <w:numId w:val="1"/>
        </w:numPr>
        <w:spacing w:after="50"/>
      </w:pPr>
      <w:r>
        <w:rPr>
          <w:color w:val="262626"/>
          <w:sz w:val="22"/>
          <w:szCs w:val="22"/>
        </w:rPr>
        <w:t xml:space="preserve">Member customer codes - confirm the members linked in BP are the same customer codes on which the sales (lifting) are booked, and that they belong to the CIS being run. If the lifting is booked on location codes that are not CIS customers, it will not roll up to the parent.</w:t>
      </w:r>
    </w:p>
    <w:p>
      <w:pPr>
        <w:pStyle w:val="ListParagraph"/>
        <w:numPr>
          <w:ilvl w:val="0"/>
          <w:numId w:val="1"/>
        </w:numPr>
        <w:spacing w:after="50"/>
      </w:pPr>
      <w:r>
        <w:rPr>
          <w:color w:val="262626"/>
          <w:sz w:val="22"/>
          <w:szCs w:val="22"/>
        </w:rPr>
        <w:t xml:space="preserve">S922 (lifting) - confirm there is actual lifting for the customer/members for the period. If there is none, group lifted 0 is correct.</w:t>
      </w:r>
    </w:p>
    <w:p>
      <w:r>
        <w:br w:type="page"/>
      </w:r>
    </w:p>
    <w:p>
      <w:pPr>
        <w:spacing w:after="60" w:before="180"/>
      </w:pPr>
      <w:r>
        <w:rPr>
          <w:b/>
          <w:bCs/>
          <w:color w:val="1F3864"/>
          <w:sz w:val="24"/>
          <w:szCs w:val="24"/>
        </w:rPr>
        <w:t xml:space="preserve">3.  A grade is not being captured (lifting/discount for a grade missing)</w:t>
      </w:r>
    </w:p>
    <w:tbl>
      <w:tblPr>
        <w:tblW w:type="dxa" w:w="9720"/>
        <w:tblBorders>
          <w:top w:val="none"/>
          <w:left w:val="single" w:color="2E5496" w:sz="18"/>
          <w:bottom w:val="none"/>
          <w:right w:val="none"/>
          <w:insideH w:val="none"/>
          <w:insideV w:val="none"/>
        </w:tblBorders>
      </w:tblPr>
      <w:tblGrid>
        <w:gridCol w:w="9720"/>
      </w:tblGrid>
      <w:tr>
        <w:tc>
          <w:tcPr>
            <w:tcW w:type="dxa" w:w="9720"/>
            <w:shd w:fill="EAF1FB" w:color="auto" w:val="clear"/>
            <w:tcMar>
              <w:top w:type="dxa" w:w="100"/>
              <w:left w:type="dxa" w:w="170"/>
              <w:bottom w:type="dxa" w:w="100"/>
              <w:right w:type="dxa" w:w="150"/>
            </w:tcMar>
          </w:tcPr>
          <w:p>
            <w:r>
              <w:rPr>
                <w:b/>
                <w:bCs/>
                <w:color w:val="1F3864"/>
                <w:sz w:val="20"/>
                <w:szCs w:val="20"/>
              </w:rPr>
              <w:t xml:space="preserve">Why it happens:  </w:t>
            </w:r>
            <w:r>
              <w:rPr>
                <w:color w:val="33415c"/>
                <w:sz w:val="20"/>
                <w:szCs w:val="20"/>
              </w:rPr>
              <w:t xml:space="preserve">The system decides which grades count for a CIS from the grade-to-material mapping. If a grade (material / MPG) is not mapped, its lifting is not picked up, so it neither counts towards eligibility nor earns a discount.</w:t>
            </w:r>
          </w:p>
        </w:tc>
      </w:tr>
    </w:tbl>
    <w:p>
      <w:pPr>
        <w:spacing w:after="30" w:before="80"/>
      </w:pPr>
      <w:r>
        <w:rPr>
          <w:b/>
          <w:bCs/>
          <w:color w:val="2E5496"/>
          <w:sz w:val="21"/>
          <w:szCs w:val="21"/>
        </w:rPr>
        <w:t xml:space="preserve">What to check / maintain:</w:t>
      </w:r>
    </w:p>
    <w:p>
      <w:pPr>
        <w:pStyle w:val="ListParagraph"/>
        <w:numPr>
          <w:ilvl w:val="0"/>
          <w:numId w:val="1"/>
        </w:numPr>
        <w:spacing w:after="50"/>
      </w:pPr>
      <w:r>
        <w:rPr>
          <w:color w:val="262626"/>
          <w:sz w:val="22"/>
          <w:szCs w:val="22"/>
        </w:rPr>
        <w:t xml:space="preserve">YRVA_GRADE_CISD - confirm every signed grade (material / MPG) is mapped here. A grade missing from this table will not be captured (this was the cause of the GS/PS/Powder grades not appearing).</w:t>
      </w:r>
    </w:p>
    <w:p>
      <w:pPr>
        <w:pStyle w:val="ListParagraph"/>
        <w:numPr>
          <w:ilvl w:val="0"/>
          <w:numId w:val="1"/>
        </w:numPr>
        <w:spacing w:after="50"/>
      </w:pPr>
      <w:r>
        <w:rPr>
          <w:color w:val="262626"/>
          <w:sz w:val="22"/>
          <w:szCs w:val="22"/>
        </w:rPr>
        <w:t xml:space="preserve">YRVA_PRS_GRADES - for seasonal / P-R-S handling, confirm the grade indicators are maintained; if this is empty, seasonal grade filtering will not work.</w:t>
      </w:r>
    </w:p>
    <w:p>
      <w:pPr>
        <w:spacing w:after="60" w:before="180"/>
      </w:pPr>
      <w:r>
        <w:rPr>
          <w:b/>
          <w:bCs/>
          <w:color w:val="1F3864"/>
          <w:sz w:val="24"/>
          <w:szCs w:val="24"/>
        </w:rPr>
        <w:t xml:space="preserve">4.  A whole customer is missing from the run, or committed quantity shows 0</w:t>
      </w:r>
    </w:p>
    <w:tbl>
      <w:tblPr>
        <w:tblW w:type="dxa" w:w="9720"/>
        <w:tblBorders>
          <w:top w:val="none"/>
          <w:left w:val="single" w:color="2E5496" w:sz="18"/>
          <w:bottom w:val="none"/>
          <w:right w:val="none"/>
          <w:insideH w:val="none"/>
          <w:insideV w:val="none"/>
        </w:tblBorders>
      </w:tblPr>
      <w:tblGrid>
        <w:gridCol w:w="9720"/>
      </w:tblGrid>
      <w:tr>
        <w:tc>
          <w:tcPr>
            <w:tcW w:type="dxa" w:w="9720"/>
            <w:shd w:fill="EAF1FB" w:color="auto" w:val="clear"/>
            <w:tcMar>
              <w:top w:type="dxa" w:w="100"/>
              <w:left w:type="dxa" w:w="170"/>
              <w:bottom w:type="dxa" w:w="100"/>
              <w:right w:type="dxa" w:w="150"/>
            </w:tcMar>
          </w:tcPr>
          <w:p>
            <w:r>
              <w:rPr>
                <w:b/>
                <w:bCs/>
                <w:color w:val="1F3864"/>
                <w:sz w:val="20"/>
                <w:szCs w:val="20"/>
              </w:rPr>
              <w:t xml:space="preserve">Why it happens:  </w:t>
            </w:r>
            <w:r>
              <w:rPr>
                <w:color w:val="33415c"/>
                <w:sz w:val="20"/>
                <w:szCs w:val="20"/>
              </w:rPr>
              <w:t xml:space="preserve">The customer either has no CIS signed for the period, or the committed (MoU) quantity is not maintained for the month.</w:t>
            </w:r>
          </w:p>
        </w:tc>
      </w:tr>
    </w:tbl>
    <w:p>
      <w:pPr>
        <w:spacing w:after="30" w:before="80"/>
      </w:pPr>
      <w:r>
        <w:rPr>
          <w:b/>
          <w:bCs/>
          <w:color w:val="2E5496"/>
          <w:sz w:val="21"/>
          <w:szCs w:val="21"/>
        </w:rPr>
        <w:t xml:space="preserve">What to check / maintain:</w:t>
      </w:r>
    </w:p>
    <w:p>
      <w:pPr>
        <w:pStyle w:val="ListParagraph"/>
        <w:numPr>
          <w:ilvl w:val="0"/>
          <w:numId w:val="1"/>
        </w:numPr>
        <w:spacing w:after="50"/>
      </w:pPr>
      <w:r>
        <w:rPr>
          <w:color w:val="262626"/>
          <w:sz w:val="22"/>
          <w:szCs w:val="22"/>
        </w:rPr>
        <w:t xml:space="preserve">YRVA_QAIS_DATA - confirm a CIS record exists for the customer and period (MOU_BEGDA / MOU_ENDDA covering the run), and that the monthly committed quantities are maintained.</w:t>
      </w:r>
    </w:p>
    <w:p>
      <w:pPr>
        <w:pStyle w:val="ListParagraph"/>
        <w:numPr>
          <w:ilvl w:val="0"/>
          <w:numId w:val="1"/>
        </w:numPr>
        <w:spacing w:after="50"/>
      </w:pPr>
      <w:r>
        <w:rPr>
          <w:color w:val="262626"/>
          <w:sz w:val="22"/>
          <w:szCs w:val="22"/>
        </w:rPr>
        <w:t xml:space="preserve">YRVA_QAIS_TNTLFT - confirm the grade-wise committed (tentative-lifting / MCQ) values are maintained for the CIS.</w:t>
      </w:r>
    </w:p>
    <w:p>
      <w:pPr>
        <w:spacing w:after="60" w:before="180"/>
      </w:pPr>
      <w:r>
        <w:rPr>
          <w:b/>
          <w:bCs/>
          <w:color w:val="1F3864"/>
          <w:sz w:val="24"/>
          <w:szCs w:val="24"/>
        </w:rPr>
        <w:t xml:space="preserve">5.  Error “JIL does not exist in TVV2” / customer group not recognised</w:t>
      </w:r>
    </w:p>
    <w:tbl>
      <w:tblPr>
        <w:tblW w:type="dxa" w:w="9720"/>
        <w:tblBorders>
          <w:top w:val="none"/>
          <w:left w:val="single" w:color="2E5496" w:sz="18"/>
          <w:bottom w:val="none"/>
          <w:right w:val="none"/>
          <w:insideH w:val="none"/>
          <w:insideV w:val="none"/>
        </w:tblBorders>
      </w:tblPr>
      <w:tblGrid>
        <w:gridCol w:w="9720"/>
      </w:tblGrid>
      <w:tr>
        <w:tc>
          <w:tcPr>
            <w:tcW w:type="dxa" w:w="9720"/>
            <w:shd w:fill="EAF1FB" w:color="auto" w:val="clear"/>
            <w:tcMar>
              <w:top w:type="dxa" w:w="100"/>
              <w:left w:type="dxa" w:w="170"/>
              <w:bottom w:type="dxa" w:w="100"/>
              <w:right w:type="dxa" w:w="150"/>
            </w:tcMar>
          </w:tcPr>
          <w:p>
            <w:r>
              <w:rPr>
                <w:b/>
                <w:bCs/>
                <w:color w:val="1F3864"/>
                <w:sz w:val="20"/>
                <w:szCs w:val="20"/>
              </w:rPr>
              <w:t xml:space="preserve">Why it happens:  </w:t>
            </w:r>
            <w:r>
              <w:rPr>
                <w:color w:val="33415c"/>
                <w:sz w:val="20"/>
                <w:szCs w:val="20"/>
              </w:rPr>
              <w:t xml:space="preserve">The customer group (Customer Group 2 / KVGR2) used for grouping or MLE is not configured in the customer-group table, or is not assigned in the customer master.</w:t>
            </w:r>
          </w:p>
        </w:tc>
      </w:tr>
    </w:tbl>
    <w:p>
      <w:pPr>
        <w:spacing w:after="30" w:before="80"/>
      </w:pPr>
      <w:r>
        <w:rPr>
          <w:b/>
          <w:bCs/>
          <w:color w:val="2E5496"/>
          <w:sz w:val="21"/>
          <w:szCs w:val="21"/>
        </w:rPr>
        <w:t xml:space="preserve">What to check / maintain:</w:t>
      </w:r>
    </w:p>
    <w:p>
      <w:pPr>
        <w:pStyle w:val="ListParagraph"/>
        <w:numPr>
          <w:ilvl w:val="0"/>
          <w:numId w:val="1"/>
        </w:numPr>
        <w:spacing w:after="50"/>
      </w:pPr>
      <w:r>
        <w:rPr>
          <w:color w:val="262626"/>
          <w:sz w:val="22"/>
          <w:szCs w:val="22"/>
        </w:rPr>
        <w:t xml:space="preserve">TVV2 (config, via OVS9) - confirm the customer group value (e.g. JIL) is created.</w:t>
      </w:r>
    </w:p>
    <w:p>
      <w:pPr>
        <w:pStyle w:val="ListParagraph"/>
        <w:numPr>
          <w:ilvl w:val="0"/>
          <w:numId w:val="1"/>
        </w:numPr>
        <w:spacing w:after="50"/>
      </w:pPr>
      <w:r>
        <w:rPr>
          <w:color w:val="262626"/>
          <w:sz w:val="22"/>
          <w:szCs w:val="22"/>
        </w:rPr>
        <w:t xml:space="preserve">Customer master (Sales Area data) - confirm the customer group (KVGR2) is assigned to the customer, and that the MLE code is mapped for the customers in question.</w:t>
      </w:r>
    </w:p>
    <w:p>
      <w:pPr>
        <w:pStyle w:val="Heading1"/>
        <w:spacing w:after="100" w:before="230"/>
      </w:pPr>
      <w:r>
        <w:rPr>
          <w:b/>
          <w:bCs/>
          <w:color w:val="1F3864"/>
        </w:rPr>
        <w:t xml:space="preserve">Quick reference</w:t>
      </w:r>
    </w:p>
    <w:tbl>
      <w:tblPr>
        <w:tblW w:type="dxa" w:w="9720"/>
        <w:tblBorders>
          <w:top w:val="single" w:color="BFC7D6" w:sz="4"/>
          <w:left w:val="single" w:color="BFC7D6" w:sz="4"/>
          <w:bottom w:val="single" w:color="BFC7D6" w:sz="4"/>
          <w:right w:val="single" w:color="BFC7D6" w:sz="4"/>
          <w:insideH w:val="single" w:color="BFC7D6" w:sz="4"/>
          <w:insideV w:val="single" w:color="BFC7D6" w:sz="4"/>
        </w:tblBorders>
      </w:tblPr>
      <w:tblGrid>
        <w:gridCol w:w="3300"/>
        <w:gridCol w:w="3200"/>
        <w:gridCol w:w="3220"/>
      </w:tblGrid>
      <w:tr>
        <w:trPr>
          <w:tblHeader/>
        </w:trPr>
        <w:tc>
          <w:tcPr>
            <w:tcW w:type="dxa" w:w="3300"/>
            <w:shd w:fill="1F3864" w:color="auto" w:val="clear"/>
            <w:tcMar>
              <w:top w:type="dxa" w:w="55"/>
              <w:left w:type="dxa" w:w="100"/>
              <w:bottom w:type="dxa" w:w="55"/>
              <w:right w:type="dxa" w:w="100"/>
            </w:tcMar>
          </w:tcPr>
          <w:p>
            <w:r>
              <w:rPr>
                <w:b/>
                <w:bCs/>
                <w:color w:val="FFFFFF"/>
                <w:sz w:val="20"/>
                <w:szCs w:val="20"/>
              </w:rPr>
              <w:t xml:space="preserve">If this is wrong…</w:t>
            </w:r>
          </w:p>
        </w:tc>
        <w:tc>
          <w:tcPr>
            <w:tcW w:type="dxa" w:w="3200"/>
            <w:shd w:fill="1F3864" w:color="auto" w:val="clear"/>
            <w:tcMar>
              <w:top w:type="dxa" w:w="55"/>
              <w:left w:type="dxa" w:w="100"/>
              <w:bottom w:type="dxa" w:w="55"/>
              <w:right w:type="dxa" w:w="100"/>
            </w:tcMar>
          </w:tcPr>
          <w:p>
            <w:r>
              <w:rPr>
                <w:b/>
                <w:bCs/>
                <w:color w:val="FFFFFF"/>
                <w:sz w:val="20"/>
                <w:szCs w:val="20"/>
              </w:rPr>
              <w:t xml:space="preserve">Check this table / place</w:t>
            </w:r>
          </w:p>
        </w:tc>
        <w:tc>
          <w:tcPr>
            <w:tcW w:type="dxa" w:w="3220"/>
            <w:shd w:fill="1F3864" w:color="auto" w:val="clear"/>
            <w:tcMar>
              <w:top w:type="dxa" w:w="55"/>
              <w:left w:type="dxa" w:w="100"/>
              <w:bottom w:type="dxa" w:w="55"/>
              <w:right w:type="dxa" w:w="100"/>
            </w:tcMar>
          </w:tcPr>
          <w:p>
            <w:r>
              <w:rPr>
                <w:b/>
                <w:bCs/>
                <w:color w:val="FFFFFF"/>
                <w:sz w:val="20"/>
                <w:szCs w:val="20"/>
              </w:rPr>
              <w:t xml:space="preserve">What to maintain</w:t>
            </w:r>
          </w:p>
        </w:tc>
      </w:tr>
      <w:tr>
        <w:tc>
          <w:tcPr>
            <w:tcW w:type="dxa" w:w="3300"/>
            <w:shd w:fill="F2F5FA" w:color="auto" w:val="clear"/>
            <w:tcMar>
              <w:top w:type="dxa" w:w="55"/>
              <w:left w:type="dxa" w:w="100"/>
              <w:bottom w:type="dxa" w:w="55"/>
              <w:right w:type="dxa" w:w="100"/>
            </w:tcMar>
          </w:tcPr>
          <w:p>
            <w:r>
              <w:rPr>
                <w:color w:val="262626"/>
                <w:sz w:val="20"/>
                <w:szCs w:val="20"/>
              </w:rPr>
              <w:t xml:space="preserve">Eligible qty 0 but “Waiver” shown</w:t>
            </w:r>
          </w:p>
        </w:tc>
        <w:tc>
          <w:tcPr>
            <w:tcW w:type="dxa" w:w="3200"/>
            <w:shd w:fill="F2F5FA" w:color="auto" w:val="clear"/>
            <w:tcMar>
              <w:top w:type="dxa" w:w="55"/>
              <w:left w:type="dxa" w:w="100"/>
              <w:bottom w:type="dxa" w:w="55"/>
              <w:right w:type="dxa" w:w="100"/>
            </w:tcMar>
          </w:tcPr>
          <w:p>
            <w:r>
              <w:rPr>
                <w:color w:val="262626"/>
                <w:sz w:val="20"/>
                <w:szCs w:val="20"/>
              </w:rPr>
              <w:t xml:space="preserve">YRVA_QAIS_ADD_WV</w:t>
            </w:r>
          </w:p>
        </w:tc>
        <w:tc>
          <w:tcPr>
            <w:tcW w:type="dxa" w:w="3220"/>
            <w:shd w:fill="F2F5FA" w:color="auto" w:val="clear"/>
            <w:tcMar>
              <w:top w:type="dxa" w:w="55"/>
              <w:left w:type="dxa" w:w="100"/>
              <w:bottom w:type="dxa" w:w="55"/>
              <w:right w:type="dxa" w:w="100"/>
            </w:tcMar>
          </w:tcPr>
          <w:p>
            <w:r>
              <w:rPr>
                <w:color w:val="262626"/>
                <w:sz w:val="20"/>
                <w:szCs w:val="20"/>
              </w:rPr>
              <w:t xml:space="preserve">A waiver row for the CIS No. + month</w:t>
            </w:r>
          </w:p>
        </w:tc>
      </w:tr>
      <w:tr>
        <w:tc>
          <w:tcPr>
            <w:tcW w:type="dxa" w:w="3300"/>
            <w:tcMar>
              <w:top w:type="dxa" w:w="55"/>
              <w:left w:type="dxa" w:w="100"/>
              <w:bottom w:type="dxa" w:w="55"/>
              <w:right w:type="dxa" w:w="100"/>
            </w:tcMar>
          </w:tcPr>
          <w:p>
            <w:r>
              <w:rPr>
                <w:color w:val="262626"/>
                <w:sz w:val="20"/>
                <w:szCs w:val="20"/>
              </w:rPr>
              <w:t xml:space="preserve">Below-minimum lifting</w:t>
            </w:r>
          </w:p>
        </w:tc>
        <w:tc>
          <w:tcPr>
            <w:tcW w:type="dxa" w:w="3200"/>
            <w:tcMar>
              <w:top w:type="dxa" w:w="55"/>
              <w:left w:type="dxa" w:w="100"/>
              <w:bottom w:type="dxa" w:w="55"/>
              <w:right w:type="dxa" w:w="100"/>
            </w:tcMar>
          </w:tcPr>
          <w:p>
            <w:r>
              <w:rPr>
                <w:color w:val="262626"/>
                <w:sz w:val="20"/>
                <w:szCs w:val="20"/>
              </w:rPr>
              <w:t xml:space="preserve">YRVA_QAIS_DATA</w:t>
            </w:r>
          </w:p>
        </w:tc>
        <w:tc>
          <w:tcPr>
            <w:tcW w:type="dxa" w:w="3220"/>
            <w:tcMar>
              <w:top w:type="dxa" w:w="55"/>
              <w:left w:type="dxa" w:w="100"/>
              <w:bottom w:type="dxa" w:w="55"/>
              <w:right w:type="dxa" w:w="100"/>
            </w:tcMar>
          </w:tcPr>
          <w:p>
            <w:r>
              <w:rPr>
                <w:color w:val="262626"/>
                <w:sz w:val="20"/>
                <w:szCs w:val="20"/>
              </w:rPr>
              <w:t xml:space="preserve">Committed qty vs lifted (75% rule)</w:t>
            </w:r>
          </w:p>
        </w:tc>
      </w:tr>
      <w:tr>
        <w:tc>
          <w:tcPr>
            <w:tcW w:type="dxa" w:w="3300"/>
            <w:shd w:fill="F2F5FA" w:color="auto" w:val="clear"/>
            <w:tcMar>
              <w:top w:type="dxa" w:w="55"/>
              <w:left w:type="dxa" w:w="100"/>
              <w:bottom w:type="dxa" w:w="55"/>
              <w:right w:type="dxa" w:w="100"/>
            </w:tcMar>
          </w:tcPr>
          <w:p>
            <w:r>
              <w:rPr>
                <w:color w:val="262626"/>
                <w:sz w:val="20"/>
                <w:szCs w:val="20"/>
              </w:rPr>
              <w:t xml:space="preserve">Group Lifted Qty = 0</w:t>
            </w:r>
          </w:p>
        </w:tc>
        <w:tc>
          <w:tcPr>
            <w:tcW w:type="dxa" w:w="3200"/>
            <w:shd w:fill="F2F5FA" w:color="auto" w:val="clear"/>
            <w:tcMar>
              <w:top w:type="dxa" w:w="55"/>
              <w:left w:type="dxa" w:w="100"/>
              <w:bottom w:type="dxa" w:w="55"/>
              <w:right w:type="dxa" w:w="100"/>
            </w:tcMar>
          </w:tcPr>
          <w:p>
            <w:r>
              <w:rPr>
                <w:color w:val="262626"/>
                <w:sz w:val="20"/>
                <w:szCs w:val="20"/>
              </w:rPr>
              <w:t xml:space="preserve">BP relationship / BUT050</w:t>
            </w:r>
          </w:p>
        </w:tc>
        <w:tc>
          <w:tcPr>
            <w:tcW w:type="dxa" w:w="3220"/>
            <w:shd w:fill="F2F5FA" w:color="auto" w:val="clear"/>
            <w:tcMar>
              <w:top w:type="dxa" w:w="55"/>
              <w:left w:type="dxa" w:w="100"/>
              <w:bottom w:type="dxa" w:w="55"/>
              <w:right w:type="dxa" w:w="100"/>
            </w:tcMar>
          </w:tcPr>
          <w:p>
            <w:r>
              <w:rPr>
                <w:color w:val="262626"/>
                <w:sz w:val="20"/>
                <w:szCs w:val="20"/>
              </w:rPr>
              <w:t xml:space="preserve">Relationship type must be Group/MLE (ZGP…)</w:t>
            </w:r>
          </w:p>
        </w:tc>
      </w:tr>
      <w:tr>
        <w:tc>
          <w:tcPr>
            <w:tcW w:type="dxa" w:w="3300"/>
            <w:tcMar>
              <w:top w:type="dxa" w:w="55"/>
              <w:left w:type="dxa" w:w="100"/>
              <w:bottom w:type="dxa" w:w="55"/>
              <w:right w:type="dxa" w:w="100"/>
            </w:tcMar>
          </w:tcPr>
          <w:p>
            <w:r>
              <w:rPr>
                <w:color w:val="262626"/>
                <w:sz w:val="20"/>
                <w:szCs w:val="20"/>
              </w:rPr>
              <w:t xml:space="preserve">Members not clubbed</w:t>
            </w:r>
          </w:p>
        </w:tc>
        <w:tc>
          <w:tcPr>
            <w:tcW w:type="dxa" w:w="3200"/>
            <w:tcMar>
              <w:top w:type="dxa" w:w="55"/>
              <w:left w:type="dxa" w:w="100"/>
              <w:bottom w:type="dxa" w:w="55"/>
              <w:right w:type="dxa" w:w="100"/>
            </w:tcMar>
          </w:tcPr>
          <w:p>
            <w:r>
              <w:rPr>
                <w:color w:val="262626"/>
                <w:sz w:val="20"/>
                <w:szCs w:val="20"/>
              </w:rPr>
              <w:t xml:space="preserve">BP + S922</w:t>
            </w:r>
          </w:p>
        </w:tc>
        <w:tc>
          <w:tcPr>
            <w:tcW w:type="dxa" w:w="3220"/>
            <w:tcMar>
              <w:top w:type="dxa" w:w="55"/>
              <w:left w:type="dxa" w:w="100"/>
              <w:bottom w:type="dxa" w:w="55"/>
              <w:right w:type="dxa" w:w="100"/>
            </w:tcMar>
          </w:tcPr>
          <w:p>
            <w:r>
              <w:rPr>
                <w:color w:val="262626"/>
                <w:sz w:val="20"/>
                <w:szCs w:val="20"/>
              </w:rPr>
              <w:t xml:space="preserve">Correct member codes; lifting present</w:t>
            </w:r>
          </w:p>
        </w:tc>
      </w:tr>
      <w:tr>
        <w:tc>
          <w:tcPr>
            <w:tcW w:type="dxa" w:w="3300"/>
            <w:shd w:fill="F2F5FA" w:color="auto" w:val="clear"/>
            <w:tcMar>
              <w:top w:type="dxa" w:w="55"/>
              <w:left w:type="dxa" w:w="100"/>
              <w:bottom w:type="dxa" w:w="55"/>
              <w:right w:type="dxa" w:w="100"/>
            </w:tcMar>
          </w:tcPr>
          <w:p>
            <w:r>
              <w:rPr>
                <w:color w:val="262626"/>
                <w:sz w:val="20"/>
                <w:szCs w:val="20"/>
              </w:rPr>
              <w:t xml:space="preserve">Grade not captured</w:t>
            </w:r>
          </w:p>
        </w:tc>
        <w:tc>
          <w:tcPr>
            <w:tcW w:type="dxa" w:w="3200"/>
            <w:shd w:fill="F2F5FA" w:color="auto" w:val="clear"/>
            <w:tcMar>
              <w:top w:type="dxa" w:w="55"/>
              <w:left w:type="dxa" w:w="100"/>
              <w:bottom w:type="dxa" w:w="55"/>
              <w:right w:type="dxa" w:w="100"/>
            </w:tcMar>
          </w:tcPr>
          <w:p>
            <w:r>
              <w:rPr>
                <w:color w:val="262626"/>
                <w:sz w:val="20"/>
                <w:szCs w:val="20"/>
              </w:rPr>
              <w:t xml:space="preserve">YRVA_GRADE_CISD</w:t>
            </w:r>
          </w:p>
        </w:tc>
        <w:tc>
          <w:tcPr>
            <w:tcW w:type="dxa" w:w="3220"/>
            <w:shd w:fill="F2F5FA" w:color="auto" w:val="clear"/>
            <w:tcMar>
              <w:top w:type="dxa" w:w="55"/>
              <w:left w:type="dxa" w:w="100"/>
              <w:bottom w:type="dxa" w:w="55"/>
              <w:right w:type="dxa" w:w="100"/>
            </w:tcMar>
          </w:tcPr>
          <w:p>
            <w:r>
              <w:rPr>
                <w:color w:val="262626"/>
                <w:sz w:val="20"/>
                <w:szCs w:val="20"/>
              </w:rPr>
              <w:t xml:space="preserve">Map the grade/material (MPG)</w:t>
            </w:r>
          </w:p>
        </w:tc>
      </w:tr>
      <w:tr>
        <w:tc>
          <w:tcPr>
            <w:tcW w:type="dxa" w:w="3300"/>
            <w:tcMar>
              <w:top w:type="dxa" w:w="55"/>
              <w:left w:type="dxa" w:w="100"/>
              <w:bottom w:type="dxa" w:w="55"/>
              <w:right w:type="dxa" w:w="100"/>
            </w:tcMar>
          </w:tcPr>
          <w:p>
            <w:r>
              <w:rPr>
                <w:color w:val="262626"/>
                <w:sz w:val="20"/>
                <w:szCs w:val="20"/>
              </w:rPr>
              <w:t xml:space="preserve">Seasonal grade not working</w:t>
            </w:r>
          </w:p>
        </w:tc>
        <w:tc>
          <w:tcPr>
            <w:tcW w:type="dxa" w:w="3200"/>
            <w:tcMar>
              <w:top w:type="dxa" w:w="55"/>
              <w:left w:type="dxa" w:w="100"/>
              <w:bottom w:type="dxa" w:w="55"/>
              <w:right w:type="dxa" w:w="100"/>
            </w:tcMar>
          </w:tcPr>
          <w:p>
            <w:r>
              <w:rPr>
                <w:color w:val="262626"/>
                <w:sz w:val="20"/>
                <w:szCs w:val="20"/>
              </w:rPr>
              <w:t xml:space="preserve">YRVA_PRS_GRADES</w:t>
            </w:r>
          </w:p>
        </w:tc>
        <w:tc>
          <w:tcPr>
            <w:tcW w:type="dxa" w:w="3220"/>
            <w:tcMar>
              <w:top w:type="dxa" w:w="55"/>
              <w:left w:type="dxa" w:w="100"/>
              <w:bottom w:type="dxa" w:w="55"/>
              <w:right w:type="dxa" w:w="100"/>
            </w:tcMar>
          </w:tcPr>
          <w:p>
            <w:r>
              <w:rPr>
                <w:color w:val="262626"/>
                <w:sz w:val="20"/>
                <w:szCs w:val="20"/>
              </w:rPr>
              <w:t xml:space="preserve">Grade indicators (S/R/P)</w:t>
            </w:r>
          </w:p>
        </w:tc>
      </w:tr>
      <w:tr>
        <w:tc>
          <w:tcPr>
            <w:tcW w:type="dxa" w:w="3300"/>
            <w:shd w:fill="F2F5FA" w:color="auto" w:val="clear"/>
            <w:tcMar>
              <w:top w:type="dxa" w:w="55"/>
              <w:left w:type="dxa" w:w="100"/>
              <w:bottom w:type="dxa" w:w="55"/>
              <w:right w:type="dxa" w:w="100"/>
            </w:tcMar>
          </w:tcPr>
          <w:p>
            <w:r>
              <w:rPr>
                <w:color w:val="262626"/>
                <w:sz w:val="20"/>
                <w:szCs w:val="20"/>
              </w:rPr>
              <w:t xml:space="preserve">Customer/committed qty missing</w:t>
            </w:r>
          </w:p>
        </w:tc>
        <w:tc>
          <w:tcPr>
            <w:tcW w:type="dxa" w:w="3200"/>
            <w:shd w:fill="F2F5FA" w:color="auto" w:val="clear"/>
            <w:tcMar>
              <w:top w:type="dxa" w:w="55"/>
              <w:left w:type="dxa" w:w="100"/>
              <w:bottom w:type="dxa" w:w="55"/>
              <w:right w:type="dxa" w:w="100"/>
            </w:tcMar>
          </w:tcPr>
          <w:p>
            <w:r>
              <w:rPr>
                <w:color w:val="262626"/>
                <w:sz w:val="20"/>
                <w:szCs w:val="20"/>
              </w:rPr>
              <w:t xml:space="preserve">YRVA_QAIS_DATA / YRVA_QAIS_TNTLFT</w:t>
            </w:r>
          </w:p>
        </w:tc>
        <w:tc>
          <w:tcPr>
            <w:tcW w:type="dxa" w:w="3220"/>
            <w:shd w:fill="F2F5FA" w:color="auto" w:val="clear"/>
            <w:tcMar>
              <w:top w:type="dxa" w:w="55"/>
              <w:left w:type="dxa" w:w="100"/>
              <w:bottom w:type="dxa" w:w="55"/>
              <w:right w:type="dxa" w:w="100"/>
            </w:tcMar>
          </w:tcPr>
          <w:p>
            <w:r>
              <w:rPr>
                <w:color w:val="262626"/>
                <w:sz w:val="20"/>
                <w:szCs w:val="20"/>
              </w:rPr>
              <w:t xml:space="preserve">CIS record &amp; committed qty</w:t>
            </w:r>
          </w:p>
        </w:tc>
      </w:tr>
      <w:tr>
        <w:tc>
          <w:tcPr>
            <w:tcW w:type="dxa" w:w="3300"/>
            <w:tcMar>
              <w:top w:type="dxa" w:w="55"/>
              <w:left w:type="dxa" w:w="100"/>
              <w:bottom w:type="dxa" w:w="55"/>
              <w:right w:type="dxa" w:w="100"/>
            </w:tcMar>
          </w:tcPr>
          <w:p>
            <w:r>
              <w:rPr>
                <w:color w:val="262626"/>
                <w:sz w:val="20"/>
                <w:szCs w:val="20"/>
              </w:rPr>
              <w:t xml:space="preserve">Shortfall waiver</w:t>
            </w:r>
          </w:p>
        </w:tc>
        <w:tc>
          <w:tcPr>
            <w:tcW w:type="dxa" w:w="3200"/>
            <w:tcMar>
              <w:top w:type="dxa" w:w="55"/>
              <w:left w:type="dxa" w:w="100"/>
              <w:bottom w:type="dxa" w:w="55"/>
              <w:right w:type="dxa" w:w="100"/>
            </w:tcMar>
          </w:tcPr>
          <w:p>
            <w:r>
              <w:rPr>
                <w:color w:val="262626"/>
                <w:sz w:val="20"/>
                <w:szCs w:val="20"/>
              </w:rPr>
              <w:t xml:space="preserve">YCIS_SHORTFALL</w:t>
            </w:r>
          </w:p>
        </w:tc>
        <w:tc>
          <w:tcPr>
            <w:tcW w:type="dxa" w:w="3220"/>
            <w:tcMar>
              <w:top w:type="dxa" w:w="55"/>
              <w:left w:type="dxa" w:w="100"/>
              <w:bottom w:type="dxa" w:w="55"/>
              <w:right w:type="dxa" w:w="100"/>
            </w:tcMar>
          </w:tcPr>
          <w:p>
            <w:r>
              <w:rPr>
                <w:color w:val="262626"/>
                <w:sz w:val="20"/>
                <w:szCs w:val="20"/>
              </w:rPr>
              <w:t xml:space="preserve">Shortfall grade + period</w:t>
            </w:r>
          </w:p>
        </w:tc>
      </w:tr>
      <w:tr>
        <w:tc>
          <w:tcPr>
            <w:tcW w:type="dxa" w:w="3300"/>
            <w:shd w:fill="F2F5FA" w:color="auto" w:val="clear"/>
            <w:tcMar>
              <w:top w:type="dxa" w:w="55"/>
              <w:left w:type="dxa" w:w="100"/>
              <w:bottom w:type="dxa" w:w="55"/>
              <w:right w:type="dxa" w:w="100"/>
            </w:tcMar>
          </w:tcPr>
          <w:p>
            <w:r>
              <w:rPr>
                <w:color w:val="262626"/>
                <w:sz w:val="20"/>
                <w:szCs w:val="20"/>
              </w:rPr>
              <w:t xml:space="preserve">“JIL not in TVV2”</w:t>
            </w:r>
          </w:p>
        </w:tc>
        <w:tc>
          <w:tcPr>
            <w:tcW w:type="dxa" w:w="3200"/>
            <w:shd w:fill="F2F5FA" w:color="auto" w:val="clear"/>
            <w:tcMar>
              <w:top w:type="dxa" w:w="55"/>
              <w:left w:type="dxa" w:w="100"/>
              <w:bottom w:type="dxa" w:w="55"/>
              <w:right w:type="dxa" w:w="100"/>
            </w:tcMar>
          </w:tcPr>
          <w:p>
            <w:r>
              <w:rPr>
                <w:color w:val="262626"/>
                <w:sz w:val="20"/>
                <w:szCs w:val="20"/>
              </w:rPr>
              <w:t xml:space="preserve">TVV2 (OVS9) + customer master</w:t>
            </w:r>
          </w:p>
        </w:tc>
        <w:tc>
          <w:tcPr>
            <w:tcW w:type="dxa" w:w="3220"/>
            <w:shd w:fill="F2F5FA" w:color="auto" w:val="clear"/>
            <w:tcMar>
              <w:top w:type="dxa" w:w="55"/>
              <w:left w:type="dxa" w:w="100"/>
              <w:bottom w:type="dxa" w:w="55"/>
              <w:right w:type="dxa" w:w="100"/>
            </w:tcMar>
          </w:tcPr>
          <w:p>
            <w:r>
              <w:rPr>
                <w:color w:val="262626"/>
                <w:sz w:val="20"/>
                <w:szCs w:val="20"/>
              </w:rPr>
              <w:t xml:space="preserve">Customer group config + KVGR2/MLE</w:t>
            </w:r>
          </w:p>
        </w:tc>
      </w:tr>
    </w:tbl>
    <w:p>
      <w:pPr>
        <w:pBdr>
          <w:bottom w:val="single" w:color="2E5496" w:sz="8" w:space="1"/>
        </w:pBdr>
        <w:spacing w:after="140" w:before="60"/>
      </w:pPr>
    </w:p>
    <w:p>
      <w:pPr>
        <w:spacing w:after="0" w:before="0"/>
      </w:pPr>
      <w:r>
        <w:rPr>
          <w:b/>
          <w:bCs/>
          <w:color w:val="262626"/>
          <w:sz w:val="20"/>
          <w:szCs w:val="20"/>
        </w:rPr>
        <w:t xml:space="preserve">Note:  </w:t>
      </w:r>
      <w:r>
        <w:rPr>
          <w:i/>
          <w:iCs/>
          <w:color w:val="595959"/>
          <w:sz w:val="20"/>
          <w:szCs w:val="20"/>
        </w:rPr>
        <w:t xml:space="preserve">a system report (YCIS_MASTER_CHECK) is being provided that, for a given customer and period, runs all of the above checks automatically and reports exactly what is missing - so these can be identified in one screen without a developer.</w:t>
      </w:r>
    </w:p>
    <w:sectPr>
      <w:headerReference w:type="default" r:id="rId7"/>
      <w:footerReference w:type="default" r:id="rId8"/>
      <w:pgSz w:w="12240" w:h="15840" w:orient="portrait"/>
      <w:pgMar w:top="1300" w:right="1260" w:bottom="125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CIS 2026-27 — Master Data Checklist (What to Check)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2026-09-16T11:08:32.773Z</dcterms:created>
  <dcterms:modified xsi:type="dcterms:W3CDTF">2026-09-16T11:08:32.784Z</dcterms:modified>
</cp:coreProperties>
</file>

<file path=docProps/custom.xml><?xml version="1.0" encoding="utf-8"?>
<Properties xmlns="http://schemas.openxmlformats.org/officeDocument/2006/custom-properties" xmlns:vt="http://schemas.openxmlformats.org/officeDocument/2006/docPropsVTypes"/>
</file>