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52"/>
          <w:szCs w:val="52"/>
        </w:rPr>
        <w:t xml:space="preserve">SAP Transport Check Tool</w:t>
      </w:r>
    </w:p>
    <w:p>
      <w:pPr>
        <w:spacing w:after="200"/>
        <w:jc w:val="center"/>
      </w:pPr>
      <w:r>
        <w:rPr>
          <w:rFonts w:ascii="Calibri" w:cs="Calibri" w:eastAsia="Calibri" w:hAnsi="Calibri"/>
          <w:b/>
          <w:bCs/>
          <w:sz w:val="32"/>
          <w:szCs w:val="32"/>
        </w:rPr>
        <w:t xml:space="preserve">/SDF/CMO_TR_CHECK — Check Transport Requests</w:t>
      </w:r>
    </w:p>
    <w:p>
      <w:pPr>
        <w:spacing w:after="600"/>
        <w:jc w:val="center"/>
      </w:pPr>
      <w:r>
        <w:rPr>
          <w:rFonts w:ascii="Calibri" w:cs="Calibri" w:eastAsia="Calibri" w:hAnsi="Calibri"/>
          <w:i/>
          <w:iCs/>
          <w:color w:val="555555"/>
          <w:sz w:val="26"/>
          <w:szCs w:val="26"/>
        </w:rPr>
        <w:t xml:space="preserve">What It Checks  •  How It Checks  •  What It Does NOT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Attribute</w:t>
            </w:r>
          </w:p>
        </w:tc>
        <w:tc>
          <w:tcPr>
            <w:tcW w:type="dxa" w:w="66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Program</w:t>
            </w:r>
          </w:p>
        </w:tc>
        <w:tc>
          <w:tcPr>
            <w:tcW w:type="dxa" w:w="6600"/>
            <w:tcMar>
              <w:top w:type="dxa" w:w="60"/>
              <w:left w:type="dxa" w:w="100"/>
              <w:bottom w:type="dxa" w:w="60"/>
              <w:right w:type="dxa" w:w="100"/>
            </w:tcMar>
          </w:tcPr>
          <w:p>
            <w:r>
              <w:rPr>
                <w:rFonts w:ascii="Calibri" w:cs="Calibri" w:eastAsia="Calibri" w:hAnsi="Calibri"/>
                <w:b w:val="false"/>
                <w:bCs w:val="false"/>
                <w:color w:val="000000"/>
                <w:sz w:val="19"/>
                <w:szCs w:val="19"/>
              </w:rPr>
              <w:t xml:space="preserve">/SDF/CMO_TR_CHECK (Type 1 Executable Report, System Program, Basis)</w:t>
            </w:r>
          </w:p>
        </w:tc>
      </w:tr>
      <w:tr>
        <w:tc>
          <w:tcPr>
            <w:tcW w:type="dxa" w:w="2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Package</w:t>
            </w:r>
          </w:p>
        </w:tc>
        <w:tc>
          <w:tcPr>
            <w:tcW w:type="dxa" w:w="6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/SDF/STPI_6X (SAP Solution Tools Plug-In, ST-PI)</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Author / Owner</w:t>
            </w:r>
          </w:p>
        </w:tc>
        <w:tc>
          <w:tcPr>
            <w:tcW w:type="dxa" w:w="6600"/>
            <w:tcMar>
              <w:top w:type="dxa" w:w="60"/>
              <w:left w:type="dxa" w:w="100"/>
              <w:bottom w:type="dxa" w:w="60"/>
              <w:right w:type="dxa" w:w="100"/>
            </w:tcMar>
          </w:tcPr>
          <w:p>
            <w:r>
              <w:rPr>
                <w:rFonts w:ascii="Calibri" w:cs="Calibri" w:eastAsia="Calibri" w:hAnsi="Calibri"/>
                <w:b w:val="false"/>
                <w:bCs w:val="false"/>
                <w:color w:val="000000"/>
                <w:sz w:val="19"/>
                <w:szCs w:val="19"/>
              </w:rPr>
              <w:t xml:space="preserve">SAP (created 10.10.2014, last changed 10.04.2026)</w:t>
            </w:r>
          </w:p>
        </w:tc>
      </w:tr>
      <w:tr>
        <w:tc>
          <w:tcPr>
            <w:tcW w:type="dxa" w:w="2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Sources analysed</w:t>
            </w:r>
          </w:p>
        </w:tc>
        <w:tc>
          <w:tcPr>
            <w:tcW w:type="dxa" w:w="6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sdf_1.pdf (SAP program documentation, 2 pages) and sdf_2.pdf (complete source listing, 110 pages incl. all includes and cross-reference index)</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 purpose</w:t>
            </w:r>
          </w:p>
        </w:tc>
        <w:tc>
          <w:tcPr>
            <w:tcW w:type="dxa" w:w="6600"/>
            <w:tcMar>
              <w:top w:type="dxa" w:w="60"/>
              <w:left w:type="dxa" w:w="100"/>
              <w:bottom w:type="dxa" w:w="60"/>
              <w:right w:type="dxa" w:w="100"/>
            </w:tcMar>
          </w:tcPr>
          <w:p>
            <w:r>
              <w:rPr>
                <w:rFonts w:ascii="Calibri" w:cs="Calibri" w:eastAsia="Calibri" w:hAnsi="Calibri"/>
                <w:b w:val="false"/>
                <w:bCs w:val="false"/>
                <w:color w:val="000000"/>
                <w:sz w:val="19"/>
                <w:szCs w:val="19"/>
              </w:rPr>
              <w:t xml:space="preserve">Functional analysis of the checking scope and mechanism, including explicit coverage gaps</w:t>
            </w:r>
          </w:p>
        </w:tc>
      </w:tr>
      <w:tr>
        <w:tc>
          <w:tcPr>
            <w:tcW w:type="dxa" w:w="2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 date</w:t>
            </w:r>
          </w:p>
        </w:tc>
        <w:tc>
          <w:tcPr>
            <w:tcW w:type="dxa" w:w="66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21.07.2026</w:t>
            </w:r>
          </w:p>
        </w:tc>
      </w:tr>
    </w:tbl>
    <w:p>
      <w:r>
        <w:br w:type="page"/>
      </w:r>
    </w:p>
    <w:p>
      <w:pPr>
        <w:pStyle w:val="Heading1"/>
        <w:spacing w:after="140" w:before="280"/>
      </w:pPr>
      <w:r>
        <w:rPr>
          <w:b/>
          <w:bCs/>
          <w:color w:val="1F4E79"/>
        </w:rPr>
        <w:t xml:space="preserve">1. Purpose and Positioning</w:t>
      </w:r>
    </w:p>
    <w:p>
      <w:pPr>
        <w:spacing w:after="120"/>
      </w:pPr>
      <w:r>
        <w:rPr>
          <w:rFonts w:ascii="Calibri" w:cs="Calibri" w:eastAsia="Calibri" w:hAnsi="Calibri"/>
          <w:sz w:val="21"/>
          <w:szCs w:val="21"/>
        </w:rPr>
        <w:t xml:space="preserve">The report "Check Transport Requests" is SAP’s transport risk-prediction tool delivered with ST-PI / Solution Manager. It inspects the objects contained in selected transport requests and predicts transport-related errors BEFORE the requests are imported into a target system (e.g. QAS → PRD). Typical usage: a developer verifies a transport in DEV before releasing it to the test system, or a transport manager verifies a whole import queue in the test system before importing into pre-production or production.</w:t>
      </w:r>
    </w:p>
    <w:p>
      <w:pPr>
        <w:spacing w:after="120"/>
      </w:pPr>
      <w:r>
        <w:rPr>
          <w:rFonts w:ascii="Calibri" w:cs="Calibri" w:eastAsia="Calibri" w:hAnsi="Calibri"/>
          <w:sz w:val="21"/>
          <w:szCs w:val="21"/>
        </w:rPr>
        <w:t xml:space="preserve">The report itself is an orchestration and display layer. Every actual analysis is delegated over RFC to /SDF/* analysis function modules that must be available in the source and target systems. Results are shown in a five-tab ALV screen with red / yellow / green severity icons, and can optionally be saved to history tables for later review via /SDF/CMO_TR_CHECK_HISTORY.</w:t>
      </w:r>
    </w:p>
    <w:p>
      <w:pPr>
        <w:pStyle w:val="Heading1"/>
        <w:spacing w:after="140" w:before="280"/>
      </w:pPr>
      <w:r>
        <w:rPr>
          <w:b/>
          <w:bCs/>
          <w:color w:val="1F4E79"/>
        </w:rPr>
        <w:t xml:space="preserve">2. What It Checks (Five Independent Checks)</w:t>
      </w:r>
    </w:p>
    <w:p>
      <w:pPr>
        <w:pStyle w:val="Heading2"/>
        <w:spacing w:after="110" w:before="220"/>
      </w:pPr>
      <w:r>
        <w:rPr>
          <w:b/>
          <w:bCs/>
          <w:color w:val="1F4E79"/>
        </w:rPr>
        <w:t xml:space="preserve">2.1 Cross Reference Check (P_CRSREF)</w:t>
      </w:r>
    </w:p>
    <w:p>
      <w:pPr>
        <w:spacing w:after="120"/>
      </w:pPr>
      <w:r>
        <w:rPr>
          <w:rFonts w:ascii="Calibri" w:cs="Calibri" w:eastAsia="Calibri" w:hAnsi="Calibri"/>
          <w:b/>
          <w:bCs/>
          <w:sz w:val="21"/>
          <w:szCs w:val="21"/>
        </w:rPr>
        <w:t xml:space="preserve">What: </w:t>
      </w:r>
      <w:r>
        <w:rPr>
          <w:rFonts w:ascii="Calibri" w:cs="Calibri" w:eastAsia="Calibri" w:hAnsi="Calibri"/>
          <w:sz w:val="21"/>
          <w:szCs w:val="21"/>
        </w:rPr>
        <w:t xml:space="preserve">For every object in the checked transports, a where-used analysis identifies all referenced objects (programs, classes, DDIC objects, customizing, SAP Notes, BW objects). Referenced objects that are NOT part of the selected transports are compared between the reference and the target system. Missing objects or different object versions in the target are flagged as potential import errors, together with the "Missing Transport" (ANA_TRKORR) — the last transport request that contains the missing object version.</w:t>
      </w:r>
    </w:p>
    <w:p>
      <w:pPr>
        <w:spacing w:after="120"/>
      </w:pPr>
      <w:r>
        <w:rPr>
          <w:rFonts w:ascii="Calibri" w:cs="Calibri" w:eastAsia="Calibri" w:hAnsi="Calibri"/>
          <w:b/>
          <w:bCs/>
          <w:sz w:val="21"/>
          <w:szCs w:val="21"/>
        </w:rPr>
        <w:t xml:space="preserve">How: </w:t>
      </w:r>
      <w:r>
        <w:rPr>
          <w:rFonts w:ascii="Calibri" w:cs="Calibri" w:eastAsia="Calibri" w:hAnsi="Calibri"/>
          <w:sz w:val="21"/>
          <w:szCs w:val="21"/>
        </w:rPr>
        <w:t xml:space="preserve">CALL FUNCTION ‘/SDF/TEAP_ENVI_ANA’ with source RFC (iv_ana_rfc) and target RFC (iv_tar_rfc). Errors come back in ET_ENVANAL_RES_ERR with a status from domain /SDF/TEAP_ENVI_STATUS (e.g. "does not exist in target", "version differs", "Original in target") and a severity icon per row.</w:t>
      </w:r>
    </w:p>
    <w:p>
      <w:pPr>
        <w:pStyle w:val="Heading2"/>
        <w:spacing w:after="110" w:before="220"/>
      </w:pPr>
      <w:r>
        <w:rPr>
          <w:b/>
          <w:bCs/>
          <w:color w:val="1F4E79"/>
        </w:rPr>
        <w:t xml:space="preserve">2.2 Sequence Check / Downgrade Protection (P_DGP)</w:t>
      </w:r>
    </w:p>
    <w:p>
      <w:pPr>
        <w:spacing w:after="120"/>
      </w:pPr>
      <w:r>
        <w:rPr>
          <w:rFonts w:ascii="Calibri" w:cs="Calibri" w:eastAsia="Calibri" w:hAnsi="Calibri"/>
          <w:b/>
          <w:bCs/>
          <w:sz w:val="21"/>
          <w:szCs w:val="21"/>
        </w:rPr>
        <w:t xml:space="preserve">What: </w:t>
      </w:r>
      <w:r>
        <w:rPr>
          <w:rFonts w:ascii="Calibri" w:cs="Calibri" w:eastAsia="Calibri" w:hAnsi="Calibri"/>
          <w:sz w:val="21"/>
          <w:szCs w:val="21"/>
        </w:rPr>
        <w:t xml:space="preserve">Identifies OTHER transport requests that contain the same objects (or the same customizing table keys) and were released within the analysis period but have not yet been imported into the target system. Importing the checked transport now would overtake those requests and later imports would downgrade the object.</w:t>
      </w:r>
    </w:p>
    <w:p>
      <w:pPr>
        <w:spacing w:after="120"/>
      </w:pPr>
      <w:r>
        <w:rPr>
          <w:rFonts w:ascii="Calibri" w:cs="Calibri" w:eastAsia="Calibri" w:hAnsi="Calibri"/>
          <w:b/>
          <w:bCs/>
          <w:sz w:val="21"/>
          <w:szCs w:val="21"/>
        </w:rPr>
        <w:t xml:space="preserve">How: </w:t>
      </w:r>
      <w:r>
        <w:rPr>
          <w:rFonts w:ascii="Calibri" w:cs="Calibri" w:eastAsia="Calibri" w:hAnsi="Calibri"/>
          <w:sz w:val="21"/>
          <w:szCs w:val="21"/>
        </w:rPr>
        <w:t xml:space="preserve">CALL FUNCTION ‘/SDF/TEAP_DOWNGRADE_PROTECT’ comparing the export history of the development system with the import history of the target system, over a window of sy-datum minus PERIOD days (config table /SDF/CMO_TR_CONF, default 180 days). Conflicts return with export timestamps, conflict object / table key and criticality; red conflicts are labelled "imported earlier" or "to be imported", yellow "not yet imported". Only workbench requests, customizing requests and transports of copies are supported.</w:t>
      </w:r>
    </w:p>
    <w:p>
      <w:pPr>
        <w:pStyle w:val="Heading2"/>
        <w:spacing w:after="110" w:before="220"/>
      </w:pPr>
      <w:r>
        <w:rPr>
          <w:b/>
          <w:bCs/>
          <w:color w:val="1F4E79"/>
        </w:rPr>
        <w:t xml:space="preserve">2.3 Cross Release Check / Software Component Versions (P_SWCOMP)</w:t>
      </w:r>
    </w:p>
    <w:p>
      <w:pPr>
        <w:spacing w:after="120"/>
      </w:pPr>
      <w:r>
        <w:rPr>
          <w:rFonts w:ascii="Calibri" w:cs="Calibri" w:eastAsia="Calibri" w:hAnsi="Calibri"/>
          <w:b/>
          <w:bCs/>
          <w:sz w:val="21"/>
          <w:szCs w:val="21"/>
        </w:rPr>
        <w:t xml:space="preserve">What: </w:t>
      </w:r>
      <w:r>
        <w:rPr>
          <w:rFonts w:ascii="Calibri" w:cs="Calibri" w:eastAsia="Calibri" w:hAnsi="Calibri"/>
          <w:sz w:val="21"/>
          <w:szCs w:val="21"/>
        </w:rPr>
        <w:t xml:space="preserve">When source and target systems are on different support-package levels, this check identifies critical objects in the transport that belong to inconsistent software components and should not be imported (typical example: objects delivered by SAP Notes). For customizing objects it additionally compares whether the TABLE STRUCTURE of the affected table differs between reference and target system.</w:t>
      </w:r>
    </w:p>
    <w:p>
      <w:pPr>
        <w:spacing w:after="120"/>
      </w:pPr>
      <w:r>
        <w:rPr>
          <w:rFonts w:ascii="Calibri" w:cs="Calibri" w:eastAsia="Calibri" w:hAnsi="Calibri"/>
          <w:b/>
          <w:bCs/>
          <w:sz w:val="21"/>
          <w:szCs w:val="21"/>
        </w:rPr>
        <w:t xml:space="preserve">How: </w:t>
      </w:r>
      <w:r>
        <w:rPr>
          <w:rFonts w:ascii="Calibri" w:cs="Calibri" w:eastAsia="Calibri" w:hAnsi="Calibri"/>
          <w:sz w:val="21"/>
          <w:szCs w:val="21"/>
        </w:rPr>
        <w:t xml:space="preserve">CALL FUNCTION ‘/SDF/TEAP_SCV_CHECK’ (classic) or ‘/SDF/TEAP_CROSS_RELEASE_CHECK’ (enhanced — selected when config parameter CR_ENH is set in /SDF/CMO_TR_CONF). Both compare software component version records of the two systems and return critical objects with criticality and reason (CRIT_REASON).</w:t>
      </w:r>
    </w:p>
    <w:p>
      <w:pPr>
        <w:pStyle w:val="Heading2"/>
        <w:spacing w:after="110" w:before="220"/>
      </w:pPr>
      <w:r>
        <w:rPr>
          <w:b/>
          <w:bCs/>
          <w:color w:val="1F4E79"/>
        </w:rPr>
        <w:t xml:space="preserve">2.4 Import Time in Source System (P_IMPTIM)</w:t>
      </w:r>
    </w:p>
    <w:p>
      <w:pPr>
        <w:spacing w:after="120"/>
      </w:pPr>
      <w:r>
        <w:rPr>
          <w:rFonts w:ascii="Calibri" w:cs="Calibri" w:eastAsia="Calibri" w:hAnsi="Calibri"/>
          <w:b/>
          <w:bCs/>
          <w:sz w:val="21"/>
          <w:szCs w:val="21"/>
        </w:rPr>
        <w:t xml:space="preserve">What: </w:t>
      </w:r>
      <w:r>
        <w:rPr>
          <w:rFonts w:ascii="Calibri" w:cs="Calibri" w:eastAsia="Calibri" w:hAnsi="Calibri"/>
          <w:sz w:val="21"/>
          <w:szCs w:val="21"/>
        </w:rPr>
        <w:t xml:space="preserve">Sums up how long each selected transport took to import in the source system (which should be a test system where the requests were already imported): begin time, end time, total duration and the longest import step. This estimates the expected import duration in production.</w:t>
      </w:r>
    </w:p>
    <w:p>
      <w:pPr>
        <w:spacing w:after="120"/>
      </w:pPr>
      <w:r>
        <w:rPr>
          <w:rFonts w:ascii="Calibri" w:cs="Calibri" w:eastAsia="Calibri" w:hAnsi="Calibri"/>
          <w:b/>
          <w:bCs/>
          <w:sz w:val="21"/>
          <w:szCs w:val="21"/>
        </w:rPr>
        <w:t xml:space="preserve">How: </w:t>
      </w:r>
      <w:r>
        <w:rPr>
          <w:rFonts w:ascii="Calibri" w:cs="Calibri" w:eastAsia="Calibri" w:hAnsi="Calibri"/>
          <w:sz w:val="21"/>
          <w:szCs w:val="21"/>
        </w:rPr>
        <w:t xml:space="preserve">CALL FUNCTION ‘/SDF/TEAP_IMPORT_TIME’ DESTINATION p_source — aggregates the transport tool logs (TPALOG) of the source system. This check is purely informational: its tab always shows the blue information icon and no red/yellow rating is applied.</w:t>
      </w:r>
    </w:p>
    <w:p>
      <w:pPr>
        <w:pStyle w:val="Heading2"/>
        <w:spacing w:after="110" w:before="220"/>
      </w:pPr>
      <w:r>
        <w:rPr>
          <w:b/>
          <w:bCs/>
          <w:color w:val="1F4E79"/>
        </w:rPr>
        <w:t xml:space="preserve">2.5 Online Import Criticality (P_OICHCK)</w:t>
      </w:r>
    </w:p>
    <w:p>
      <w:pPr>
        <w:spacing w:after="120"/>
      </w:pPr>
      <w:r>
        <w:rPr>
          <w:rFonts w:ascii="Calibri" w:cs="Calibri" w:eastAsia="Calibri" w:hAnsi="Calibri"/>
          <w:b/>
          <w:bCs/>
          <w:sz w:val="21"/>
          <w:szCs w:val="21"/>
        </w:rPr>
        <w:t xml:space="preserve">What: </w:t>
      </w:r>
      <w:r>
        <w:rPr>
          <w:rFonts w:ascii="Calibri" w:cs="Calibri" w:eastAsia="Calibri" w:hAnsi="Calibri"/>
          <w:sz w:val="21"/>
          <w:szCs w:val="21"/>
        </w:rPr>
        <w:t xml:space="preserve">Estimates how risky it is to import the transport while end users are working in production. It determines the dependent objects of the transported objects and evaluates their production usage profile: table reads per hour, table writes per hour, table size (KB), pending DB action, report executions per hour, executions affected by DDIC changes, and whether the object is on the manual critical-object list /SDF/OI_CRITOBJ maintained in production.</w:t>
      </w:r>
    </w:p>
    <w:p>
      <w:pPr>
        <w:spacing w:after="120"/>
      </w:pPr>
      <w:r>
        <w:rPr>
          <w:rFonts w:ascii="Calibri" w:cs="Calibri" w:eastAsia="Calibri" w:hAnsi="Calibri"/>
          <w:b/>
          <w:bCs/>
          <w:sz w:val="21"/>
          <w:szCs w:val="21"/>
        </w:rPr>
        <w:t xml:space="preserve">How: </w:t>
      </w:r>
      <w:r>
        <w:rPr>
          <w:rFonts w:ascii="Calibri" w:cs="Calibri" w:eastAsia="Calibri" w:hAnsi="Calibri"/>
          <w:sz w:val="21"/>
          <w:szCs w:val="21"/>
        </w:rPr>
        <w:t xml:space="preserve">CALL FUNCTION ‘/SDF/OI_CHECK’. Prerequisite: usage statistics (Usage and Procedure Logging, table call statistics, report execution statistics) must have been collected in the production system for about one week via report /SDF/OI_ADMIN. Criticality is then rated locally in FORM add_criticality against configurable thresholds (see section 3.6). Drill-down goes from transport → object detail → hour-of-day × day-of-week usage heat maps (/SDF/OI_READ_TABSTAT, /SDF/OI_READ_REPSTAT).</w:t>
      </w:r>
    </w:p>
    <w:p>
      <w:r>
        <w:br w:type="page"/>
      </w:r>
    </w:p>
    <w:p>
      <w:pPr>
        <w:pStyle w:val="Heading1"/>
        <w:spacing w:after="140" w:before="280"/>
      </w:pPr>
      <w:r>
        <w:rPr>
          <w:b/>
          <w:bCs/>
          <w:color w:val="1F4E79"/>
        </w:rPr>
        <w:t xml:space="preserve">3. How the Checking Works (Mechanism)</w:t>
      </w:r>
    </w:p>
    <w:p>
      <w:pPr>
        <w:pStyle w:val="Heading2"/>
        <w:spacing w:after="110" w:before="220"/>
      </w:pPr>
      <w:r>
        <w:rPr>
          <w:b/>
          <w:bCs/>
          <w:color w:val="1F4E79"/>
        </w:rPr>
        <w:t xml:space="preserve">3.1 Architecture: RFC delegation, not local parsing</w:t>
      </w:r>
    </w:p>
    <w:p>
      <w:pPr>
        <w:spacing w:after="120"/>
      </w:pPr>
      <w:r>
        <w:rPr>
          <w:rFonts w:ascii="Calibri" w:cs="Calibri" w:eastAsia="Calibri" w:hAnsi="Calibri"/>
          <w:sz w:val="21"/>
          <w:szCs w:val="21"/>
        </w:rPr>
        <w:t xml:space="preserve">The report never parses or reads ABAP source code itself. It builds the list of transport requests, calls one remote analysis function module per selected check, post-processes the returned result tables (adds transport status/owner/CTS project/short text via /SDF/CMO_GET_TRANSPORT_TEXTS, converts timestamps to UTC, counts critical rows) and displays them. All intelligence sits in the ST-PI function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200"/>
      </w:tblGrid>
      <w:tr>
        <w:trPr>
          <w:tblHeader/>
        </w:trPr>
        <w:tc>
          <w:tcPr>
            <w:tcW w:type="dxa" w:w="27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33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Analysis Function Module</w:t>
            </w:r>
          </w:p>
        </w:tc>
        <w:tc>
          <w:tcPr>
            <w:tcW w:type="dxa" w:w="32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Compares</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Cross Reference</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/SDF/TEAP_ENVI_ANA</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Existence + version stamps of referenced objects (source vs target)</w:t>
            </w:r>
          </w:p>
        </w:tc>
      </w:tr>
      <w:tr>
        <w:tc>
          <w:tcPr>
            <w:tcW w:type="dxa" w:w="27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Sequence Check</w:t>
            </w:r>
          </w:p>
        </w:tc>
        <w:tc>
          <w:tcPr>
            <w:tcW w:type="dxa" w:w="33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/SDF/TEAP_DOWNGRADE_PROTECT</w:t>
            </w:r>
          </w:p>
        </w:tc>
        <w:tc>
          <w:tcPr>
            <w:tcW w:type="dxa" w:w="3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Object keys / customizing table keys + export &amp; import timestamps</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Cross Release</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/SDF/TEAP_SCV_CHECK or /SDF/TEAP_CROSS_RELEASE_CHECK</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Software component / SP levels; customizing table structures</w:t>
            </w:r>
          </w:p>
        </w:tc>
      </w:tr>
      <w:tr>
        <w:tc>
          <w:tcPr>
            <w:tcW w:type="dxa" w:w="27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Import Time</w:t>
            </w:r>
          </w:p>
        </w:tc>
        <w:tc>
          <w:tcPr>
            <w:tcW w:type="dxa" w:w="33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/SDF/TEAP_IMPORT_TIME</w:t>
            </w:r>
          </w:p>
        </w:tc>
        <w:tc>
          <w:tcPr>
            <w:tcW w:type="dxa" w:w="3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Nothing — aggregates TPALOG import logs of the source system</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Online Import</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/SDF/OI_CHECK</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Nothing — joins transported objects with production usage statistics</w:t>
            </w:r>
          </w:p>
        </w:tc>
      </w:tr>
    </w:tbl>
    <w:p>
      <w:pPr>
        <w:pStyle w:val="Heading2"/>
        <w:spacing w:after="110" w:before="220"/>
      </w:pPr>
      <w:r>
        <w:rPr>
          <w:b/>
          <w:bCs/>
          <w:color w:val="1F4E79"/>
        </w:rPr>
        <w:t xml:space="preserve">3.2 Version comparison — NOT code comparison</w:t>
      </w:r>
    </w:p>
    <w:p>
      <w:pPr>
        <w:spacing w:after="120"/>
      </w:pPr>
      <w:r>
        <w:rPr>
          <w:rFonts w:ascii="Calibri" w:cs="Calibri" w:eastAsia="Calibri" w:hAnsi="Calibri"/>
          <w:sz w:val="21"/>
          <w:szCs w:val="21"/>
        </w:rPr>
        <w:t xml:space="preserve">The automated checks compare VERSION METADATA (version management stamps, delivering transport, existence in target), never the source text line by line. An actual code comparison is available only interactively: double-clicking a referenced object in the Cross Reference grid calls /SDF/TEAP_SHOW_OBJECT_VERSIONS, which opens SAP’s standard version-management comparison between the two systems for that single object. This is an on-demand display for a human reviewer, not part of the automated analysis — which is also why the tool is fast enough to check a whole import queue.</w:t>
      </w:r>
    </w:p>
    <w:p>
      <w:pPr>
        <w:pStyle w:val="Heading2"/>
        <w:spacing w:after="110" w:before="220"/>
      </w:pPr>
      <w:r>
        <w:rPr>
          <w:b/>
          <w:bCs/>
          <w:color w:val="1F4E79"/>
        </w:rPr>
        <w:t xml:space="preserve">3.3 Authorization gates (three layers)</w:t>
      </w:r>
    </w:p>
    <w:p>
      <w:pPr>
        <w:pStyle w:val="ListParagraph"/>
        <w:numPr>
          <w:ilvl w:val="0"/>
          <w:numId w:val="2"/>
        </w:numPr>
        <w:spacing w:after="80"/>
      </w:pPr>
      <w:r>
        <w:rPr>
          <w:rFonts w:ascii="Calibri" w:cs="Calibri" w:eastAsia="Calibri" w:hAnsi="Calibri"/>
          <w:b/>
          <w:bCs/>
          <w:sz w:val="21"/>
          <w:szCs w:val="21"/>
        </w:rPr>
        <w:t xml:space="preserve">Program start: </w:t>
      </w:r>
      <w:r>
        <w:rPr>
          <w:rFonts w:ascii="Calibri" w:cs="Calibri" w:eastAsia="Calibri" w:hAnsi="Calibri"/>
          <w:sz w:val="21"/>
          <w:szCs w:val="21"/>
        </w:rPr>
        <w:t xml:space="preserve">AUTHORITY-CHECK OBJECT ‘S_TRANSPRT’ ACTVT 03 — without display authorization for transports the program terminates with "Missing Authorizations".</w:t>
      </w:r>
    </w:p>
    <w:p>
      <w:pPr>
        <w:pStyle w:val="ListParagraph"/>
        <w:numPr>
          <w:ilvl w:val="0"/>
          <w:numId w:val="2"/>
        </w:numPr>
        <w:spacing w:after="80"/>
      </w:pPr>
      <w:r>
        <w:rPr>
          <w:rFonts w:ascii="Calibri" w:cs="Calibri" w:eastAsia="Calibri" w:hAnsi="Calibri"/>
          <w:b/>
          <w:bCs/>
          <w:sz w:val="21"/>
          <w:szCs w:val="21"/>
        </w:rPr>
        <w:t xml:space="preserve">RFC destinations: </w:t>
      </w:r>
      <w:r>
        <w:rPr>
          <w:rFonts w:ascii="Calibri" w:cs="Calibri" w:eastAsia="Calibri" w:hAnsi="Calibri"/>
          <w:sz w:val="21"/>
          <w:szCs w:val="21"/>
        </w:rPr>
        <w:t xml:space="preserve">FORM check_system_information validates both destinations with RFC_READ_R3_DESTINATION, a dialog test logon (/SDF/OCS_GET_INFO) and RFC_SYSTEM_INFO (captures remote SID and client). Any failure aborts the run.</w:t>
      </w:r>
    </w:p>
    <w:p>
      <w:pPr>
        <w:pStyle w:val="ListParagraph"/>
        <w:numPr>
          <w:ilvl w:val="0"/>
          <w:numId w:val="2"/>
        </w:numPr>
        <w:spacing w:after="80"/>
      </w:pPr>
      <w:r>
        <w:rPr>
          <w:rFonts w:ascii="Calibri" w:cs="Calibri" w:eastAsia="Calibri" w:hAnsi="Calibri"/>
          <w:b/>
          <w:bCs/>
          <w:sz w:val="21"/>
          <w:szCs w:val="21"/>
        </w:rPr>
        <w:t xml:space="preserve">Per check: </w:t>
      </w:r>
      <w:r>
        <w:rPr>
          <w:rFonts w:ascii="Calibri" w:cs="Calibri" w:eastAsia="Calibri" w:hAnsi="Calibri"/>
          <w:sz w:val="21"/>
          <w:szCs w:val="21"/>
        </w:rPr>
        <w:t xml:space="preserve">FORM check_authorization runs the standard FM AUTHORITY_CHECK remotely on each RFC user for object S_RFC (ACTVT 16) with the name of the analysis FM to be called. Failures are listed in a "Check Prerequisites" popup (SALV) with a red light and the check is skipped. The Solution Manager READ profile / user SM_&lt;SID&gt; is sufficient (SAP Note 1830640).</w:t>
      </w:r>
    </w:p>
    <w:p>
      <w:pPr>
        <w:pStyle w:val="Heading2"/>
        <w:spacing w:after="110" w:before="220"/>
      </w:pPr>
      <w:r>
        <w:rPr>
          <w:b/>
          <w:bCs/>
          <w:color w:val="1F4E79"/>
        </w:rPr>
        <w:t xml:space="preserve">3.4 Transport selection</w:t>
      </w:r>
    </w:p>
    <w:p>
      <w:pPr>
        <w:pStyle w:val="ListParagraph"/>
        <w:numPr>
          <w:ilvl w:val="0"/>
          <w:numId w:val="2"/>
        </w:numPr>
        <w:spacing w:after="80"/>
      </w:pPr>
      <w:r>
        <w:rPr>
          <w:rFonts w:ascii="Calibri" w:cs="Calibri" w:eastAsia="Calibri" w:hAnsi="Calibri"/>
          <w:sz w:val="21"/>
          <w:szCs w:val="21"/>
        </w:rPr>
        <w:t xml:space="preserve">Explicit list of transport requests (select-option P_ORI_TR), or</w:t>
      </w:r>
    </w:p>
    <w:p>
      <w:pPr>
        <w:pStyle w:val="ListParagraph"/>
        <w:numPr>
          <w:ilvl w:val="0"/>
          <w:numId w:val="2"/>
        </w:numPr>
        <w:spacing w:after="80"/>
      </w:pPr>
      <w:r>
        <w:rPr>
          <w:rFonts w:ascii="Calibri" w:cs="Calibri" w:eastAsia="Calibri" w:hAnsi="Calibri"/>
          <w:sz w:val="21"/>
          <w:szCs w:val="21"/>
        </w:rPr>
        <w:t xml:space="preserve">Import queue of the target system / of a named system+client: /SDF/TEAP_READ_TRANSPORT_QUEUE reads the TMS buffer and keeps only entries waiting for import (import flags 1, c, e, k, o, t, w), filtered by target client (‘*’ = all clients, not allowed together with the sequence check).</w:t>
      </w:r>
    </w:p>
    <w:p>
      <w:pPr>
        <w:pStyle w:val="Heading2"/>
        <w:spacing w:after="110" w:before="220"/>
      </w:pPr>
      <w:r>
        <w:rPr>
          <w:b/>
          <w:bCs/>
          <w:color w:val="1F4E79"/>
        </w:rPr>
        <w:t xml:space="preserve">3.5 Object-type handling (classes, function groups, screens …)</w:t>
      </w:r>
    </w:p>
    <w:p>
      <w:pPr>
        <w:spacing w:after="120"/>
      </w:pPr>
      <w:r>
        <w:rPr>
          <w:rFonts w:ascii="Calibri" w:cs="Calibri" w:eastAsia="Calibri" w:hAnsi="Calibri"/>
          <w:sz w:val="21"/>
          <w:szCs w:val="21"/>
        </w:rPr>
        <w:t xml:space="preserve">The transport object list (E071 entries: PGMID / OBJECT / OBJ_NAME) is passed through as-is; the report applies naming-convention logic only where object types need translation for display, version comparison or statistics lookup: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500"/>
      </w:tblGrid>
      <w:tr>
        <w:trPr>
          <w:tblHeader/>
        </w:trPr>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42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Treatment in the report</w:t>
            </w:r>
          </w:p>
        </w:tc>
        <w:tc>
          <w:tcPr>
            <w:tcW w:type="dxa" w:w="35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Used for</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PROG</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 name used unchanged</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Execution statistics, navigation</w:t>
            </w:r>
          </w:p>
        </w:tc>
      </w:tr>
      <w:tr>
        <w:tc>
          <w:tcPr>
            <w:tcW w:type="dxa" w:w="1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w:t>
            </w:r>
          </w:p>
        </w:tc>
        <w:tc>
          <w:tcPr>
            <w:tcW w:type="dxa" w:w="4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Converted to class-pool load name: class name padded with ‘=’ to 30 characters + ‘CP’ (e.g. ZCL_FOO=====================CP)</w:t>
            </w:r>
          </w:p>
        </w:tc>
        <w:tc>
          <w:tcPr>
            <w:tcW w:type="dxa" w:w="3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 execution statistics (/SDF/OI_READ_REPSTAT)</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METH</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Stored as "CLASSNAME METHODNAME"; split at space; navigated as workbench type OM with the class as enclosing object (chars 0–29 = class, 30+ = method)</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Version display, remote navigation (RS_TOOL_ACCESS_REMOTE)</w:t>
            </w:r>
          </w:p>
        </w:tc>
      </w:tr>
      <w:tr>
        <w:tc>
          <w:tcPr>
            <w:tcW w:type="dxa" w:w="1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ATRB</w:t>
            </w:r>
          </w:p>
        </w:tc>
        <w:tc>
          <w:tcPr>
            <w:tcW w:type="dxa" w:w="4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Class attribute — same 30-character split, workbench type OA</w:t>
            </w:r>
          </w:p>
        </w:tc>
        <w:tc>
          <w:tcPr>
            <w:tcW w:type="dxa" w:w="3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Remote navigation</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FUNC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Remapped to its function group (FUGR)</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Version display</w:t>
            </w:r>
          </w:p>
        </w:tc>
      </w:tr>
      <w:tr>
        <w:tc>
          <w:tcPr>
            <w:tcW w:type="dxa" w:w="1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FUGR / FUGS</w:t>
            </w:r>
          </w:p>
        </w:tc>
        <w:tc>
          <w:tcPr>
            <w:tcW w:type="dxa" w:w="4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Converted to master program SAPL&lt;group&gt;, namespace-aware via TRINT_SPLIT_OBJECT</w:t>
            </w:r>
          </w:p>
        </w:tc>
        <w:tc>
          <w:tcPr>
            <w:tcW w:type="dxa" w:w="3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Execution statistics</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DYNP</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Split into program name + screen number</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Version display</w:t>
            </w:r>
          </w:p>
        </w:tc>
      </w:tr>
      <w:tr>
        <w:tc>
          <w:tcPr>
            <w:tcW w:type="dxa" w:w="1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TABL</w:t>
            </w:r>
          </w:p>
        </w:tc>
        <w:tc>
          <w:tcPr>
            <w:tcW w:type="dxa" w:w="4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name used for read/write/size statistics (/SDF/OI_READ_TABSTAT)</w:t>
            </w:r>
          </w:p>
        </w:tc>
        <w:tc>
          <w:tcPr>
            <w:tcW w:type="dxa" w:w="3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Online import check</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Customizing</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Identified by table name + table key (CONFLICT_TABLE / CONFLICT_TABKEY)</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Sequence + cross-release checks</w:t>
            </w:r>
          </w:p>
        </w:tc>
      </w:tr>
    </w:tbl>
    <w:p>
      <w:pPr>
        <w:pStyle w:val="Heading2"/>
        <w:spacing w:after="110" w:before="220"/>
      </w:pPr>
      <w:r>
        <w:rPr>
          <w:b/>
          <w:bCs/>
          <w:color w:val="1F4E79"/>
        </w:rPr>
        <w:t xml:space="preserve">3.6 Severity rating and thresholds</w:t>
      </w:r>
    </w:p>
    <w:p>
      <w:pPr>
        <w:spacing w:after="120"/>
      </w:pPr>
      <w:r>
        <w:rPr>
          <w:rFonts w:ascii="Calibri" w:cs="Calibri" w:eastAsia="Calibri" w:hAnsi="Calibri"/>
          <w:sz w:val="21"/>
          <w:szCs w:val="21"/>
        </w:rPr>
        <w:t xml:space="preserve">Severity icons: @8N@/@0A@ = red (very critical), @AH@/@09@ = yellow (critical), @08@ = green (OK). Each result tab shows the worst severity found; a failed function module forces the tab to red. For the Online Import check the report classifies each object itself (FORM add_criticality) with thresholds that can be overridden in config table /SDF/CMO_TR_CONF: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800"/>
      </w:tblGrid>
      <w:tr>
        <w:trPr>
          <w:tblHeader/>
        </w:trPr>
        <w:tc>
          <w:tcPr>
            <w:tcW w:type="dxa" w:w="32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Measure (per hour / KB)</w:t>
            </w:r>
          </w:p>
        </w:tc>
        <w:tc>
          <w:tcPr>
            <w:tcW w:type="dxa" w:w="21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Yellow from</w:t>
            </w:r>
          </w:p>
        </w:tc>
        <w:tc>
          <w:tcPr>
            <w:tcW w:type="dxa" w:w="21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Red from</w:t>
            </w:r>
          </w:p>
        </w:tc>
        <w:tc>
          <w:tcPr>
            <w:tcW w:type="dxa" w:w="18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Config params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reads per hour</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10,000</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100,000</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TABREADS_Y / _R</w:t>
            </w:r>
          </w:p>
        </w:tc>
      </w:tr>
      <w:tr>
        <w:tc>
          <w:tcPr>
            <w:tcW w:type="dxa" w:w="3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writes per hour</w:t>
            </w:r>
          </w:p>
        </w:tc>
        <w:tc>
          <w:tcPr>
            <w:tcW w:type="dxa" w:w="21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w:t>
            </w:r>
          </w:p>
        </w:tc>
        <w:tc>
          <w:tcPr>
            <w:tcW w:type="dxa" w:w="21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w:t>
            </w:r>
          </w:p>
        </w:tc>
        <w:tc>
          <w:tcPr>
            <w:tcW w:type="dxa" w:w="18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TABWRITE_Y / _R</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size KB (only with pending DB action)</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100,000</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600,000</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TABSIZE_Y / _R</w:t>
            </w:r>
          </w:p>
        </w:tc>
      </w:tr>
      <w:tr>
        <w:tc>
          <w:tcPr>
            <w:tcW w:type="dxa" w:w="32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 executions per hour</w:t>
            </w:r>
          </w:p>
        </w:tc>
        <w:tc>
          <w:tcPr>
            <w:tcW w:type="dxa" w:w="21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5,000,000</w:t>
            </w:r>
          </w:p>
        </w:tc>
        <w:tc>
          <w:tcPr>
            <w:tcW w:type="dxa" w:w="21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50,000,000</w:t>
            </w:r>
          </w:p>
        </w:tc>
        <w:tc>
          <w:tcPr>
            <w:tcW w:type="dxa" w:w="18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REPEXE_Y / _R</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Executions affected by DDIC changes</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1,000,000</w:t>
            </w:r>
          </w:p>
        </w:tc>
        <w:tc>
          <w:tcPr>
            <w:tcW w:type="dxa" w:w="2100"/>
            <w:tcMar>
              <w:top w:type="dxa" w:w="60"/>
              <w:left w:type="dxa" w:w="100"/>
              <w:bottom w:type="dxa" w:w="60"/>
              <w:right w:type="dxa" w:w="100"/>
            </w:tcMar>
          </w:tcPr>
          <w:p>
            <w:r>
              <w:rPr>
                <w:rFonts w:ascii="Calibri" w:cs="Calibri" w:eastAsia="Calibri" w:hAnsi="Calibri"/>
                <w:b w:val="false"/>
                <w:bCs w:val="false"/>
                <w:color w:val="000000"/>
                <w:sz w:val="19"/>
                <w:szCs w:val="19"/>
              </w:rPr>
              <w:t xml:space="preserve">10,000,000</w:t>
            </w:r>
          </w:p>
        </w:tc>
        <w:tc>
          <w:tcPr>
            <w:tcW w:type="dxa" w:w="1800"/>
            <w:tcMar>
              <w:top w:type="dxa" w:w="60"/>
              <w:left w:type="dxa" w:w="100"/>
              <w:bottom w:type="dxa" w:w="60"/>
              <w:right w:type="dxa" w:w="100"/>
            </w:tcMar>
          </w:tcPr>
          <w:p>
            <w:r>
              <w:rPr>
                <w:rFonts w:ascii="Calibri" w:cs="Calibri" w:eastAsia="Calibri" w:hAnsi="Calibri"/>
                <w:b w:val="false"/>
                <w:bCs w:val="false"/>
                <w:color w:val="000000"/>
                <w:sz w:val="19"/>
                <w:szCs w:val="19"/>
              </w:rPr>
              <w:t xml:space="preserve">REPEXEDD_Y / _R</w:t>
            </w:r>
          </w:p>
        </w:tc>
      </w:tr>
    </w:tbl>
    <w:p>
      <w:pPr>
        <w:spacing w:after="120"/>
      </w:pPr>
      <w:r>
        <w:rPr>
          <w:rFonts w:ascii="Calibri" w:cs="Calibri" w:eastAsia="Calibri" w:hAnsi="Calibri"/>
          <w:sz w:val="21"/>
          <w:szCs w:val="21"/>
        </w:rPr>
        <w:t xml:space="preserve">An object flagged in /SDF/OI_CRITOBJ (manual critical-object list in production) is always rated red regardless of thresholds. The same thresholds colour the hour-by-day heat-map cells green/yellow/red in the drill-down.</w:t>
      </w:r>
    </w:p>
    <w:p>
      <w:pPr>
        <w:pStyle w:val="Heading2"/>
        <w:spacing w:after="110" w:before="220"/>
      </w:pPr>
      <w:r>
        <w:rPr>
          <w:b/>
          <w:bCs/>
          <w:color w:val="1F4E79"/>
        </w:rPr>
        <w:t xml:space="preserve">3.7 Results, history and background mode</w:t>
      </w:r>
    </w:p>
    <w:p>
      <w:pPr>
        <w:pStyle w:val="ListParagraph"/>
        <w:numPr>
          <w:ilvl w:val="0"/>
          <w:numId w:val="2"/>
        </w:numPr>
        <w:spacing w:after="80"/>
      </w:pPr>
      <w:r>
        <w:rPr>
          <w:rFonts w:ascii="Calibri" w:cs="Calibri" w:eastAsia="Calibri" w:hAnsi="Calibri"/>
          <w:sz w:val="21"/>
          <w:szCs w:val="21"/>
        </w:rPr>
        <w:t xml:space="preserve">Dialog: screen 1002 with one tab per check (only selected checks are visible), ALV grids with saveable layout variants, double-click drill-down into transports, objects, version comparison and usage heat maps.</w:t>
      </w:r>
    </w:p>
    <w:p>
      <w:pPr>
        <w:pStyle w:val="ListParagraph"/>
        <w:numPr>
          <w:ilvl w:val="0"/>
          <w:numId w:val="2"/>
        </w:numPr>
        <w:spacing w:after="80"/>
      </w:pPr>
      <w:r>
        <w:rPr>
          <w:rFonts w:ascii="Calibri" w:cs="Calibri" w:eastAsia="Calibri" w:hAnsi="Calibri"/>
          <w:sz w:val="21"/>
          <w:szCs w:val="21"/>
        </w:rPr>
        <w:t xml:space="preserve">Save Results (P_CHKBOX): all check results are collected first and saved once at the end (FORM save_work, single COMMIT) under a new run number: /SDF/HIST_RUN_DB (run header incl. per-check critical counts and S/F status flags), /SDF/HIST_REQ (checked requests), /SDF/ENV_RESL_DB, /SDF/DGP_RESL_DB, /SDF/SCV_RESL_DB, /SDF/IMP_RESL_DB, /SDF/OI_RESL_DB, /SDF/OI_RESULT_2. History is browsed with report /SDF/CMO_TR_CHECK_HISTORY.</w:t>
      </w:r>
    </w:p>
    <w:p>
      <w:pPr>
        <w:pStyle w:val="ListParagraph"/>
        <w:numPr>
          <w:ilvl w:val="0"/>
          <w:numId w:val="2"/>
        </w:numPr>
        <w:spacing w:after="80"/>
      </w:pPr>
      <w:r>
        <w:rPr>
          <w:rFonts w:ascii="Calibri" w:cs="Calibri" w:eastAsia="Calibri" w:hAnsi="Calibri"/>
          <w:sz w:val="21"/>
          <w:szCs w:val="21"/>
        </w:rPr>
        <w:t xml:space="preserve">Background (sy-batch = X): no GUI objects are created and screen 1002 is skipped; every function-module exception is written to the job log as an explicit message — batch runs are effectively "save to history only".</w:t>
      </w:r>
    </w:p>
    <w:p>
      <w:r>
        <w:br w:type="page"/>
      </w:r>
    </w:p>
    <w:p>
      <w:pPr>
        <w:pStyle w:val="Heading1"/>
        <w:spacing w:after="140" w:before="280"/>
      </w:pPr>
      <w:r>
        <w:rPr>
          <w:b/>
          <w:bCs/>
          <w:color w:val="1F4E79"/>
        </w:rPr>
        <w:t xml:space="preserve">4. What It Does NOT Check</w:t>
      </w:r>
    </w:p>
    <w:p>
      <w:pPr>
        <w:spacing w:after="120"/>
      </w:pPr>
      <w:r>
        <w:rPr>
          <w:rFonts w:ascii="Calibri" w:cs="Calibri" w:eastAsia="Calibri" w:hAnsi="Calibri"/>
          <w:sz w:val="21"/>
          <w:szCs w:val="21"/>
        </w:rPr>
        <w:t xml:space="preserve">The following are explicitly outside the scope of this tool, either by design or visible as gaps in the source code. Knowing these prevents a false sense of security when a run comes back "all green".</w:t>
      </w:r>
    </w:p>
    <w:p>
      <w:pPr>
        <w:pStyle w:val="Heading2"/>
        <w:spacing w:after="110" w:before="220"/>
      </w:pPr>
      <w:r>
        <w:rPr>
          <w:b/>
          <w:bCs/>
          <w:color w:val="1F4E79"/>
        </w:rPr>
        <w:t xml:space="preserve">4.1 No source-code content comparison</w:t>
      </w:r>
    </w:p>
    <w:p>
      <w:pPr>
        <w:pStyle w:val="ListParagraph"/>
        <w:numPr>
          <w:ilvl w:val="0"/>
          <w:numId w:val="2"/>
        </w:numPr>
        <w:spacing w:after="80"/>
      </w:pPr>
      <w:r>
        <w:rPr>
          <w:rFonts w:ascii="Calibri" w:cs="Calibri" w:eastAsia="Calibri" w:hAnsi="Calibri"/>
          <w:sz w:val="21"/>
          <w:szCs w:val="21"/>
        </w:rPr>
        <w:t xml:space="preserve">The automated checks never diff ABAP source text. "Version differs" means the version-management stamps differ — the tool does not tell you WHAT changed inside the code. A real code diff is available only manually per object via double-click (/SDF/TEAP_SHOW_OBJECT_VERSIONS).</w:t>
      </w:r>
    </w:p>
    <w:p>
      <w:pPr>
        <w:pStyle w:val="ListParagraph"/>
        <w:numPr>
          <w:ilvl w:val="0"/>
          <w:numId w:val="2"/>
        </w:numPr>
        <w:spacing w:after="80"/>
      </w:pPr>
      <w:r>
        <w:rPr>
          <w:rFonts w:ascii="Calibri" w:cs="Calibri" w:eastAsia="Calibri" w:hAnsi="Calibri"/>
          <w:sz w:val="21"/>
          <w:szCs w:val="21"/>
        </w:rPr>
        <w:t xml:space="preserve">Two objects with identical code but different version stamps are flagged; conversely, content differences that never went through version management are invisible.</w:t>
      </w:r>
    </w:p>
    <w:p>
      <w:pPr>
        <w:pStyle w:val="Heading2"/>
        <w:spacing w:after="110" w:before="220"/>
      </w:pPr>
      <w:r>
        <w:rPr>
          <w:b/>
          <w:bCs/>
          <w:color w:val="1F4E79"/>
        </w:rPr>
        <w:t xml:space="preserve">4.2 No code quality, syntax or security analysis</w:t>
      </w:r>
    </w:p>
    <w:p>
      <w:pPr>
        <w:pStyle w:val="ListParagraph"/>
        <w:numPr>
          <w:ilvl w:val="0"/>
          <w:numId w:val="2"/>
        </w:numPr>
        <w:spacing w:after="80"/>
      </w:pPr>
      <w:r>
        <w:rPr>
          <w:rFonts w:ascii="Calibri" w:cs="Calibri" w:eastAsia="Calibri" w:hAnsi="Calibri"/>
          <w:sz w:val="21"/>
          <w:szCs w:val="21"/>
        </w:rPr>
        <w:t xml:space="preserve">No syntax check, no activation check and no simulation of whether the objects will activate successfully in the target system.</w:t>
      </w:r>
    </w:p>
    <w:p>
      <w:pPr>
        <w:pStyle w:val="ListParagraph"/>
        <w:numPr>
          <w:ilvl w:val="0"/>
          <w:numId w:val="2"/>
        </w:numPr>
        <w:spacing w:after="80"/>
      </w:pPr>
      <w:r>
        <w:rPr>
          <w:rFonts w:ascii="Calibri" w:cs="Calibri" w:eastAsia="Calibri" w:hAnsi="Calibri"/>
          <w:sz w:val="21"/>
          <w:szCs w:val="21"/>
        </w:rPr>
        <w:t xml:space="preserve">No ATC / Code Inspector / extended program check, no performance-of-the-code analysis and no security or authorization-concept scan of the transported code.</w:t>
      </w:r>
    </w:p>
    <w:p>
      <w:pPr>
        <w:pStyle w:val="ListParagraph"/>
        <w:numPr>
          <w:ilvl w:val="0"/>
          <w:numId w:val="2"/>
        </w:numPr>
        <w:spacing w:after="80"/>
      </w:pPr>
      <w:r>
        <w:rPr>
          <w:rFonts w:ascii="Calibri" w:cs="Calibri" w:eastAsia="Calibri" w:hAnsi="Calibri"/>
          <w:sz w:val="21"/>
          <w:szCs w:val="21"/>
        </w:rPr>
        <w:t xml:space="preserve">No execution of unit tests and no validation of business logic — the tool predicts import problems, not functional correctness.</w:t>
      </w:r>
    </w:p>
    <w:p>
      <w:pPr>
        <w:pStyle w:val="Heading2"/>
        <w:spacing w:after="110" w:before="220"/>
      </w:pPr>
      <w:r>
        <w:rPr>
          <w:b/>
          <w:bCs/>
          <w:color w:val="1F4E79"/>
        </w:rPr>
        <w:t xml:space="preserve">4.3 No real import simulation</w:t>
      </w:r>
    </w:p>
    <w:p>
      <w:pPr>
        <w:pStyle w:val="ListParagraph"/>
        <w:numPr>
          <w:ilvl w:val="0"/>
          <w:numId w:val="2"/>
        </w:numPr>
        <w:spacing w:after="80"/>
      </w:pPr>
      <w:r>
        <w:rPr>
          <w:rFonts w:ascii="Calibri" w:cs="Calibri" w:eastAsia="Calibri" w:hAnsi="Calibri"/>
          <w:sz w:val="21"/>
          <w:szCs w:val="21"/>
        </w:rPr>
        <w:t xml:space="preserve">The tool does not run tp/R3trans test imports. It predicts risk from metadata; return codes 8/12 at import time can still occur for reasons outside its scope (e.g. objects locked, repairs, conversion errors, table content problems).</w:t>
      </w:r>
    </w:p>
    <w:p>
      <w:pPr>
        <w:pStyle w:val="ListParagraph"/>
        <w:numPr>
          <w:ilvl w:val="0"/>
          <w:numId w:val="2"/>
        </w:numPr>
        <w:spacing w:after="80"/>
      </w:pPr>
      <w:r>
        <w:rPr>
          <w:rFonts w:ascii="Calibri" w:cs="Calibri" w:eastAsia="Calibri" w:hAnsi="Calibri"/>
          <w:sz w:val="21"/>
          <w:szCs w:val="21"/>
        </w:rPr>
        <w:t xml:space="preserve">The Import Time check only reports historical durations from the source system — it does not rate them and target-system performance may differ.</w:t>
      </w:r>
    </w:p>
    <w:p>
      <w:pPr>
        <w:pStyle w:val="Heading2"/>
        <w:spacing w:after="110" w:before="220"/>
      </w:pPr>
      <w:r>
        <w:rPr>
          <w:b/>
          <w:bCs/>
          <w:color w:val="1F4E79"/>
        </w:rPr>
        <w:t xml:space="preserve">4.4 Customizing: keys and structure only, not values</w:t>
      </w:r>
    </w:p>
    <w:p>
      <w:pPr>
        <w:pStyle w:val="ListParagraph"/>
        <w:numPr>
          <w:ilvl w:val="0"/>
          <w:numId w:val="2"/>
        </w:numPr>
        <w:spacing w:after="80"/>
      </w:pPr>
      <w:r>
        <w:rPr>
          <w:rFonts w:ascii="Calibri" w:cs="Calibri" w:eastAsia="Calibri" w:hAnsi="Calibri"/>
          <w:sz w:val="21"/>
          <w:szCs w:val="21"/>
        </w:rPr>
        <w:t xml:space="preserve">The sequence check compares customizing at the level of table name + table key (who else transported this entry), and the cross-release check compares the table STRUCTURE between systems. Neither validates the customizing VALUES themselves, nor cross-client dependencies, nor whether the target configuration remains consistent after import.</w:t>
      </w:r>
    </w:p>
    <w:p>
      <w:pPr>
        <w:pStyle w:val="Heading2"/>
        <w:spacing w:after="110" w:before="220"/>
      </w:pPr>
      <w:r>
        <w:rPr>
          <w:b/>
          <w:bCs/>
          <w:color w:val="1F4E79"/>
        </w:rPr>
        <w:t xml:space="preserve">4.5 Coverage gaps visible in the source code</w:t>
      </w:r>
    </w:p>
    <w:p>
      <w:pPr>
        <w:pStyle w:val="ListParagraph"/>
        <w:numPr>
          <w:ilvl w:val="0"/>
          <w:numId w:val="2"/>
        </w:numPr>
        <w:spacing w:after="80"/>
      </w:pPr>
      <w:r>
        <w:rPr>
          <w:rFonts w:ascii="Calibri" w:cs="Calibri" w:eastAsia="Calibri" w:hAnsi="Calibri"/>
          <w:sz w:val="21"/>
          <w:szCs w:val="21"/>
        </w:rPr>
        <w:t xml:space="preserve">BW cross reference: FORM bw_crossref is EMPTY and its selection parameter (P_CRSRBW) is commented out — in this version the dedicated BW check does nothing beyond what the normal cross-reference FM covers.</w:t>
      </w:r>
    </w:p>
    <w:p>
      <w:pPr>
        <w:pStyle w:val="ListParagraph"/>
        <w:numPr>
          <w:ilvl w:val="0"/>
          <w:numId w:val="2"/>
        </w:numPr>
        <w:spacing w:after="80"/>
      </w:pPr>
      <w:r>
        <w:rPr>
          <w:rFonts w:ascii="Calibri" w:cs="Calibri" w:eastAsia="Calibri" w:hAnsi="Calibri"/>
          <w:sz w:val="21"/>
          <w:szCs w:val="21"/>
        </w:rPr>
        <w:t xml:space="preserve">Sequence check supports only workbench requests, customizing requests and transports of copies; other request types are skipped ("empty_checked_tr_list" is treated as a soft success).</w:t>
      </w:r>
    </w:p>
    <w:p>
      <w:pPr>
        <w:pStyle w:val="ListParagraph"/>
        <w:numPr>
          <w:ilvl w:val="0"/>
          <w:numId w:val="2"/>
        </w:numPr>
        <w:spacing w:after="80"/>
      </w:pPr>
      <w:r>
        <w:rPr>
          <w:rFonts w:ascii="Calibri" w:cs="Calibri" w:eastAsia="Calibri" w:hAnsi="Calibri"/>
          <w:sz w:val="21"/>
          <w:szCs w:val="21"/>
        </w:rPr>
        <w:t xml:space="preserve">Sequence check cannot run with client = ‘*’ (a single client must be chosen).</w:t>
      </w:r>
    </w:p>
    <w:p>
      <w:pPr>
        <w:pStyle w:val="ListParagraph"/>
        <w:numPr>
          <w:ilvl w:val="0"/>
          <w:numId w:val="2"/>
        </w:numPr>
        <w:spacing w:after="80"/>
      </w:pPr>
      <w:r>
        <w:rPr>
          <w:rFonts w:ascii="Calibri" w:cs="Calibri" w:eastAsia="Calibri" w:hAnsi="Calibri"/>
          <w:sz w:val="21"/>
          <w:szCs w:val="21"/>
        </w:rPr>
        <w:t xml:space="preserve">Critical-object counters stored in the history are CHAR4 fields capped at 9,999 — larger counts are truncated.</w:t>
      </w:r>
    </w:p>
    <w:p>
      <w:pPr>
        <w:pStyle w:val="ListParagraph"/>
        <w:numPr>
          <w:ilvl w:val="0"/>
          <w:numId w:val="2"/>
        </w:numPr>
        <w:spacing w:after="80"/>
      </w:pPr>
      <w:r>
        <w:rPr>
          <w:rFonts w:ascii="Calibri" w:cs="Calibri" w:eastAsia="Calibri" w:hAnsi="Calibri"/>
          <w:sz w:val="21"/>
          <w:szCs w:val="21"/>
        </w:rPr>
        <w:t xml:space="preserve">The Online Import check is only as good as the usage statistics: if UPL/table statistics were not collected (about one week) in production via /SDF/OI_ADMIN, results are empty or misleading. Statistics also cannot see future usage patterns.</w:t>
      </w:r>
    </w:p>
    <w:p>
      <w:pPr>
        <w:pStyle w:val="ListParagraph"/>
        <w:numPr>
          <w:ilvl w:val="0"/>
          <w:numId w:val="2"/>
        </w:numPr>
        <w:spacing w:after="80"/>
      </w:pPr>
      <w:r>
        <w:rPr>
          <w:rFonts w:ascii="Calibri" w:cs="Calibri" w:eastAsia="Calibri" w:hAnsi="Calibri"/>
          <w:sz w:val="21"/>
          <w:szCs w:val="21"/>
        </w:rPr>
        <w:t xml:space="preserve">Transport groups (targets starting with ‘/’) are rejected by the RFC resolution routine; the routine get_rfc is in fact currently unused (noted in a source comment).</w:t>
      </w:r>
    </w:p>
    <w:p>
      <w:pPr>
        <w:pStyle w:val="Heading2"/>
        <w:spacing w:after="110" w:before="220"/>
      </w:pPr>
      <w:r>
        <w:rPr>
          <w:b/>
          <w:bCs/>
          <w:color w:val="1F4E79"/>
        </w:rPr>
        <w:t xml:space="preserve">4.6 Other exclusions</w:t>
      </w:r>
    </w:p>
    <w:p>
      <w:pPr>
        <w:pStyle w:val="ListParagraph"/>
        <w:numPr>
          <w:ilvl w:val="0"/>
          <w:numId w:val="2"/>
        </w:numPr>
        <w:spacing w:after="80"/>
      </w:pPr>
      <w:r>
        <w:rPr>
          <w:rFonts w:ascii="Calibri" w:cs="Calibri" w:eastAsia="Calibri" w:hAnsi="Calibri"/>
          <w:sz w:val="21"/>
          <w:szCs w:val="21"/>
        </w:rPr>
        <w:t xml:space="preserve">No dependency analysis against transports outside the selection unless they surface via the where-used analysis or the TMS histories.</w:t>
      </w:r>
    </w:p>
    <w:p>
      <w:pPr>
        <w:pStyle w:val="ListParagraph"/>
        <w:numPr>
          <w:ilvl w:val="0"/>
          <w:numId w:val="2"/>
        </w:numPr>
        <w:spacing w:after="80"/>
      </w:pPr>
      <w:r>
        <w:rPr>
          <w:rFonts w:ascii="Calibri" w:cs="Calibri" w:eastAsia="Calibri" w:hAnsi="Calibri"/>
          <w:sz w:val="21"/>
          <w:szCs w:val="21"/>
        </w:rPr>
        <w:t xml:space="preserve">No analysis of SPDD/SPAU adjustment needs, upgrades or system conversions.</w:t>
      </w:r>
    </w:p>
    <w:p>
      <w:pPr>
        <w:pStyle w:val="ListParagraph"/>
        <w:numPr>
          <w:ilvl w:val="0"/>
          <w:numId w:val="2"/>
        </w:numPr>
        <w:spacing w:after="80"/>
      </w:pPr>
      <w:r>
        <w:rPr>
          <w:rFonts w:ascii="Calibri" w:cs="Calibri" w:eastAsia="Calibri" w:hAnsi="Calibri"/>
          <w:sz w:val="21"/>
          <w:szCs w:val="21"/>
        </w:rPr>
        <w:t xml:space="preserve">No check of number ranges, logical system names, RFC destinations or other system-specific settings carried inside transports.</w:t>
      </w:r>
    </w:p>
    <w:p>
      <w:pPr>
        <w:pStyle w:val="ListParagraph"/>
        <w:numPr>
          <w:ilvl w:val="0"/>
          <w:numId w:val="2"/>
        </w:numPr>
        <w:spacing w:after="80"/>
      </w:pPr>
      <w:r>
        <w:rPr>
          <w:rFonts w:ascii="Calibri" w:cs="Calibri" w:eastAsia="Calibri" w:hAnsi="Calibri"/>
          <w:sz w:val="21"/>
          <w:szCs w:val="21"/>
        </w:rPr>
        <w:t xml:space="preserve">No transport of data (table content) analysis — e.g. client-dependent master data in a transport is not risk-assessed beyond key conflicts.</w:t>
      </w:r>
    </w:p>
    <w:p>
      <w:pPr>
        <w:pStyle w:val="Heading1"/>
        <w:spacing w:after="140" w:before="280"/>
      </w:pPr>
      <w:r>
        <w:rPr>
          <w:b/>
          <w:bCs/>
          <w:color w:val="1F4E79"/>
        </w:rPr>
        <w:t xml:space="preserve">5. Prerequisites and Operating Notes</w:t>
      </w:r>
    </w:p>
    <w:p>
      <w:pPr>
        <w:pStyle w:val="ListParagraph"/>
        <w:numPr>
          <w:ilvl w:val="0"/>
          <w:numId w:val="2"/>
        </w:numPr>
        <w:spacing w:after="80"/>
      </w:pPr>
      <w:r>
        <w:rPr>
          <w:rFonts w:ascii="Calibri" w:cs="Calibri" w:eastAsia="Calibri" w:hAnsi="Calibri"/>
          <w:sz w:val="21"/>
          <w:szCs w:val="21"/>
        </w:rPr>
        <w:t xml:space="preserve">ST-PI with the /SDF/ function modules must exist in source AND target systems; RFC connections to both must be provided (READ/TMW connections when running in Solution Manager; NONE can be used for the local system).</w:t>
      </w:r>
    </w:p>
    <w:p>
      <w:pPr>
        <w:pStyle w:val="ListParagraph"/>
        <w:numPr>
          <w:ilvl w:val="0"/>
          <w:numId w:val="2"/>
        </w:numPr>
        <w:spacing w:after="80"/>
      </w:pPr>
      <w:r>
        <w:rPr>
          <w:rFonts w:ascii="Calibri" w:cs="Calibri" w:eastAsia="Calibri" w:hAnsi="Calibri"/>
          <w:sz w:val="21"/>
          <w:szCs w:val="21"/>
        </w:rPr>
        <w:t xml:space="preserve">RFC users need the Solution Manager READ profile authorizations (SAP Note 1830640) or user SM_&lt;SID&gt;; concretely S_RFC ACTVT 16 for the /SDF/TEAP_* / /SDF/OI_* / /SDF/DD_* FMs listed in section 3.1 — the tool verifies this per check before running.</w:t>
      </w:r>
    </w:p>
    <w:p>
      <w:pPr>
        <w:pStyle w:val="ListParagraph"/>
        <w:numPr>
          <w:ilvl w:val="0"/>
          <w:numId w:val="2"/>
        </w:numPr>
        <w:spacing w:after="80"/>
      </w:pPr>
      <w:r>
        <w:rPr>
          <w:rFonts w:ascii="Calibri" w:cs="Calibri" w:eastAsia="Calibri" w:hAnsi="Calibri"/>
          <w:sz w:val="21"/>
          <w:szCs w:val="21"/>
        </w:rPr>
        <w:t xml:space="preserve">The executing user needs S_TRANSPRT ACTVT 03 locally.</w:t>
      </w:r>
    </w:p>
    <w:p>
      <w:pPr>
        <w:pStyle w:val="ListParagraph"/>
        <w:numPr>
          <w:ilvl w:val="0"/>
          <w:numId w:val="2"/>
        </w:numPr>
        <w:spacing w:after="80"/>
      </w:pPr>
      <w:r>
        <w:rPr>
          <w:rFonts w:ascii="Calibri" w:cs="Calibri" w:eastAsia="Calibri" w:hAnsi="Calibri"/>
          <w:sz w:val="21"/>
          <w:szCs w:val="21"/>
        </w:rPr>
        <w:t xml:space="preserve">For the Online Import check: activate UPL and collect usage statistics in production for about one week with /SDF/OI_ADMIN (selection-screen function key). Optionally maintain /SDF/OI_CRITOBJ and tune thresholds in /SDF/CMO_TR_CONF.</w:t>
      </w:r>
    </w:p>
    <w:p>
      <w:pPr>
        <w:pStyle w:val="ListParagraph"/>
        <w:numPr>
          <w:ilvl w:val="0"/>
          <w:numId w:val="2"/>
        </w:numPr>
        <w:spacing w:after="80"/>
      </w:pPr>
      <w:r>
        <w:rPr>
          <w:rFonts w:ascii="Calibri" w:cs="Calibri" w:eastAsia="Calibri" w:hAnsi="Calibri"/>
          <w:sz w:val="21"/>
          <w:szCs w:val="21"/>
        </w:rPr>
        <w:t xml:space="preserve">In dialog mode, connections requiring logon can be used and drill-down navigation into the remote systems works from the result grids.</w:t>
      </w:r>
    </w:p>
    <w:p>
      <w:pPr>
        <w:pStyle w:val="Heading1"/>
        <w:spacing w:after="140" w:before="280"/>
      </w:pPr>
      <w:r>
        <w:rPr>
          <w:b/>
          <w:bCs/>
          <w:color w:val="1F4E79"/>
        </w:rPr>
        <w:t xml:space="preserve">6. Quick Reference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500"/>
        <w:gridCol w:w="2500"/>
        <w:gridCol w:w="2000"/>
      </w:tblGrid>
      <w:tr>
        <w:trPr>
          <w:tblHeader/>
        </w:trPr>
        <w:tc>
          <w:tcPr>
            <w:tcW w:type="dxa" w:w="235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25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It DOES verify</w:t>
            </w:r>
          </w:p>
        </w:tc>
        <w:tc>
          <w:tcPr>
            <w:tcW w:type="dxa" w:w="25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It does NOT verify</w:t>
            </w:r>
          </w:p>
        </w:tc>
        <w:tc>
          <w:tcPr>
            <w:tcW w:type="dxa" w:w="2000"/>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Severity</w:t>
            </w:r>
          </w:p>
        </w:tc>
      </w:tr>
      <w:tr>
        <w:tc>
          <w:tcPr>
            <w:tcW w:type="dxa" w:w="2350"/>
            <w:tcMar>
              <w:top w:type="dxa" w:w="60"/>
              <w:left w:type="dxa" w:w="100"/>
              <w:bottom w:type="dxa" w:w="60"/>
              <w:right w:type="dxa" w:w="100"/>
            </w:tcMar>
          </w:tcPr>
          <w:p>
            <w:r>
              <w:rPr>
                <w:rFonts w:ascii="Calibri" w:cs="Calibri" w:eastAsia="Calibri" w:hAnsi="Calibri"/>
                <w:b w:val="false"/>
                <w:bCs w:val="false"/>
                <w:color w:val="000000"/>
                <w:sz w:val="19"/>
                <w:szCs w:val="19"/>
              </w:rPr>
              <w:t xml:space="preserve">Cross Reference</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Referenced objects exist in target with matching version stamps; missing delivering transport identified</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What the code difference actually is; objects changed outside version mgmt</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Red / Yellow / Green</w:t>
            </w:r>
          </w:p>
        </w:tc>
      </w:tr>
      <w:tr>
        <w:tc>
          <w:tcPr>
            <w:tcW w:type="dxa" w:w="235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Sequence / Downgrade</w:t>
            </w:r>
          </w:p>
        </w:tc>
        <w:tc>
          <w:tcPr>
            <w:tcW w:type="dxa" w:w="2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Overlapping objects &amp; customizing keys in newer released, not-yet-imported transports (default 180 days)</w:t>
            </w:r>
          </w:p>
        </w:tc>
        <w:tc>
          <w:tcPr>
            <w:tcW w:type="dxa" w:w="2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Request types other than workbench / customizing / ToC; semantic conflicts</w:t>
            </w:r>
          </w:p>
        </w:tc>
        <w:tc>
          <w:tcPr>
            <w:tcW w:type="dxa" w:w="20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Red / Yellow / Green</w:t>
            </w:r>
          </w:p>
        </w:tc>
      </w:tr>
      <w:tr>
        <w:tc>
          <w:tcPr>
            <w:tcW w:type="dxa" w:w="2350"/>
            <w:tcMar>
              <w:top w:type="dxa" w:w="60"/>
              <w:left w:type="dxa" w:w="100"/>
              <w:bottom w:type="dxa" w:w="60"/>
              <w:right w:type="dxa" w:w="100"/>
            </w:tcMar>
          </w:tcPr>
          <w:p>
            <w:r>
              <w:rPr>
                <w:rFonts w:ascii="Calibri" w:cs="Calibri" w:eastAsia="Calibri" w:hAnsi="Calibri"/>
                <w:b w:val="false"/>
                <w:bCs w:val="false"/>
                <w:color w:val="000000"/>
                <w:sz w:val="19"/>
                <w:szCs w:val="19"/>
              </w:rPr>
              <w:t xml:space="preserve">Cross Release</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Software component &amp; SP-level consistency; customizing table structure differences</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Customizing values; code compatibility beyond component level</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Red / Yellow / Green</w:t>
            </w:r>
          </w:p>
        </w:tc>
      </w:tr>
      <w:tr>
        <w:tc>
          <w:tcPr>
            <w:tcW w:type="dxa" w:w="235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Import Time</w:t>
            </w:r>
          </w:p>
        </w:tc>
        <w:tc>
          <w:tcPr>
            <w:tcW w:type="dxa" w:w="2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Historical import duration &amp; longest step in source system</w:t>
            </w:r>
          </w:p>
        </w:tc>
        <w:tc>
          <w:tcPr>
            <w:tcW w:type="dxa" w:w="25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Anything in the target; no rating at all</w:t>
            </w:r>
          </w:p>
        </w:tc>
        <w:tc>
          <w:tcPr>
            <w:tcW w:type="dxa" w:w="2000"/>
            <w:shd w:fill="F2F2F2"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Info only</w:t>
            </w:r>
          </w:p>
        </w:tc>
      </w:tr>
      <w:tr>
        <w:tc>
          <w:tcPr>
            <w:tcW w:type="dxa" w:w="2350"/>
            <w:tcMar>
              <w:top w:type="dxa" w:w="60"/>
              <w:left w:type="dxa" w:w="100"/>
              <w:bottom w:type="dxa" w:w="60"/>
              <w:right w:type="dxa" w:w="100"/>
            </w:tcMar>
          </w:tcPr>
          <w:p>
            <w:r>
              <w:rPr>
                <w:rFonts w:ascii="Calibri" w:cs="Calibri" w:eastAsia="Calibri" w:hAnsi="Calibri"/>
                <w:b w:val="false"/>
                <w:bCs w:val="false"/>
                <w:color w:val="000000"/>
                <w:sz w:val="19"/>
                <w:szCs w:val="19"/>
              </w:rPr>
              <w:t xml:space="preserve">Online Import</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 usage (reads/writes/size/executions) of dependent objects vs thresholds; manual critical list</w:t>
            </w:r>
          </w:p>
        </w:tc>
        <w:tc>
          <w:tcPr>
            <w:tcW w:type="dxa" w:w="2500"/>
            <w:tcMar>
              <w:top w:type="dxa" w:w="60"/>
              <w:left w:type="dxa" w:w="100"/>
              <w:bottom w:type="dxa" w:w="60"/>
              <w:right w:type="dxa" w:w="100"/>
            </w:tcMar>
          </w:tcPr>
          <w:p>
            <w:r>
              <w:rPr>
                <w:rFonts w:ascii="Calibri" w:cs="Calibri" w:eastAsia="Calibri" w:hAnsi="Calibri"/>
                <w:b w:val="false"/>
                <w:bCs w:val="false"/>
                <w:color w:val="000000"/>
                <w:sz w:val="19"/>
                <w:szCs w:val="19"/>
              </w:rPr>
              <w:t xml:space="preserve">Functional correctness; runs without collected usage statistics</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Red / Yellow / Green</w:t>
            </w:r>
          </w:p>
        </w:tc>
      </w:tr>
    </w:tbl>
    <w:p>
      <w:pPr>
        <w:spacing w:after="120"/>
      </w:pPr>
    </w:p>
    <w:p>
      <w:pPr>
        <w:spacing w:after="120"/>
      </w:pPr>
      <w:r>
        <w:rPr>
          <w:rFonts w:ascii="Calibri" w:cs="Calibri" w:eastAsia="Calibri" w:hAnsi="Calibri"/>
          <w:b/>
          <w:bCs/>
          <w:sz w:val="21"/>
          <w:szCs w:val="21"/>
        </w:rPr>
        <w:t xml:space="preserve">Bottom line: </w:t>
      </w:r>
      <w:r>
        <w:rPr>
          <w:rFonts w:ascii="Calibri" w:cs="Calibri" w:eastAsia="Calibri" w:hAnsi="Calibri"/>
          <w:sz w:val="21"/>
          <w:szCs w:val="21"/>
        </w:rPr>
        <w:t xml:space="preserve">/SDF/CMO_TR_CHECK is a metadata-driven import risk predictor. It answers "will this import likely fail or overwrite something, and is it dangerous to import during business hours?" by comparing versions, transport histories, component levels and usage statistics over RFC. It does not compare or judge the code itself — code review, ATC checks, testing and a controlled import process remain necessary complements.</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2026-07-21T05:17:48.399Z</dcterms:created>
  <dcterms:modified xsi:type="dcterms:W3CDTF">2026-07-21T05:17:48.399Z</dcterms:modified>
</cp:coreProperties>
</file>

<file path=docProps/custom.xml><?xml version="1.0" encoding="utf-8"?>
<Properties xmlns="http://schemas.openxmlformats.org/officeDocument/2006/custom-properties" xmlns:vt="http://schemas.openxmlformats.org/officeDocument/2006/docPropsVTypes"/>
</file>