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 w:before="300"/>
        <w:jc w:val="center"/>
      </w:pPr>
      <w:r>
        <w:rPr>
          <w:b/>
          <w:bCs/>
          <w:color w:val="1F4E79"/>
          <w:sz w:val="40"/>
          <w:szCs w:val="40"/>
        </w:rPr>
        <w:t xml:space="preserve">Support Fee Calculation &amp; Posting — S/4HANA</w:t>
      </w:r>
    </w:p>
    <w:p>
      <w:pPr>
        <w:spacing w:after="60"/>
        <w:jc w:val="center"/>
      </w:pPr>
      <w:r>
        <w:rPr>
          <w:sz w:val="28"/>
          <w:szCs w:val="28"/>
        </w:rPr>
        <w:t xml:space="preserve">Questions for the Functional Team</w:t>
      </w:r>
    </w:p>
    <w:p>
      <w:pPr>
        <w:spacing w:after="250"/>
        <w:jc w:val="center"/>
      </w:pPr>
      <w:r>
        <w:rPr>
          <w:color w:val="666666"/>
          <w:sz w:val="20"/>
          <w:szCs w:val="20"/>
        </w:rPr>
        <w:t xml:space="preserve">Company Code 7827 (BJI)  |  Please answer in the grey boxes and return</w:t>
      </w:r>
    </w:p>
    <w:p>
      <w:pPr>
        <w:spacing w:after="110"/>
      </w:pPr>
      <w:r>
        <w:rPr>
          <w:i/>
          <w:iCs/>
        </w:rPr>
        <w:t xml:space="preserve">Background in one line: the monthly Support Fee program is being rebuilt in S/4HANA; the calculation rules below need your confirmation before we complete the logic. Questions 1–3 are the most urgent.</w:t>
      </w:r>
    </w:p>
    <w:p>
      <w:pPr>
        <w:spacing w:after="160"/>
      </w:pPr>
    </w:p>
    <w:p>
      <w:pPr>
        <w:pStyle w:val="Heading1"/>
        <w:spacing w:after="140" w:before="300"/>
      </w:pPr>
      <w:r>
        <w:rPr>
          <w:color w:val="1F4E79"/>
        </w:rPr>
        <w:t xml:space="preserve">1.  RPP Category = "Adjacent Category" — what should happen?</w:t>
      </w:r>
    </w:p>
    <w:p>
      <w:pPr>
        <w:spacing w:after="110"/>
      </w:pPr>
      <w:r>
        <w:t xml:space="preserve">Situation: a COPA expense line, the G/L account is a normal expense account, and the RPP Category of the line is classified as "Adjacent Category".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Option A: Apply the fixed 50% rate — always, for every Adjacent Category line.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Option B: Apply the fixed 50% rate only when the G/L account is additionally one of the specific accounts (Rebate / Spot only). Otherwise continue with the normal rate lookup.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Answer:</w:t>
            </w:r>
          </w:p>
          <w:p/>
        </w:tc>
      </w:tr>
    </w:tbl>
    <w:p>
      <w:pPr>
        <w:spacing w:after="160"/>
      </w:pPr>
    </w:p>
    <w:p>
      <w:pPr>
        <w:pStyle w:val="Heading1"/>
        <w:spacing w:after="140" w:before="300"/>
      </w:pPr>
      <w:r>
        <w:rPr>
          <w:color w:val="1F4E79"/>
        </w:rPr>
        <w:t xml:space="preserve">2.  RPP Category = "Specific GL (Rebate, Spot only)" — what should happen?</w:t>
      </w:r>
    </w:p>
    <w:p>
      <w:pPr>
        <w:spacing w:after="110"/>
      </w:pPr>
      <w:r>
        <w:t xml:space="preserve">Situation: same as above, but the RPP Category is classified as "Specific GL (Rebate, Spot only)".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Option A: Apply the fixed 50% rate.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Option B: Do NOT apply a fixed rate — continue checking the next rules (Cost Center rate → Customer rate → Channel rate).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Answer:</w:t>
            </w:r>
          </w:p>
          <w:p/>
        </w:tc>
      </w:tr>
    </w:tbl>
    <w:p>
      <w:pPr>
        <w:spacing w:after="160"/>
      </w:pPr>
    </w:p>
    <w:p>
      <w:pPr>
        <w:pStyle w:val="Heading1"/>
        <w:spacing w:after="140" w:before="300"/>
      </w:pPr>
      <w:r>
        <w:rPr>
          <w:color w:val="1F4E79"/>
        </w:rPr>
        <w:t xml:space="preserve">3.  RPP Category = "Other Category" — what should happen?</w:t>
      </w:r>
    </w:p>
    <w:p>
      <w:pPr>
        <w:spacing w:after="110"/>
      </w:pPr>
      <w:r>
        <w:t xml:space="preserve">Situation: same as above, but the RPP Category is classified as "Other Category".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Option A: The line is completely OUT OF SCOPE — skip it, no support fee is calculated for it.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Option B: Do not skip — continue checking the next rules (Cost Center rate → Customer rate → Channel rate) and calculate the fee if one of them applies.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Answer:</w:t>
            </w:r>
          </w:p>
          <w:p/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color w:val="1F4E79"/>
        </w:rPr>
        <w:t xml:space="preserve">4.  Which G/L accounts are "50% Support GL"?</w:t>
      </w:r>
    </w:p>
    <w:p>
      <w:pPr>
        <w:spacing w:after="110"/>
      </w:pPr>
      <w:r>
        <w:t xml:space="preserve">These accounts always get the fixed 50% rate, without any table lookup. Please list them (or attach an Excel). If no such accounts exist yet, write "none for now" — the rule then stays inactive.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Answer:</w:t>
            </w:r>
          </w:p>
          <w:p/>
          <w:p/>
          <w:p/>
        </w:tc>
      </w:tr>
    </w:tbl>
    <w:p>
      <w:pPr>
        <w:spacing w:after="160"/>
      </w:pPr>
    </w:p>
    <w:p>
      <w:pPr>
        <w:pStyle w:val="Heading1"/>
        <w:spacing w:after="140" w:before="300"/>
      </w:pPr>
      <w:r>
        <w:rPr>
          <w:color w:val="1F4E79"/>
        </w:rPr>
        <w:t xml:space="preserve">5.  Which G/L accounts are "CokeON Cost GL", and what % applies?</w:t>
      </w:r>
    </w:p>
    <w:p>
      <w:pPr>
        <w:spacing w:after="110"/>
      </w:pPr>
      <w:r>
        <w:t xml:space="preserve">These accounts always get the fixed Vending Channel percentage. Please list the accounts AND give the percentage value (e.g. 35.00%). If none exist yet, write "none for now".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Answer:</w:t>
            </w:r>
          </w:p>
          <w:p/>
          <w:p/>
          <w:p/>
        </w:tc>
      </w:tr>
    </w:tbl>
    <w:p>
      <w:pPr>
        <w:spacing w:after="160"/>
      </w:pPr>
    </w:p>
    <w:p>
      <w:pPr>
        <w:pStyle w:val="Heading1"/>
        <w:spacing w:after="140" w:before="300"/>
      </w:pPr>
      <w:r>
        <w:rPr>
          <w:color w:val="1F4E79"/>
        </w:rPr>
        <w:t xml:space="preserve">6.  Confirmation: rates as changeable settings</w:t>
      </w:r>
    </w:p>
    <w:p>
      <w:pPr>
        <w:spacing w:after="110"/>
      </w:pPr>
      <w:r>
        <w:t xml:space="preserve">We plan to store the fixed 50% rate and the Vending Channel % as system settings (changeable by authorized users without a transport). Is that OK, and who should be allowed to change them?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Answer:</w:t>
            </w:r>
          </w:p>
          <w:p/>
        </w:tc>
      </w:tr>
    </w:tbl>
    <w:p>
      <w:pPr>
        <w:spacing w:after="160"/>
      </w:pPr>
    </w:p>
    <w:p>
      <w:pPr>
        <w:pStyle w:val="Heading1"/>
        <w:spacing w:after="140" w:before="300"/>
      </w:pPr>
      <w:r>
        <w:rPr>
          <w:color w:val="1F4E79"/>
        </w:rPr>
        <w:t xml:space="preserve">7.  Classification of each RPP Category</w:t>
      </w:r>
    </w:p>
    <w:p>
      <w:pPr>
        <w:spacing w:after="110"/>
      </w:pPr>
      <w:r>
        <w:t xml:space="preserve">For questions 1–3 to work, every RPP Category code must be classified. Please mark each category with one of: OTHER / ADJACENT / SPECIFIC. (Add rows as needed — the full code list is in table /CCEJ/TRPPCATE.)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426"/>
      </w:tblGrid>
      <w:tr>
        <w:trPr>
          <w:tblHeader/>
        </w:trPr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RPP Category code</w:t>
            </w:r>
          </w:p>
        </w:tc>
        <w:tc>
          <w:tcPr>
            <w:tcW w:type="dxa" w:w="4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2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Classification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1"/>
        <w:spacing w:after="140" w:before="300"/>
      </w:pPr>
      <w:r>
        <w:rPr>
          <w:color w:val="1F4E79"/>
        </w:rPr>
        <w:t xml:space="preserve">8.  HORECA channel code</w:t>
      </w:r>
    </w:p>
    <w:p>
      <w:pPr>
        <w:spacing w:after="110"/>
      </w:pPr>
      <w:r>
        <w:t xml:space="preserve">One rule applies a customer-specific rate when the RPP Channel is HORECA. Which exact channel code value should the program check for? (e.g. "H01" — please give the code, not the name.)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Answer:</w:t>
            </w:r>
          </w:p>
          <w:p/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color w:val="1F4E79"/>
        </w:rPr>
        <w:t xml:space="preserve">9.  KAM Level-4 to Cost Center mapping — how will it be maintained?</w:t>
      </w:r>
    </w:p>
    <w:p>
      <w:pPr>
        <w:spacing w:after="110"/>
      </w:pPr>
      <w:r>
        <w:t xml:space="preserve">Today this mapping (115 entries) is uploaded manually as a CSV file in BW. For S/4: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Option A: Keep manual maintenance — we build a new upload program with its own transaction.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Option B: The mapping can be derived from the system automatically — please name the source table or report we should read it from.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Answer:</w:t>
            </w:r>
          </w:p>
          <w:p/>
          <w:p/>
        </w:tc>
      </w:tr>
    </w:tbl>
    <w:p>
      <w:pPr>
        <w:spacing w:after="160"/>
      </w:pPr>
    </w:p>
    <w:p>
      <w:pPr>
        <w:pStyle w:val="Heading1"/>
        <w:spacing w:after="140" w:before="300"/>
      </w:pPr>
      <w:r>
        <w:rPr>
          <w:color w:val="1F4E79"/>
        </w:rPr>
        <w:t xml:space="preserve">10.  How do we verify the new program calculates correctly?</w:t>
      </w:r>
    </w:p>
    <w:p>
      <w:pPr>
        <w:spacing w:after="110"/>
      </w:pPr>
      <w:r>
        <w:t xml:space="preserve">The old support-fee documents were not migrated to S/4HANA, so a direct comparison inside S/4 is not possible. Please choose: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Option A: We extract one closed month’s posted support-fee documents (document type YE) from the ECC system and compare the new program’s simulation against them line by line.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Option B: No data extract — the business runs the new program’s Simulation mode for a month they know well and confirms the totals against their own records during testing.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Answer:</w:t>
            </w:r>
          </w:p>
          <w:p/>
        </w:tc>
      </w:tr>
    </w:tbl>
    <w:p>
      <w:pPr>
        <w:spacing w:after="160"/>
      </w:pPr>
    </w:p>
    <w:p>
      <w:pPr>
        <w:pStyle w:val="Heading1"/>
        <w:spacing w:after="140" w:before="300"/>
      </w:pPr>
      <w:r>
        <w:rPr>
          <w:color w:val="1F4E79"/>
        </w:rPr>
        <w:t xml:space="preserve">11.  For the CO/COPA consultant: profitability information on the fee posting</w:t>
      </w:r>
    </w:p>
    <w:p>
      <w:pPr>
        <w:spacing w:after="110"/>
      </w:pPr>
      <w:r>
        <w:t xml:space="preserve">The new program will post the support-fee credit lines WITH profitability (COPA) information: Customer, Bottler Account, RPP Channel, RPP Category, KAM Representative, KAM Level-4, Brand, Packaging Code, Cost Center. The old ECC posting carried none of this. Please confirm: (a) this list of characteristics is correct and complete, and (b) the support-fee postings should appear in COPA reporting with these characteristics.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Answer:</w:t>
            </w:r>
          </w:p>
          <w:p/>
          <w:p/>
        </w:tc>
      </w:tr>
    </w:tbl>
    <w:p>
      <w:pPr>
        <w:spacing w:after="160"/>
      </w:pPr>
    </w:p>
    <w:p>
      <w:pPr>
        <w:spacing w:after="110"/>
      </w:pPr>
      <w:r>
        <w:rPr>
          <w:i/>
          <w:iCs/>
        </w:rPr>
        <w:t xml:space="preserve">Thank you — questions 1–3 unblock development immediately; the rest can follow. For any question, feel free to answer directly in this document.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sz w:val="26"/>
      <w:szCs w:val="2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2026-07-30T12:27:56.172Z</dcterms:created>
  <dcterms:modified xsi:type="dcterms:W3CDTF">2026-07-30T12:27:56.184Z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