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1F4E79"/>
          <w:sz w:val="52"/>
          <w:szCs w:val="52"/>
        </w:rPr>
        <w:t xml:space="preserve">Support Fee Calculation &amp; Posting</w:t>
      </w:r>
    </w:p>
    <w:p>
      <w:pPr>
        <w:spacing w:after="120"/>
        <w:jc w:val="center"/>
      </w:pPr>
      <w:r>
        <w:rPr>
          <w:sz w:val="30"/>
          <w:szCs w:val="30"/>
        </w:rPr>
        <w:t xml:space="preserve">New Process in S/4HANA — Overview for Business Users</w:t>
      </w:r>
    </w:p>
    <w:p>
      <w:pPr>
        <w:spacing w:after="2400"/>
        <w:jc w:val="center"/>
      </w:pPr>
      <w:r>
        <w:rPr>
          <w:color w:val="666666"/>
          <w:sz w:val="21"/>
          <w:szCs w:val="21"/>
        </w:rPr>
        <w:t xml:space="preserve">Program /CCBJI/RUFIGLR_REPORTING_SUPP  |  Transaction /CCBJI/RURGL_REPSUPP</w:t>
      </w:r>
    </w:p>
    <w:p>
      <w:pPr>
        <w:jc w:val="center"/>
      </w:pPr>
      <w:r>
        <w:rPr>
          <w:color w:val="666666"/>
          <w:sz w:val="21"/>
          <w:szCs w:val="21"/>
        </w:rPr>
        <w:t xml:space="preserve">CCBJI — Company Code 7827  |  Document version 1.0</w:t>
      </w:r>
    </w:p>
    <w:p>
      <w:r>
        <w:br w:type="page"/>
      </w:r>
    </w:p>
    <w:p>
      <w:pPr>
        <w:pStyle w:val="Heading1"/>
        <w:spacing w:after="160" w:before="320"/>
      </w:pPr>
      <w:r>
        <w:rPr>
          <w:color w:val="1F4E79"/>
        </w:rPr>
        <w:t xml:space="preserve">1. What is changing, in one picture</w:t>
      </w:r>
    </w:p>
    <w:p>
      <w:pPr>
        <w:spacing w:after="120"/>
      </w:pPr>
      <w:r>
        <w:t xml:space="preserve">Today the monthly Support Fee runs across three systems: BW calculates the fee, writes a text file, and a second program in ECC reads that file and posts the accounting documents. With BW being retired, the whole process is rebuilt as ONE program inside S/4HANA. Nothing changes in the business meaning of the fee — the same rules, rates and accounts are used. What changes is where and how it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60"/>
              <w:left w:type="dxa" w:w="100"/>
              <w:bottom w:type="dxa" w:w="60"/>
              <w:right w:type="dxa" w:w="100"/>
            </w:tcMar>
          </w:tcPr>
          <w:p>
            <w:r>
              <w:rPr>
                <w:b/>
                <w:bCs/>
                <w:sz w:val="19"/>
                <w:szCs w:val="19"/>
              </w:rPr>
              <w:t xml:space="preserve"/>
            </w:r>
          </w:p>
        </w:tc>
        <w:tc>
          <w:tcPr>
            <w:tcW w:type="dxa" w:w="3400"/>
            <w:shd w:fill="D9E2F3" w:val="clear"/>
            <w:tcMar>
              <w:top w:type="dxa" w:w="60"/>
              <w:left w:type="dxa" w:w="100"/>
              <w:bottom w:type="dxa" w:w="60"/>
              <w:right w:type="dxa" w:w="100"/>
            </w:tcMar>
          </w:tcPr>
          <w:p>
            <w:r>
              <w:rPr>
                <w:b/>
                <w:bCs/>
                <w:sz w:val="19"/>
                <w:szCs w:val="19"/>
              </w:rPr>
              <w:t xml:space="preserve">Old process (BW + ECC)</w:t>
            </w:r>
          </w:p>
        </w:tc>
        <w:tc>
          <w:tcPr>
            <w:tcW w:type="dxa" w:w="3426"/>
            <w:shd w:fill="D9E2F3" w:val="clear"/>
            <w:tcMar>
              <w:top w:type="dxa" w:w="60"/>
              <w:left w:type="dxa" w:w="100"/>
              <w:bottom w:type="dxa" w:w="60"/>
              <w:right w:type="dxa" w:w="100"/>
            </w:tcMar>
          </w:tcPr>
          <w:p>
            <w:r>
              <w:rPr>
                <w:b/>
                <w:bCs/>
                <w:sz w:val="19"/>
                <w:szCs w:val="19"/>
              </w:rPr>
              <w:t xml:space="preserve">New process (S/4HANA only)</w:t>
            </w:r>
          </w:p>
        </w:tc>
      </w:tr>
      <w:tr>
        <w:trPr>
          <w:tblHeader w:val="false"/>
        </w:trPr>
        <w:tc>
          <w:tcPr>
            <w:tcW w:type="dxa" w:w="2200"/>
            <w:tcMar>
              <w:top w:type="dxa" w:w="60"/>
              <w:left w:type="dxa" w:w="100"/>
              <w:bottom w:type="dxa" w:w="60"/>
              <w:right w:type="dxa" w:w="100"/>
            </w:tcMar>
          </w:tcPr>
          <w:p>
            <w:r>
              <w:rPr>
                <w:b w:val="false"/>
                <w:bCs w:val="false"/>
                <w:sz w:val="19"/>
                <w:szCs w:val="19"/>
              </w:rPr>
              <w:t xml:space="preserve">Systems involved</w:t>
            </w:r>
          </w:p>
        </w:tc>
        <w:tc>
          <w:tcPr>
            <w:tcW w:type="dxa" w:w="3400"/>
            <w:tcMar>
              <w:top w:type="dxa" w:w="60"/>
              <w:left w:type="dxa" w:w="100"/>
              <w:bottom w:type="dxa" w:w="60"/>
              <w:right w:type="dxa" w:w="100"/>
            </w:tcMar>
          </w:tcPr>
          <w:p>
            <w:r>
              <w:rPr>
                <w:b w:val="false"/>
                <w:bCs w:val="false"/>
                <w:sz w:val="19"/>
                <w:szCs w:val="19"/>
              </w:rPr>
              <w:t xml:space="preserve">BW system + ECC system + file transfer</w:t>
            </w:r>
          </w:p>
        </w:tc>
        <w:tc>
          <w:tcPr>
            <w:tcW w:type="dxa" w:w="3426"/>
            <w:tcMar>
              <w:top w:type="dxa" w:w="60"/>
              <w:left w:type="dxa" w:w="100"/>
              <w:bottom w:type="dxa" w:w="60"/>
              <w:right w:type="dxa" w:w="100"/>
            </w:tcMar>
          </w:tcPr>
          <w:p>
            <w:r>
              <w:rPr>
                <w:b w:val="false"/>
                <w:bCs w:val="false"/>
                <w:sz w:val="19"/>
                <w:szCs w:val="19"/>
              </w:rPr>
              <w:t xml:space="preserve">S/4HANA only — one program</w:t>
            </w:r>
          </w:p>
        </w:tc>
      </w:tr>
      <w:tr>
        <w:trPr>
          <w:tblHeader w:val="false"/>
        </w:trPr>
        <w:tc>
          <w:tcPr>
            <w:tcW w:type="dxa" w:w="2200"/>
            <w:tcMar>
              <w:top w:type="dxa" w:w="60"/>
              <w:left w:type="dxa" w:w="100"/>
              <w:bottom w:type="dxa" w:w="60"/>
              <w:right w:type="dxa" w:w="100"/>
            </w:tcMar>
          </w:tcPr>
          <w:p>
            <w:r>
              <w:rPr>
                <w:b w:val="false"/>
                <w:bCs w:val="false"/>
                <w:sz w:val="19"/>
                <w:szCs w:val="19"/>
              </w:rPr>
              <w:t xml:space="preserve">Data source</w:t>
            </w:r>
          </w:p>
        </w:tc>
        <w:tc>
          <w:tcPr>
            <w:tcW w:type="dxa" w:w="3400"/>
            <w:tcMar>
              <w:top w:type="dxa" w:w="60"/>
              <w:left w:type="dxa" w:w="100"/>
              <w:bottom w:type="dxa" w:w="60"/>
              <w:right w:type="dxa" w:w="100"/>
            </w:tcMar>
          </w:tcPr>
          <w:p>
            <w:r>
              <w:rPr>
                <w:b w:val="false"/>
                <w:bCs w:val="false"/>
                <w:sz w:val="19"/>
                <w:szCs w:val="19"/>
              </w:rPr>
              <w:t xml:space="preserve">BW copies of FI and COPA data (CE1JP00, FAGLFLEXA)</w:t>
            </w:r>
          </w:p>
        </w:tc>
        <w:tc>
          <w:tcPr>
            <w:tcW w:type="dxa" w:w="3426"/>
            <w:tcMar>
              <w:top w:type="dxa" w:w="60"/>
              <w:left w:type="dxa" w:w="100"/>
              <w:bottom w:type="dxa" w:w="60"/>
              <w:right w:type="dxa" w:w="100"/>
            </w:tcMar>
          </w:tcPr>
          <w:p>
            <w:r>
              <w:rPr>
                <w:b w:val="false"/>
                <w:bCs w:val="false"/>
                <w:sz w:val="19"/>
                <w:szCs w:val="19"/>
              </w:rPr>
              <w:t xml:space="preserve">ACDOCA — the single S/4 accounting table, always current</w:t>
            </w:r>
          </w:p>
        </w:tc>
      </w:tr>
      <w:tr>
        <w:trPr>
          <w:tblHeader w:val="false"/>
        </w:trPr>
        <w:tc>
          <w:tcPr>
            <w:tcW w:type="dxa" w:w="2200"/>
            <w:tcMar>
              <w:top w:type="dxa" w:w="60"/>
              <w:left w:type="dxa" w:w="100"/>
              <w:bottom w:type="dxa" w:w="60"/>
              <w:right w:type="dxa" w:w="100"/>
            </w:tcMar>
          </w:tcPr>
          <w:p>
            <w:r>
              <w:rPr>
                <w:b w:val="false"/>
                <w:bCs w:val="false"/>
                <w:sz w:val="19"/>
                <w:szCs w:val="19"/>
              </w:rPr>
              <w:t xml:space="preserve">Calculation</w:t>
            </w:r>
          </w:p>
        </w:tc>
        <w:tc>
          <w:tcPr>
            <w:tcW w:type="dxa" w:w="3400"/>
            <w:tcMar>
              <w:top w:type="dxa" w:w="60"/>
              <w:left w:type="dxa" w:w="100"/>
              <w:bottom w:type="dxa" w:w="60"/>
              <w:right w:type="dxa" w:w="100"/>
            </w:tcMar>
          </w:tcPr>
          <w:p>
            <w:r>
              <w:rPr>
                <w:b w:val="false"/>
                <w:bCs w:val="false"/>
                <w:sz w:val="19"/>
                <w:szCs w:val="19"/>
              </w:rPr>
              <w:t xml:space="preserve">HANA database views in BW</w:t>
            </w:r>
          </w:p>
        </w:tc>
        <w:tc>
          <w:tcPr>
            <w:tcW w:type="dxa" w:w="3426"/>
            <w:tcMar>
              <w:top w:type="dxa" w:w="60"/>
              <w:left w:type="dxa" w:w="100"/>
              <w:bottom w:type="dxa" w:w="60"/>
              <w:right w:type="dxa" w:w="100"/>
            </w:tcMar>
          </w:tcPr>
          <w:p>
            <w:r>
              <w:rPr>
                <w:b w:val="false"/>
                <w:bCs w:val="false"/>
                <w:sz w:val="19"/>
                <w:szCs w:val="19"/>
              </w:rPr>
              <w:t xml:space="preserve">Inside the new ABAP program</w:t>
            </w:r>
          </w:p>
        </w:tc>
      </w:tr>
      <w:tr>
        <w:trPr>
          <w:tblHeader w:val="false"/>
        </w:trPr>
        <w:tc>
          <w:tcPr>
            <w:tcW w:type="dxa" w:w="2200"/>
            <w:tcMar>
              <w:top w:type="dxa" w:w="60"/>
              <w:left w:type="dxa" w:w="100"/>
              <w:bottom w:type="dxa" w:w="60"/>
              <w:right w:type="dxa" w:w="100"/>
            </w:tcMar>
          </w:tcPr>
          <w:p>
            <w:r>
              <w:rPr>
                <w:b w:val="false"/>
                <w:bCs w:val="false"/>
                <w:sz w:val="19"/>
                <w:szCs w:val="19"/>
              </w:rPr>
              <w:t xml:space="preserve">Posting</w:t>
            </w:r>
          </w:p>
        </w:tc>
        <w:tc>
          <w:tcPr>
            <w:tcW w:type="dxa" w:w="3400"/>
            <w:tcMar>
              <w:top w:type="dxa" w:w="60"/>
              <w:left w:type="dxa" w:w="100"/>
              <w:bottom w:type="dxa" w:w="60"/>
              <w:right w:type="dxa" w:w="100"/>
            </w:tcMar>
          </w:tcPr>
          <w:p>
            <w:r>
              <w:rPr>
                <w:b w:val="false"/>
                <w:bCs w:val="false"/>
                <w:sz w:val="19"/>
                <w:szCs w:val="19"/>
              </w:rPr>
              <w:t xml:space="preserve">Text file on server, picked up by ECC job</w:t>
            </w:r>
          </w:p>
        </w:tc>
        <w:tc>
          <w:tcPr>
            <w:tcW w:type="dxa" w:w="3426"/>
            <w:tcMar>
              <w:top w:type="dxa" w:w="60"/>
              <w:left w:type="dxa" w:w="100"/>
              <w:bottom w:type="dxa" w:w="60"/>
              <w:right w:type="dxa" w:w="100"/>
            </w:tcMar>
          </w:tcPr>
          <w:p>
            <w:r>
              <w:rPr>
                <w:b w:val="false"/>
                <w:bCs w:val="false"/>
                <w:sz w:val="19"/>
                <w:szCs w:val="19"/>
              </w:rPr>
              <w:t xml:space="preserve">Direct posting in the same run — no files</w:t>
            </w:r>
          </w:p>
        </w:tc>
      </w:tr>
      <w:tr>
        <w:trPr>
          <w:tblHeader w:val="false"/>
        </w:trPr>
        <w:tc>
          <w:tcPr>
            <w:tcW w:type="dxa" w:w="2200"/>
            <w:tcMar>
              <w:top w:type="dxa" w:w="60"/>
              <w:left w:type="dxa" w:w="100"/>
              <w:bottom w:type="dxa" w:w="60"/>
              <w:right w:type="dxa" w:w="100"/>
            </w:tcMar>
          </w:tcPr>
          <w:p>
            <w:r>
              <w:rPr>
                <w:b w:val="false"/>
                <w:bCs w:val="false"/>
                <w:sz w:val="19"/>
                <w:szCs w:val="19"/>
              </w:rPr>
              <w:t xml:space="preserve">Checking before posting</w:t>
            </w:r>
          </w:p>
        </w:tc>
        <w:tc>
          <w:tcPr>
            <w:tcW w:type="dxa" w:w="3400"/>
            <w:tcMar>
              <w:top w:type="dxa" w:w="60"/>
              <w:left w:type="dxa" w:w="100"/>
              <w:bottom w:type="dxa" w:w="60"/>
              <w:right w:type="dxa" w:w="100"/>
            </w:tcMar>
          </w:tcPr>
          <w:p>
            <w:r>
              <w:rPr>
                <w:b w:val="false"/>
                <w:bCs w:val="false"/>
                <w:sz w:val="19"/>
                <w:szCs w:val="19"/>
              </w:rPr>
              <w:t xml:space="preserve">Not possible — file was posted as-is</w:t>
            </w:r>
          </w:p>
        </w:tc>
        <w:tc>
          <w:tcPr>
            <w:tcW w:type="dxa" w:w="3426"/>
            <w:tcMar>
              <w:top w:type="dxa" w:w="60"/>
              <w:left w:type="dxa" w:w="100"/>
              <w:bottom w:type="dxa" w:w="60"/>
              <w:right w:type="dxa" w:w="100"/>
            </w:tcMar>
          </w:tcPr>
          <w:p>
            <w:r>
              <w:rPr>
                <w:b w:val="false"/>
                <w:bCs w:val="false"/>
                <w:sz w:val="19"/>
                <w:szCs w:val="19"/>
              </w:rPr>
              <w:t xml:space="preserve">New Simulation mode: full dry run, nothing posted</w:t>
            </w:r>
          </w:p>
        </w:tc>
      </w:tr>
      <w:tr>
        <w:trPr>
          <w:tblHeader w:val="false"/>
        </w:trPr>
        <w:tc>
          <w:tcPr>
            <w:tcW w:type="dxa" w:w="2200"/>
            <w:tcMar>
              <w:top w:type="dxa" w:w="60"/>
              <w:left w:type="dxa" w:w="100"/>
              <w:bottom w:type="dxa" w:w="60"/>
              <w:right w:type="dxa" w:w="100"/>
            </w:tcMar>
          </w:tcPr>
          <w:p>
            <w:r>
              <w:rPr>
                <w:b w:val="false"/>
                <w:bCs w:val="false"/>
                <w:sz w:val="19"/>
                <w:szCs w:val="19"/>
              </w:rPr>
              <w:t xml:space="preserve">Speed on big volumes</w:t>
            </w:r>
          </w:p>
        </w:tc>
        <w:tc>
          <w:tcPr>
            <w:tcW w:type="dxa" w:w="3400"/>
            <w:tcMar>
              <w:top w:type="dxa" w:w="60"/>
              <w:left w:type="dxa" w:w="100"/>
              <w:bottom w:type="dxa" w:w="60"/>
              <w:right w:type="dxa" w:w="100"/>
            </w:tcMar>
          </w:tcPr>
          <w:p>
            <w:r>
              <w:rPr>
                <w:b w:val="false"/>
                <w:bCs w:val="false"/>
                <w:sz w:val="19"/>
                <w:szCs w:val="19"/>
              </w:rPr>
              <w:t xml:space="preserve">Frequent memory problems (10 fixes in history)</w:t>
            </w:r>
          </w:p>
        </w:tc>
        <w:tc>
          <w:tcPr>
            <w:tcW w:type="dxa" w:w="3426"/>
            <w:tcMar>
              <w:top w:type="dxa" w:w="60"/>
              <w:left w:type="dxa" w:w="100"/>
              <w:bottom w:type="dxa" w:w="60"/>
              <w:right w:type="dxa" w:w="100"/>
            </w:tcMar>
          </w:tcPr>
          <w:p>
            <w:r>
              <w:rPr>
                <w:b w:val="false"/>
                <w:bCs w:val="false"/>
                <w:sz w:val="19"/>
                <w:szCs w:val="19"/>
              </w:rPr>
              <w:t xml:space="preserve">Database does the heavy work + parallel processing</w:t>
            </w:r>
          </w:p>
        </w:tc>
      </w:tr>
    </w:tbl>
    <w:p>
      <w:pPr>
        <w:pStyle w:val="Heading1"/>
        <w:spacing w:after="160" w:before="320"/>
      </w:pPr>
      <w:r>
        <w:rPr>
          <w:color w:val="1F4E79"/>
        </w:rPr>
        <w:t xml:space="preserve">2. What existed in BW — and how each piece is handled in S/4HANA</w:t>
      </w:r>
    </w:p>
    <w:p>
      <w:pPr>
        <w:spacing w:after="120"/>
      </w:pPr>
      <w:r>
        <w:t xml:space="preserve">Every component of the old BW solution has a defined destination. Nothing is lost; everything is either replaced by S/4 standard, rebuilt inside the new program, or migrated into a new S/4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500"/>
        <w:gridCol w:w="3226"/>
      </w:tblGrid>
      <w:tr>
        <w:trPr>
          <w:tblHeader/>
        </w:trPr>
        <w:tc>
          <w:tcPr>
            <w:tcW w:type="dxa" w:w="3300"/>
            <w:shd w:fill="D9E2F3" w:val="clear"/>
            <w:tcMar>
              <w:top w:type="dxa" w:w="60"/>
              <w:left w:type="dxa" w:w="100"/>
              <w:bottom w:type="dxa" w:w="60"/>
              <w:right w:type="dxa" w:w="100"/>
            </w:tcMar>
          </w:tcPr>
          <w:p>
            <w:r>
              <w:rPr>
                <w:b/>
                <w:bCs/>
                <w:sz w:val="19"/>
                <w:szCs w:val="19"/>
              </w:rPr>
              <w:t xml:space="preserve">Component in BW (old)</w:t>
            </w:r>
          </w:p>
        </w:tc>
        <w:tc>
          <w:tcPr>
            <w:tcW w:type="dxa" w:w="2500"/>
            <w:shd w:fill="D9E2F3" w:val="clear"/>
            <w:tcMar>
              <w:top w:type="dxa" w:w="60"/>
              <w:left w:type="dxa" w:w="100"/>
              <w:bottom w:type="dxa" w:w="60"/>
              <w:right w:type="dxa" w:w="100"/>
            </w:tcMar>
          </w:tcPr>
          <w:p>
            <w:r>
              <w:rPr>
                <w:b/>
                <w:bCs/>
                <w:sz w:val="19"/>
                <w:szCs w:val="19"/>
              </w:rPr>
              <w:t xml:space="preserve">What it did</w:t>
            </w:r>
          </w:p>
        </w:tc>
        <w:tc>
          <w:tcPr>
            <w:tcW w:type="dxa" w:w="3226"/>
            <w:shd w:fill="D9E2F3" w:val="clear"/>
            <w:tcMar>
              <w:top w:type="dxa" w:w="60"/>
              <w:left w:type="dxa" w:w="100"/>
              <w:bottom w:type="dxa" w:w="60"/>
              <w:right w:type="dxa" w:w="100"/>
            </w:tcMar>
          </w:tcPr>
          <w:p>
            <w:r>
              <w:rPr>
                <w:b/>
                <w:bCs/>
                <w:sz w:val="19"/>
                <w:szCs w:val="19"/>
              </w:rPr>
              <w:t xml:space="preserve">How S/4HANA handles it</w:t>
            </w:r>
          </w:p>
        </w:tc>
      </w:tr>
      <w:tr>
        <w:trPr>
          <w:tblHeader w:val="false"/>
        </w:trPr>
        <w:tc>
          <w:tcPr>
            <w:tcW w:type="dxa" w:w="3300"/>
            <w:tcMar>
              <w:top w:type="dxa" w:w="60"/>
              <w:left w:type="dxa" w:w="100"/>
              <w:bottom w:type="dxa" w:w="60"/>
              <w:right w:type="dxa" w:w="100"/>
            </w:tcMar>
          </w:tcPr>
          <w:p>
            <w:r>
              <w:rPr>
                <w:b w:val="false"/>
                <w:bCs w:val="false"/>
                <w:sz w:val="19"/>
                <w:szCs w:val="19"/>
              </w:rPr>
              <w:t xml:space="preserve">Program ZBW_RUFIGLR_REPORTING_SUPP (+ 3 includes)</w:t>
            </w:r>
          </w:p>
        </w:tc>
        <w:tc>
          <w:tcPr>
            <w:tcW w:type="dxa" w:w="2500"/>
            <w:tcMar>
              <w:top w:type="dxa" w:w="60"/>
              <w:left w:type="dxa" w:w="100"/>
              <w:bottom w:type="dxa" w:w="60"/>
              <w:right w:type="dxa" w:w="100"/>
            </w:tcMar>
          </w:tcPr>
          <w:p>
            <w:r>
              <w:rPr>
                <w:b w:val="false"/>
                <w:bCs w:val="false"/>
                <w:sz w:val="19"/>
                <w:szCs w:val="19"/>
              </w:rPr>
              <w:t xml:space="preserve">Main support-fee report</w:t>
            </w:r>
          </w:p>
        </w:tc>
        <w:tc>
          <w:tcPr>
            <w:tcW w:type="dxa" w:w="3226"/>
            <w:tcMar>
              <w:top w:type="dxa" w:w="60"/>
              <w:left w:type="dxa" w:w="100"/>
              <w:bottom w:type="dxa" w:w="60"/>
              <w:right w:type="dxa" w:w="100"/>
            </w:tcMar>
          </w:tcPr>
          <w:p>
            <w:r>
              <w:rPr>
                <w:b w:val="false"/>
                <w:bCs w:val="false"/>
                <w:sz w:val="19"/>
                <w:szCs w:val="19"/>
              </w:rPr>
              <w:t xml:space="preserve">Rebuilt as /CCBJI/RUFIGLR_REPORTING_SUPP (+ 3 includes) with same reports and rules</w:t>
            </w:r>
          </w:p>
        </w:tc>
      </w:tr>
      <w:tr>
        <w:trPr>
          <w:tblHeader w:val="false"/>
        </w:trPr>
        <w:tc>
          <w:tcPr>
            <w:tcW w:type="dxa" w:w="3300"/>
            <w:tcMar>
              <w:top w:type="dxa" w:w="60"/>
              <w:left w:type="dxa" w:w="100"/>
              <w:bottom w:type="dxa" w:w="60"/>
              <w:right w:type="dxa" w:w="100"/>
            </w:tcMar>
          </w:tcPr>
          <w:p>
            <w:r>
              <w:rPr>
                <w:b w:val="false"/>
                <w:bCs w:val="false"/>
                <w:sz w:val="19"/>
                <w:szCs w:val="19"/>
              </w:rPr>
              <w:t xml:space="preserve">HANA calculation views ZJ_SUPPORT_FEE_CF_001, _TYPE_F_001, _PRCTR_02, DATA_001/_BA/_F</w:t>
            </w:r>
          </w:p>
        </w:tc>
        <w:tc>
          <w:tcPr>
            <w:tcW w:type="dxa" w:w="2500"/>
            <w:tcMar>
              <w:top w:type="dxa" w:w="60"/>
              <w:left w:type="dxa" w:w="100"/>
              <w:bottom w:type="dxa" w:w="60"/>
              <w:right w:type="dxa" w:w="100"/>
            </w:tcMar>
          </w:tcPr>
          <w:p>
            <w:r>
              <w:rPr>
                <w:b w:val="false"/>
                <w:bCs w:val="false"/>
                <w:sz w:val="19"/>
                <w:szCs w:val="19"/>
              </w:rPr>
              <w:t xml:space="preserve">Selected and joined FI + COPA data, record-type filters, de-duplication, profit-center logic</w:t>
            </w:r>
          </w:p>
        </w:tc>
        <w:tc>
          <w:tcPr>
            <w:tcW w:type="dxa" w:w="3226"/>
            <w:tcMar>
              <w:top w:type="dxa" w:w="60"/>
              <w:left w:type="dxa" w:w="100"/>
              <w:bottom w:type="dxa" w:w="60"/>
              <w:right w:type="dxa" w:w="100"/>
            </w:tcMar>
          </w:tcPr>
          <w:p>
            <w:r>
              <w:rPr>
                <w:b w:val="false"/>
                <w:bCs w:val="false"/>
                <w:sz w:val="19"/>
                <w:szCs w:val="19"/>
              </w:rPr>
              <w:t xml:space="preserve">Logic rebuilt inside the ABAP program as database-aggregated reads on ACDOCA — no views needed</w:t>
            </w:r>
          </w:p>
        </w:tc>
      </w:tr>
      <w:tr>
        <w:trPr>
          <w:tblHeader w:val="false"/>
        </w:trPr>
        <w:tc>
          <w:tcPr>
            <w:tcW w:type="dxa" w:w="3300"/>
            <w:tcMar>
              <w:top w:type="dxa" w:w="60"/>
              <w:left w:type="dxa" w:w="100"/>
              <w:bottom w:type="dxa" w:w="60"/>
              <w:right w:type="dxa" w:w="100"/>
            </w:tcMar>
          </w:tcPr>
          <w:p>
            <w:r>
              <w:rPr>
                <w:b w:val="false"/>
                <w:bCs w:val="false"/>
                <w:sz w:val="19"/>
                <w:szCs w:val="19"/>
              </w:rPr>
              <w:t xml:space="preserve">AMDP classes ZJRTR_CL_GET_COPA_SF, ZJRTR_CL_SUPP_FEE_ALLOC</w:t>
            </w:r>
          </w:p>
        </w:tc>
        <w:tc>
          <w:tcPr>
            <w:tcW w:type="dxa" w:w="2500"/>
            <w:tcMar>
              <w:top w:type="dxa" w:w="60"/>
              <w:left w:type="dxa" w:w="100"/>
              <w:bottom w:type="dxa" w:w="60"/>
              <w:right w:type="dxa" w:w="100"/>
            </w:tcMar>
          </w:tcPr>
          <w:p>
            <w:r>
              <w:rPr>
                <w:b w:val="false"/>
                <w:bCs w:val="false"/>
                <w:sz w:val="19"/>
                <w:szCs w:val="19"/>
              </w:rPr>
              <w:t xml:space="preserve">Bridge between ABAP and the HANA views</w:t>
            </w:r>
          </w:p>
        </w:tc>
        <w:tc>
          <w:tcPr>
            <w:tcW w:type="dxa" w:w="3226"/>
            <w:tcMar>
              <w:top w:type="dxa" w:w="60"/>
              <w:left w:type="dxa" w:w="100"/>
              <w:bottom w:type="dxa" w:w="60"/>
              <w:right w:type="dxa" w:w="100"/>
            </w:tcMar>
          </w:tcPr>
          <w:p>
            <w:r>
              <w:rPr>
                <w:b w:val="false"/>
                <w:bCs w:val="false"/>
                <w:sz w:val="19"/>
                <w:szCs w:val="19"/>
              </w:rPr>
              <w:t xml:space="preserve">Not needed — the program reads ACDOCA directly</w:t>
            </w:r>
          </w:p>
        </w:tc>
      </w:tr>
      <w:tr>
        <w:trPr>
          <w:tblHeader w:val="false"/>
        </w:trPr>
        <w:tc>
          <w:tcPr>
            <w:tcW w:type="dxa" w:w="3300"/>
            <w:tcMar>
              <w:top w:type="dxa" w:w="60"/>
              <w:left w:type="dxa" w:w="100"/>
              <w:bottom w:type="dxa" w:w="60"/>
              <w:right w:type="dxa" w:w="100"/>
            </w:tcMar>
          </w:tcPr>
          <w:p>
            <w:r>
              <w:rPr>
                <w:b w:val="false"/>
                <w:bCs w:val="false"/>
                <w:sz w:val="19"/>
                <w:szCs w:val="19"/>
              </w:rPr>
              <w:t xml:space="preserve">BW copies of CE1JP00 (COPA) and FAGLFLEXA (FI)</w:t>
            </w:r>
          </w:p>
        </w:tc>
        <w:tc>
          <w:tcPr>
            <w:tcW w:type="dxa" w:w="2500"/>
            <w:tcMar>
              <w:top w:type="dxa" w:w="60"/>
              <w:left w:type="dxa" w:w="100"/>
              <w:bottom w:type="dxa" w:w="60"/>
              <w:right w:type="dxa" w:w="100"/>
            </w:tcMar>
          </w:tcPr>
          <w:p>
            <w:r>
              <w:rPr>
                <w:b w:val="false"/>
                <w:bCs w:val="false"/>
                <w:sz w:val="19"/>
                <w:szCs w:val="19"/>
              </w:rPr>
              <w:t xml:space="preserve">Data basis, loaded from ECC</w:t>
            </w:r>
          </w:p>
        </w:tc>
        <w:tc>
          <w:tcPr>
            <w:tcW w:type="dxa" w:w="3226"/>
            <w:tcMar>
              <w:top w:type="dxa" w:w="60"/>
              <w:left w:type="dxa" w:w="100"/>
              <w:bottom w:type="dxa" w:w="60"/>
              <w:right w:type="dxa" w:w="100"/>
            </w:tcMar>
          </w:tcPr>
          <w:p>
            <w:r>
              <w:rPr>
                <w:b w:val="false"/>
                <w:bCs w:val="false"/>
                <w:sz w:val="19"/>
                <w:szCs w:val="19"/>
              </w:rPr>
              <w:t xml:space="preserve">ACDOCA — live data, no loading, always current</w:t>
            </w:r>
          </w:p>
        </w:tc>
      </w:tr>
      <w:tr>
        <w:trPr>
          <w:tblHeader w:val="false"/>
        </w:trPr>
        <w:tc>
          <w:tcPr>
            <w:tcW w:type="dxa" w:w="3300"/>
            <w:tcMar>
              <w:top w:type="dxa" w:w="60"/>
              <w:left w:type="dxa" w:w="100"/>
              <w:bottom w:type="dxa" w:w="60"/>
              <w:right w:type="dxa" w:w="100"/>
            </w:tcMar>
          </w:tcPr>
          <w:p>
            <w:r>
              <w:rPr>
                <w:b w:val="false"/>
                <w:bCs w:val="false"/>
                <w:sz w:val="19"/>
                <w:szCs w:val="19"/>
              </w:rPr>
              <w:t xml:space="preserve">Record type VRGAR (F, 1–9, B)</w:t>
            </w:r>
          </w:p>
        </w:tc>
        <w:tc>
          <w:tcPr>
            <w:tcW w:type="dxa" w:w="2500"/>
            <w:tcMar>
              <w:top w:type="dxa" w:w="60"/>
              <w:left w:type="dxa" w:w="100"/>
              <w:bottom w:type="dxa" w:w="60"/>
              <w:right w:type="dxa" w:w="100"/>
            </w:tcMar>
          </w:tcPr>
          <w:p>
            <w:r>
              <w:rPr>
                <w:b w:val="false"/>
                <w:bCs w:val="false"/>
                <w:sz w:val="19"/>
                <w:szCs w:val="19"/>
              </w:rPr>
              <w:t xml:space="preserve">Classified the origin of each COPA line</w:t>
            </w:r>
          </w:p>
        </w:tc>
        <w:tc>
          <w:tcPr>
            <w:tcW w:type="dxa" w:w="3226"/>
            <w:tcMar>
              <w:top w:type="dxa" w:w="60"/>
              <w:left w:type="dxa" w:w="100"/>
              <w:bottom w:type="dxa" w:w="60"/>
              <w:right w:type="dxa" w:w="100"/>
            </w:tcMar>
          </w:tcPr>
          <w:p>
            <w:r>
              <w:rPr>
                <w:b w:val="false"/>
                <w:bCs w:val="false"/>
                <w:sz w:val="19"/>
                <w:szCs w:val="19"/>
              </w:rPr>
              <w:t xml:space="preserve">Combination of AWTYP + document type in ACDOCA (validated against real 7827 data)</w:t>
            </w:r>
          </w:p>
        </w:tc>
      </w:tr>
      <w:tr>
        <w:trPr>
          <w:tblHeader w:val="false"/>
        </w:trPr>
        <w:tc>
          <w:tcPr>
            <w:tcW w:type="dxa" w:w="3300"/>
            <w:tcMar>
              <w:top w:type="dxa" w:w="60"/>
              <w:left w:type="dxa" w:w="100"/>
              <w:bottom w:type="dxa" w:w="60"/>
              <w:right w:type="dxa" w:w="100"/>
            </w:tcMar>
          </w:tcPr>
          <w:p>
            <w:r>
              <w:rPr>
                <w:b w:val="false"/>
                <w:bCs w:val="false"/>
                <w:sz w:val="19"/>
                <w:szCs w:val="19"/>
              </w:rPr>
              <w:t xml:space="preserve">/BIC/AZJDMAPGL2 (GL mapping)</w:t>
            </w:r>
          </w:p>
        </w:tc>
        <w:tc>
          <w:tcPr>
            <w:tcW w:type="dxa" w:w="2500"/>
            <w:tcMar>
              <w:top w:type="dxa" w:w="60"/>
              <w:left w:type="dxa" w:w="100"/>
              <w:bottom w:type="dxa" w:w="60"/>
              <w:right w:type="dxa" w:w="100"/>
            </w:tcMar>
          </w:tcPr>
          <w:p>
            <w:r>
              <w:rPr>
                <w:b w:val="false"/>
                <w:bCs w:val="false"/>
                <w:sz w:val="19"/>
                <w:szCs w:val="19"/>
              </w:rPr>
              <w:t xml:space="preserve">Expense GL → debit/credit accounts, tax code</w:t>
            </w:r>
          </w:p>
        </w:tc>
        <w:tc>
          <w:tcPr>
            <w:tcW w:type="dxa" w:w="3226"/>
            <w:tcMar>
              <w:top w:type="dxa" w:w="60"/>
              <w:left w:type="dxa" w:w="100"/>
              <w:bottom w:type="dxa" w:w="60"/>
              <w:right w:type="dxa" w:w="100"/>
            </w:tcMar>
          </w:tcPr>
          <w:p>
            <w:r>
              <w:rPr>
                <w:b w:val="false"/>
                <w:bCs w:val="false"/>
                <w:sz w:val="19"/>
                <w:szCs w:val="19"/>
              </w:rPr>
              <w:t xml:space="preserve">Already exists in S/4 as /CCBJI/T_MAP_GL (1,358 entries) — reused as-is</w:t>
            </w:r>
          </w:p>
        </w:tc>
      </w:tr>
      <w:tr>
        <w:trPr>
          <w:tblHeader w:val="false"/>
        </w:trPr>
        <w:tc>
          <w:tcPr>
            <w:tcW w:type="dxa" w:w="3300"/>
            <w:tcMar>
              <w:top w:type="dxa" w:w="60"/>
              <w:left w:type="dxa" w:w="100"/>
              <w:bottom w:type="dxa" w:w="60"/>
              <w:right w:type="dxa" w:w="100"/>
            </w:tcMar>
          </w:tcPr>
          <w:p>
            <w:r>
              <w:rPr>
                <w:b w:val="false"/>
                <w:bCs w:val="false"/>
                <w:sz w:val="19"/>
                <w:szCs w:val="19"/>
              </w:rPr>
              <w:t xml:space="preserve">/BIC/AZJDSUPFEE2 (incidence %)</w:t>
            </w:r>
          </w:p>
        </w:tc>
        <w:tc>
          <w:tcPr>
            <w:tcW w:type="dxa" w:w="2500"/>
            <w:tcMar>
              <w:top w:type="dxa" w:w="60"/>
              <w:left w:type="dxa" w:w="100"/>
              <w:bottom w:type="dxa" w:w="60"/>
              <w:right w:type="dxa" w:w="100"/>
            </w:tcMar>
          </w:tcPr>
          <w:p>
            <w:r>
              <w:rPr>
                <w:b w:val="false"/>
                <w:bCs w:val="false"/>
                <w:sz w:val="19"/>
                <w:szCs w:val="19"/>
              </w:rPr>
              <w:t xml:space="preserve">The rate master</w:t>
            </w:r>
          </w:p>
        </w:tc>
        <w:tc>
          <w:tcPr>
            <w:tcW w:type="dxa" w:w="3226"/>
            <w:tcMar>
              <w:top w:type="dxa" w:w="60"/>
              <w:left w:type="dxa" w:w="100"/>
              <w:bottom w:type="dxa" w:w="60"/>
              <w:right w:type="dxa" w:w="100"/>
            </w:tcMar>
          </w:tcPr>
          <w:p>
            <w:r>
              <w:rPr>
                <w:b w:val="false"/>
                <w:bCs w:val="false"/>
                <w:sz w:val="19"/>
                <w:szCs w:val="19"/>
              </w:rPr>
              <w:t xml:space="preserve">Already exists in S/4 as /CCBJI/T_SUP_FEE — reused as-is</w:t>
            </w:r>
          </w:p>
        </w:tc>
      </w:tr>
      <w:tr>
        <w:trPr>
          <w:tblHeader w:val="false"/>
        </w:trPr>
        <w:tc>
          <w:tcPr>
            <w:tcW w:type="dxa" w:w="3300"/>
            <w:tcMar>
              <w:top w:type="dxa" w:w="60"/>
              <w:left w:type="dxa" w:w="100"/>
              <w:bottom w:type="dxa" w:w="60"/>
              <w:right w:type="dxa" w:w="100"/>
            </w:tcMar>
          </w:tcPr>
          <w:p>
            <w:r>
              <w:rPr>
                <w:b w:val="false"/>
                <w:bCs w:val="false"/>
                <w:sz w:val="19"/>
                <w:szCs w:val="19"/>
              </w:rPr>
              <w:t xml:space="preserve">/BIC/AZKAMORGL42 (KAM L4 mapping)</w:t>
            </w:r>
          </w:p>
        </w:tc>
        <w:tc>
          <w:tcPr>
            <w:tcW w:type="dxa" w:w="2500"/>
            <w:tcMar>
              <w:top w:type="dxa" w:w="60"/>
              <w:left w:type="dxa" w:w="100"/>
              <w:bottom w:type="dxa" w:w="60"/>
              <w:right w:type="dxa" w:w="100"/>
            </w:tcMar>
          </w:tcPr>
          <w:p>
            <w:r>
              <w:rPr>
                <w:b w:val="false"/>
                <w:bCs w:val="false"/>
                <w:sz w:val="19"/>
                <w:szCs w:val="19"/>
              </w:rPr>
              <w:t xml:space="preserve">KAM Level-4 code → cost center</w:t>
            </w:r>
          </w:p>
        </w:tc>
        <w:tc>
          <w:tcPr>
            <w:tcW w:type="dxa" w:w="3226"/>
            <w:tcMar>
              <w:top w:type="dxa" w:w="60"/>
              <w:left w:type="dxa" w:w="100"/>
              <w:bottom w:type="dxa" w:w="60"/>
              <w:right w:type="dxa" w:w="100"/>
            </w:tcMar>
          </w:tcPr>
          <w:p>
            <w:r>
              <w:rPr>
                <w:b w:val="false"/>
                <w:bCs w:val="false"/>
                <w:sz w:val="19"/>
                <w:szCs w:val="19"/>
              </w:rPr>
              <w:t xml:space="preserve">NEW table /CCBJI/T_KAM_L4_CC + new upload program (data migrated: 115 rows)</w:t>
            </w:r>
          </w:p>
        </w:tc>
      </w:tr>
      <w:tr>
        <w:trPr>
          <w:tblHeader w:val="false"/>
        </w:trPr>
        <w:tc>
          <w:tcPr>
            <w:tcW w:type="dxa" w:w="3300"/>
            <w:tcMar>
              <w:top w:type="dxa" w:w="60"/>
              <w:left w:type="dxa" w:w="100"/>
              <w:bottom w:type="dxa" w:w="60"/>
              <w:right w:type="dxa" w:w="100"/>
            </w:tcMar>
          </w:tcPr>
          <w:p>
            <w:r>
              <w:rPr>
                <w:b w:val="false"/>
                <w:bCs w:val="false"/>
                <w:sz w:val="19"/>
                <w:szCs w:val="19"/>
              </w:rPr>
              <w:t xml:space="preserve">/BIC/AZJSUFEECE2 (cost element mapping)</w:t>
            </w:r>
          </w:p>
        </w:tc>
        <w:tc>
          <w:tcPr>
            <w:tcW w:type="dxa" w:w="2500"/>
            <w:tcMar>
              <w:top w:type="dxa" w:w="60"/>
              <w:left w:type="dxa" w:w="100"/>
              <w:bottom w:type="dxa" w:w="60"/>
              <w:right w:type="dxa" w:w="100"/>
            </w:tcMar>
          </w:tcPr>
          <w:p>
            <w:r>
              <w:rPr>
                <w:b w:val="false"/>
                <w:bCs w:val="false"/>
                <w:sz w:val="19"/>
                <w:szCs w:val="19"/>
              </w:rPr>
              <w:t xml:space="preserve">Cost element for COPA posting</w:t>
            </w:r>
          </w:p>
        </w:tc>
        <w:tc>
          <w:tcPr>
            <w:tcW w:type="dxa" w:w="3226"/>
            <w:tcMar>
              <w:top w:type="dxa" w:w="60"/>
              <w:left w:type="dxa" w:w="100"/>
              <w:bottom w:type="dxa" w:w="60"/>
              <w:right w:type="dxa" w:w="100"/>
            </w:tcMar>
          </w:tcPr>
          <w:p>
            <w:r>
              <w:rPr>
                <w:b w:val="false"/>
                <w:bCs w:val="false"/>
                <w:sz w:val="19"/>
                <w:szCs w:val="19"/>
              </w:rPr>
              <w:t xml:space="preserve">NEW table /CCBJI/T_SUPFEE_CE (data migrated: 16 rows)</w:t>
            </w:r>
          </w:p>
        </w:tc>
      </w:tr>
      <w:tr>
        <w:trPr>
          <w:tblHeader w:val="false"/>
        </w:trPr>
        <w:tc>
          <w:tcPr>
            <w:tcW w:type="dxa" w:w="3300"/>
            <w:tcMar>
              <w:top w:type="dxa" w:w="60"/>
              <w:left w:type="dxa" w:w="100"/>
              <w:bottom w:type="dxa" w:w="60"/>
              <w:right w:type="dxa" w:w="100"/>
            </w:tcMar>
          </w:tcPr>
          <w:p>
            <w:r>
              <w:rPr>
                <w:b w:val="false"/>
                <w:bCs w:val="false"/>
                <w:sz w:val="19"/>
                <w:szCs w:val="19"/>
              </w:rPr>
              <w:t xml:space="preserve">Upload program ZJRTR_RUCOPBR_HANA_ALLOC_UPLD</w:t>
            </w:r>
          </w:p>
        </w:tc>
        <w:tc>
          <w:tcPr>
            <w:tcW w:type="dxa" w:w="2500"/>
            <w:tcMar>
              <w:top w:type="dxa" w:w="60"/>
              <w:left w:type="dxa" w:w="100"/>
              <w:bottom w:type="dxa" w:w="60"/>
              <w:right w:type="dxa" w:w="100"/>
            </w:tcMar>
          </w:tcPr>
          <w:p>
            <w:r>
              <w:rPr>
                <w:b w:val="false"/>
                <w:bCs w:val="false"/>
                <w:sz w:val="19"/>
                <w:szCs w:val="19"/>
              </w:rPr>
              <w:t xml:space="preserve">CSV upload of KAM L4 mapping into BW</w:t>
            </w:r>
          </w:p>
        </w:tc>
        <w:tc>
          <w:tcPr>
            <w:tcW w:type="dxa" w:w="3226"/>
            <w:tcMar>
              <w:top w:type="dxa" w:w="60"/>
              <w:left w:type="dxa" w:w="100"/>
              <w:bottom w:type="dxa" w:w="60"/>
              <w:right w:type="dxa" w:w="100"/>
            </w:tcMar>
          </w:tcPr>
          <w:p>
            <w:r>
              <w:rPr>
                <w:b w:val="false"/>
                <w:bCs w:val="false"/>
                <w:sz w:val="19"/>
                <w:szCs w:val="19"/>
              </w:rPr>
              <w:t xml:space="preserve">NEW simpler upload program with own transaction, plus validations the old one did not have</w:t>
            </w:r>
          </w:p>
        </w:tc>
      </w:tr>
      <w:tr>
        <w:trPr>
          <w:tblHeader w:val="false"/>
        </w:trPr>
        <w:tc>
          <w:tcPr>
            <w:tcW w:type="dxa" w:w="3300"/>
            <w:tcMar>
              <w:top w:type="dxa" w:w="60"/>
              <w:left w:type="dxa" w:w="100"/>
              <w:bottom w:type="dxa" w:w="60"/>
              <w:right w:type="dxa" w:w="100"/>
            </w:tcMar>
          </w:tcPr>
          <w:p>
            <w:r>
              <w:rPr>
                <w:b w:val="false"/>
                <w:bCs w:val="false"/>
                <w:sz w:val="19"/>
                <w:szCs w:val="19"/>
              </w:rPr>
              <w:t xml:space="preserve">Text file on AL11 server + ECC program /CCBJI/RUFIGLR_SUPPFI_POST</w:t>
            </w:r>
          </w:p>
        </w:tc>
        <w:tc>
          <w:tcPr>
            <w:tcW w:type="dxa" w:w="2500"/>
            <w:tcMar>
              <w:top w:type="dxa" w:w="60"/>
              <w:left w:type="dxa" w:w="100"/>
              <w:bottom w:type="dxa" w:w="60"/>
              <w:right w:type="dxa" w:w="100"/>
            </w:tcMar>
          </w:tcPr>
          <w:p>
            <w:r>
              <w:rPr>
                <w:b w:val="false"/>
                <w:bCs w:val="false"/>
                <w:sz w:val="19"/>
                <w:szCs w:val="19"/>
              </w:rPr>
              <w:t xml:space="preserve">Transported results to ECC and posted FI documents there</w:t>
            </w:r>
          </w:p>
        </w:tc>
        <w:tc>
          <w:tcPr>
            <w:tcW w:type="dxa" w:w="3226"/>
            <w:tcMar>
              <w:top w:type="dxa" w:w="60"/>
              <w:left w:type="dxa" w:w="100"/>
              <w:bottom w:type="dxa" w:w="60"/>
              <w:right w:type="dxa" w:w="100"/>
            </w:tcMar>
          </w:tcPr>
          <w:p>
            <w:r>
              <w:rPr>
                <w:b w:val="false"/>
                <w:bCs w:val="false"/>
                <w:sz w:val="19"/>
                <w:szCs w:val="19"/>
              </w:rPr>
              <w:t xml:space="preserve">Direct posting inside the same S/4 program — same document layout (type YE, debit/credit/tax lines), no files, no second system</w:t>
            </w:r>
          </w:p>
        </w:tc>
      </w:tr>
      <w:tr>
        <w:trPr>
          <w:tblHeader w:val="false"/>
        </w:trPr>
        <w:tc>
          <w:tcPr>
            <w:tcW w:type="dxa" w:w="3300"/>
            <w:tcMar>
              <w:top w:type="dxa" w:w="60"/>
              <w:left w:type="dxa" w:w="100"/>
              <w:bottom w:type="dxa" w:w="60"/>
              <w:right w:type="dxa" w:w="100"/>
            </w:tcMar>
          </w:tcPr>
          <w:p>
            <w:r>
              <w:rPr>
                <w:b w:val="false"/>
                <w:bCs w:val="false"/>
                <w:sz w:val="19"/>
                <w:szCs w:val="19"/>
              </w:rPr>
              <w:t xml:space="preserve">HANA staging table ZJ_SUPPORT_FEE_PER</w:t>
            </w:r>
          </w:p>
        </w:tc>
        <w:tc>
          <w:tcPr>
            <w:tcW w:type="dxa" w:w="2500"/>
            <w:tcMar>
              <w:top w:type="dxa" w:w="60"/>
              <w:left w:type="dxa" w:w="100"/>
              <w:bottom w:type="dxa" w:w="60"/>
              <w:right w:type="dxa" w:w="100"/>
            </w:tcMar>
          </w:tcPr>
          <w:p>
            <w:r>
              <w:rPr>
                <w:b w:val="false"/>
                <w:bCs w:val="false"/>
                <w:sz w:val="19"/>
                <w:szCs w:val="19"/>
              </w:rPr>
              <w:t xml:space="preserve">Intermediate storage between calculation and posting</w:t>
            </w:r>
          </w:p>
        </w:tc>
        <w:tc>
          <w:tcPr>
            <w:tcW w:type="dxa" w:w="3226"/>
            <w:tcMar>
              <w:top w:type="dxa" w:w="60"/>
              <w:left w:type="dxa" w:w="100"/>
              <w:bottom w:type="dxa" w:w="60"/>
              <w:right w:type="dxa" w:w="100"/>
            </w:tcMar>
          </w:tcPr>
          <w:p>
            <w:r>
              <w:rPr>
                <w:b w:val="false"/>
                <w:bCs w:val="false"/>
                <w:sz w:val="19"/>
                <w:szCs w:val="19"/>
              </w:rPr>
              <w:t xml:space="preserve">Not needed — processed in memory within one run</w:t>
            </w:r>
          </w:p>
        </w:tc>
      </w:tr>
      <w:tr>
        <w:trPr>
          <w:tblHeader w:val="false"/>
        </w:trPr>
        <w:tc>
          <w:tcPr>
            <w:tcW w:type="dxa" w:w="3300"/>
            <w:tcMar>
              <w:top w:type="dxa" w:w="60"/>
              <w:left w:type="dxa" w:w="100"/>
              <w:bottom w:type="dxa" w:w="60"/>
              <w:right w:type="dxa" w:w="100"/>
            </w:tcMar>
          </w:tcPr>
          <w:p>
            <w:r>
              <w:rPr>
                <w:b w:val="false"/>
                <w:bCs w:val="false"/>
                <w:sz w:val="19"/>
                <w:szCs w:val="19"/>
              </w:rPr>
              <w:t xml:space="preserve">RKEVEXT3 background job</w:t>
            </w:r>
          </w:p>
        </w:tc>
        <w:tc>
          <w:tcPr>
            <w:tcW w:type="dxa" w:w="2500"/>
            <w:tcMar>
              <w:top w:type="dxa" w:w="60"/>
              <w:left w:type="dxa" w:w="100"/>
              <w:bottom w:type="dxa" w:w="60"/>
              <w:right w:type="dxa" w:w="100"/>
            </w:tcMar>
          </w:tcPr>
          <w:p>
            <w:r>
              <w:rPr>
                <w:b w:val="false"/>
                <w:bCs w:val="false"/>
                <w:sz w:val="19"/>
                <w:szCs w:val="19"/>
              </w:rPr>
              <w:t xml:space="preserve">Posted the COPA side in ECC</w:t>
            </w:r>
          </w:p>
        </w:tc>
        <w:tc>
          <w:tcPr>
            <w:tcW w:type="dxa" w:w="3226"/>
            <w:tcMar>
              <w:top w:type="dxa" w:w="60"/>
              <w:left w:type="dxa" w:w="100"/>
              <w:bottom w:type="dxa" w:w="60"/>
              <w:right w:type="dxa" w:w="100"/>
            </w:tcMar>
          </w:tcPr>
          <w:p>
            <w:r>
              <w:rPr>
                <w:b w:val="false"/>
                <w:bCs w:val="false"/>
                <w:sz w:val="19"/>
                <w:szCs w:val="19"/>
              </w:rPr>
              <w:t xml:space="preserve">COPA (profitability) information posted together with the FI document in the same BAPI call</w:t>
            </w:r>
          </w:p>
        </w:tc>
      </w:tr>
      <w:tr>
        <w:trPr>
          <w:tblHeader w:val="false"/>
        </w:trPr>
        <w:tc>
          <w:tcPr>
            <w:tcW w:type="dxa" w:w="3300"/>
            <w:tcMar>
              <w:top w:type="dxa" w:w="60"/>
              <w:left w:type="dxa" w:w="100"/>
              <w:bottom w:type="dxa" w:w="60"/>
              <w:right w:type="dxa" w:w="100"/>
            </w:tcMar>
          </w:tcPr>
          <w:p>
            <w:r>
              <w:rPr>
                <w:b w:val="false"/>
                <w:bCs w:val="false"/>
                <w:sz w:val="19"/>
                <w:szCs w:val="19"/>
              </w:rPr>
              <w:t xml:space="preserve">Number range Z_SUPP_FEE (interval Z1)</w:t>
            </w:r>
          </w:p>
        </w:tc>
        <w:tc>
          <w:tcPr>
            <w:tcW w:type="dxa" w:w="2500"/>
            <w:tcMar>
              <w:top w:type="dxa" w:w="60"/>
              <w:left w:type="dxa" w:w="100"/>
              <w:bottom w:type="dxa" w:w="60"/>
              <w:right w:type="dxa" w:w="100"/>
            </w:tcMar>
          </w:tcPr>
          <w:p>
            <w:r>
              <w:rPr>
                <w:b w:val="false"/>
                <w:bCs w:val="false"/>
                <w:sz w:val="19"/>
                <w:szCs w:val="19"/>
              </w:rPr>
              <w:t xml:space="preserve">COPA document grouping number</w:t>
            </w:r>
          </w:p>
        </w:tc>
        <w:tc>
          <w:tcPr>
            <w:tcW w:type="dxa" w:w="3226"/>
            <w:tcMar>
              <w:top w:type="dxa" w:w="60"/>
              <w:left w:type="dxa" w:w="100"/>
              <w:bottom w:type="dxa" w:w="60"/>
              <w:right w:type="dxa" w:w="100"/>
            </w:tcMar>
          </w:tcPr>
          <w:p>
            <w:r>
              <w:rPr>
                <w:b w:val="false"/>
                <w:bCs w:val="false"/>
                <w:sz w:val="19"/>
                <w:szCs w:val="19"/>
              </w:rPr>
              <w:t xml:space="preserve">Recreated identically in S/4</w:t>
            </w:r>
          </w:p>
        </w:tc>
      </w:tr>
      <w:tr>
        <w:trPr>
          <w:tblHeader w:val="false"/>
        </w:trPr>
        <w:tc>
          <w:tcPr>
            <w:tcW w:type="dxa" w:w="3300"/>
            <w:tcMar>
              <w:top w:type="dxa" w:w="60"/>
              <w:left w:type="dxa" w:w="100"/>
              <w:bottom w:type="dxa" w:w="60"/>
              <w:right w:type="dxa" w:w="100"/>
            </w:tcMar>
          </w:tcPr>
          <w:p>
            <w:r>
              <w:rPr>
                <w:b w:val="false"/>
                <w:bCs w:val="false"/>
                <w:sz w:val="19"/>
                <w:szCs w:val="19"/>
              </w:rPr>
              <w:t xml:space="preserve">TVARVC settings (record types, rates, accounts)</w:t>
            </w:r>
          </w:p>
        </w:tc>
        <w:tc>
          <w:tcPr>
            <w:tcW w:type="dxa" w:w="2500"/>
            <w:tcMar>
              <w:top w:type="dxa" w:w="60"/>
              <w:left w:type="dxa" w:w="100"/>
              <w:bottom w:type="dxa" w:w="60"/>
              <w:right w:type="dxa" w:w="100"/>
            </w:tcMar>
          </w:tcPr>
          <w:p>
            <w:r>
              <w:rPr>
                <w:b w:val="false"/>
                <w:bCs w:val="false"/>
                <w:sz w:val="19"/>
                <w:szCs w:val="19"/>
              </w:rPr>
              <w:t xml:space="preserve">Program configuration</w:t>
            </w:r>
          </w:p>
        </w:tc>
        <w:tc>
          <w:tcPr>
            <w:tcW w:type="dxa" w:w="3226"/>
            <w:tcMar>
              <w:top w:type="dxa" w:w="60"/>
              <w:left w:type="dxa" w:w="100"/>
              <w:bottom w:type="dxa" w:w="60"/>
              <w:right w:type="dxa" w:w="100"/>
            </w:tcMar>
          </w:tcPr>
          <w:p>
            <w:r>
              <w:rPr>
                <w:b w:val="false"/>
                <w:bCs w:val="false"/>
                <w:sz w:val="19"/>
                <w:szCs w:val="19"/>
              </w:rPr>
              <w:t xml:space="preserve">Migrated to S/4 TVARVC; obsolete entries (HANA connection, file path) retired</w:t>
            </w:r>
          </w:p>
        </w:tc>
      </w:tr>
      <w:tr>
        <w:trPr>
          <w:tblHeader w:val="false"/>
        </w:trPr>
        <w:tc>
          <w:tcPr>
            <w:tcW w:type="dxa" w:w="3300"/>
            <w:tcMar>
              <w:top w:type="dxa" w:w="60"/>
              <w:left w:type="dxa" w:w="100"/>
              <w:bottom w:type="dxa" w:w="60"/>
              <w:right w:type="dxa" w:w="100"/>
            </w:tcMar>
          </w:tcPr>
          <w:p>
            <w:r>
              <w:rPr>
                <w:b w:val="false"/>
                <w:bCs w:val="false"/>
                <w:sz w:val="19"/>
                <w:szCs w:val="19"/>
              </w:rPr>
              <w:t xml:space="preserve">Secondary HANA database connection</w:t>
            </w:r>
          </w:p>
        </w:tc>
        <w:tc>
          <w:tcPr>
            <w:tcW w:type="dxa" w:w="2500"/>
            <w:tcMar>
              <w:top w:type="dxa" w:w="60"/>
              <w:left w:type="dxa" w:w="100"/>
              <w:bottom w:type="dxa" w:w="60"/>
              <w:right w:type="dxa" w:w="100"/>
            </w:tcMar>
          </w:tcPr>
          <w:p>
            <w:r>
              <w:rPr>
                <w:b w:val="false"/>
                <w:bCs w:val="false"/>
                <w:sz w:val="19"/>
                <w:szCs w:val="19"/>
              </w:rPr>
              <w:t xml:space="preserve">Let ECC read BW data</w:t>
            </w:r>
          </w:p>
        </w:tc>
        <w:tc>
          <w:tcPr>
            <w:tcW w:type="dxa" w:w="3226"/>
            <w:tcMar>
              <w:top w:type="dxa" w:w="60"/>
              <w:left w:type="dxa" w:w="100"/>
              <w:bottom w:type="dxa" w:w="60"/>
              <w:right w:type="dxa" w:w="100"/>
            </w:tcMar>
          </w:tcPr>
          <w:p>
            <w:r>
              <w:rPr>
                <w:b w:val="false"/>
                <w:bCs w:val="false"/>
                <w:sz w:val="19"/>
                <w:szCs w:val="19"/>
              </w:rPr>
              <w:t xml:space="preserve">Not needed — everything is in one system</w:t>
            </w:r>
          </w:p>
        </w:tc>
      </w:tr>
    </w:tbl>
    <w:p>
      <w:pPr>
        <w:pStyle w:val="Heading1"/>
        <w:spacing w:after="160" w:before="320"/>
      </w:pPr>
      <w:r>
        <w:rPr>
          <w:color w:val="1F4E79"/>
        </w:rPr>
        <w:t xml:space="preserve">3. The new process flow — month end</w:t>
      </w:r>
    </w:p>
    <w:p>
      <w:pPr>
        <w:spacing w:after="120"/>
      </w:pPr>
      <w:r>
        <w:t xml:space="preserve">The month-end activity becomes three simple steps, all in one transaction:</w:t>
      </w:r>
    </w:p>
    <w:p>
      <w:pPr>
        <w:pStyle w:val="ListParagraph"/>
        <w:numPr>
          <w:ilvl w:val="0"/>
          <w:numId w:val="2"/>
        </w:numPr>
        <w:spacing w:after="80"/>
      </w:pPr>
      <w:r>
        <w:t xml:space="preserve">SIMULATE — The user runs the program in Simulation mode. The program reads the month’s expense postings, applies the incidence % rules, and shows exactly which accounting documents WOULD be created, with all amounts. Nothing is saved. Finance reviews the totals.</w:t>
      </w:r>
    </w:p>
    <w:p>
      <w:pPr>
        <w:pStyle w:val="ListParagraph"/>
        <w:numPr>
          <w:ilvl w:val="0"/>
          <w:numId w:val="2"/>
        </w:numPr>
        <w:spacing w:after="80"/>
      </w:pPr>
      <w:r>
        <w:t xml:space="preserve">POST — Once the simulation looks correct, the user runs the same selection in Posting mode. The program creates the FI documents (document type YE) directly — debit accrual account, credit support-fee accounts, including tax lines — and the COPA profitability information is written with the same posting. A log shows every document number created, or the reason if something failed.</w:t>
      </w:r>
    </w:p>
    <w:p>
      <w:pPr>
        <w:pStyle w:val="ListParagraph"/>
        <w:numPr>
          <w:ilvl w:val="0"/>
          <w:numId w:val="2"/>
        </w:numPr>
        <w:spacing w:after="80"/>
      </w:pPr>
      <w:r>
        <w:t xml:space="preserve">VERIFY — The result list shows document numbers with a click-through to the document display (FB03). Reports (Summary, Detail, Monthly, JC Audit) can be run any time to review the figures.</w:t>
      </w:r>
    </w:p>
    <w:p>
      <w:pPr>
        <w:spacing w:after="120"/>
      </w:pPr>
      <w:r>
        <w:rPr>
          <w:i/>
          <w:iCs/>
        </w:rPr>
        <w:t xml:space="preserve">Built-in safety: if the fee for a month was already posted, the program stops and warns before posting a second time. The old process had no such protection.</w:t>
      </w:r>
    </w:p>
    <w:p>
      <w:pPr>
        <w:pStyle w:val="Heading1"/>
        <w:spacing w:after="160" w:before="320"/>
      </w:pPr>
      <w:r>
        <w:rPr>
          <w:color w:val="1F4E79"/>
        </w:rPr>
        <w:t xml:space="preserve">4. New tables that will be created</w:t>
      </w:r>
    </w:p>
    <w:p>
      <w:pPr>
        <w:spacing w:after="120"/>
      </w:pPr>
      <w:r>
        <w:t xml:space="preserve">Four small configuration tables will be created. They replace data that used to live in the BW system, and they make the business rules visible and maintainable in S/4 (via standard table maintenance, SM30).</w:t>
      </w:r>
    </w:p>
    <w:p>
      <w:pPr>
        <w:pStyle w:val="Heading2"/>
        <w:spacing w:after="120" w:before="240"/>
      </w:pPr>
      <w:r>
        <w:rPr>
          <w:color w:val="1F4E79"/>
        </w:rPr>
        <w:t xml:space="preserve">4.1  /CCBJI/T_KAM_L4_CC — KAM organisation to cost center</w:t>
      </w:r>
    </w:p>
    <w:p>
      <w:pPr>
        <w:spacing w:after="120"/>
      </w:pPr>
      <w:r>
        <w:t xml:space="preserve">Links each KAM Level-4 organisation code to its cost center, which the program uses to find the correct profit center. Loaded initially with the 115 mappings from BW; afterwards maintained by upload file (a new, simple upload program with its own transaction is part of this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9E2F3" w:val="clear"/>
            <w:tcMar>
              <w:top w:type="dxa" w:w="60"/>
              <w:left w:type="dxa" w:w="100"/>
              <w:bottom w:type="dxa" w:w="60"/>
              <w:right w:type="dxa" w:w="100"/>
            </w:tcMar>
          </w:tcPr>
          <w:p>
            <w:r>
              <w:rPr>
                <w:b/>
                <w:bCs/>
                <w:sz w:val="19"/>
                <w:szCs w:val="19"/>
              </w:rPr>
              <w:t xml:space="preserve">Field</w:t>
            </w:r>
          </w:p>
        </w:tc>
        <w:tc>
          <w:tcPr>
            <w:tcW w:type="dxa" w:w="2200"/>
            <w:shd w:fill="D9E2F3" w:val="clear"/>
            <w:tcMar>
              <w:top w:type="dxa" w:w="60"/>
              <w:left w:type="dxa" w:w="100"/>
              <w:bottom w:type="dxa" w:w="60"/>
              <w:right w:type="dxa" w:w="100"/>
            </w:tcMar>
          </w:tcPr>
          <w:p>
            <w:r>
              <w:rPr>
                <w:b/>
                <w:bCs/>
                <w:sz w:val="19"/>
                <w:szCs w:val="19"/>
              </w:rPr>
              <w:t xml:space="preserve">Type</w:t>
            </w:r>
          </w:p>
        </w:tc>
        <w:tc>
          <w:tcPr>
            <w:tcW w:type="dxa" w:w="4226"/>
            <w:shd w:fill="D9E2F3" w:val="clear"/>
            <w:tcMar>
              <w:top w:type="dxa" w:w="60"/>
              <w:left w:type="dxa" w:w="100"/>
              <w:bottom w:type="dxa" w:w="60"/>
              <w:right w:type="dxa" w:w="100"/>
            </w:tcMar>
          </w:tcPr>
          <w:p>
            <w:r>
              <w:rPr>
                <w:b/>
                <w:bCs/>
                <w:sz w:val="19"/>
                <w:szCs w:val="19"/>
              </w:rPr>
              <w:t xml:space="preserve">Meaning</w:t>
            </w:r>
          </w:p>
        </w:tc>
      </w:tr>
      <w:tr>
        <w:trPr>
          <w:tblHeader w:val="false"/>
        </w:trPr>
        <w:tc>
          <w:tcPr>
            <w:tcW w:type="dxa" w:w="2600"/>
            <w:tcMar>
              <w:top w:type="dxa" w:w="60"/>
              <w:left w:type="dxa" w:w="100"/>
              <w:bottom w:type="dxa" w:w="60"/>
              <w:right w:type="dxa" w:w="100"/>
            </w:tcMar>
          </w:tcPr>
          <w:p>
            <w:r>
              <w:rPr>
                <w:b w:val="false"/>
                <w:bCs w:val="false"/>
                <w:sz w:val="19"/>
                <w:szCs w:val="19"/>
              </w:rPr>
              <w:t xml:space="preserve">KAMORGL4CD (key)</w:t>
            </w:r>
          </w:p>
        </w:tc>
        <w:tc>
          <w:tcPr>
            <w:tcW w:type="dxa" w:w="2200"/>
            <w:tcMar>
              <w:top w:type="dxa" w:w="60"/>
              <w:left w:type="dxa" w:w="100"/>
              <w:bottom w:type="dxa" w:w="60"/>
              <w:right w:type="dxa" w:w="100"/>
            </w:tcMar>
          </w:tcPr>
          <w:p>
            <w:r>
              <w:rPr>
                <w:b w:val="false"/>
                <w:bCs w:val="false"/>
                <w:sz w:val="19"/>
                <w:szCs w:val="19"/>
              </w:rPr>
              <w:t xml:space="preserve">Character 8</w:t>
            </w:r>
          </w:p>
        </w:tc>
        <w:tc>
          <w:tcPr>
            <w:tcW w:type="dxa" w:w="4226"/>
            <w:tcMar>
              <w:top w:type="dxa" w:w="60"/>
              <w:left w:type="dxa" w:w="100"/>
              <w:bottom w:type="dxa" w:w="60"/>
              <w:right w:type="dxa" w:w="100"/>
            </w:tcMar>
          </w:tcPr>
          <w:p>
            <w:r>
              <w:rPr>
                <w:b w:val="false"/>
                <w:bCs w:val="false"/>
                <w:sz w:val="19"/>
                <w:szCs w:val="19"/>
              </w:rPr>
              <w:t xml:space="preserve">KAM Level-4 organisation code</w:t>
            </w:r>
          </w:p>
        </w:tc>
      </w:tr>
      <w:tr>
        <w:trPr>
          <w:tblHeader w:val="false"/>
        </w:trPr>
        <w:tc>
          <w:tcPr>
            <w:tcW w:type="dxa" w:w="2600"/>
            <w:tcMar>
              <w:top w:type="dxa" w:w="60"/>
              <w:left w:type="dxa" w:w="100"/>
              <w:bottom w:type="dxa" w:w="60"/>
              <w:right w:type="dxa" w:w="100"/>
            </w:tcMar>
          </w:tcPr>
          <w:p>
            <w:r>
              <w:rPr>
                <w:b w:val="false"/>
                <w:bCs w:val="false"/>
                <w:sz w:val="19"/>
                <w:szCs w:val="19"/>
              </w:rPr>
              <w:t xml:space="preserve">KOSTL</w:t>
            </w:r>
          </w:p>
        </w:tc>
        <w:tc>
          <w:tcPr>
            <w:tcW w:type="dxa" w:w="2200"/>
            <w:tcMar>
              <w:top w:type="dxa" w:w="60"/>
              <w:left w:type="dxa" w:w="100"/>
              <w:bottom w:type="dxa" w:w="60"/>
              <w:right w:type="dxa" w:w="100"/>
            </w:tcMar>
          </w:tcPr>
          <w:p>
            <w:r>
              <w:rPr>
                <w:b w:val="false"/>
                <w:bCs w:val="false"/>
                <w:sz w:val="19"/>
                <w:szCs w:val="19"/>
              </w:rPr>
              <w:t xml:space="preserve">Character 10</w:t>
            </w:r>
          </w:p>
        </w:tc>
        <w:tc>
          <w:tcPr>
            <w:tcW w:type="dxa" w:w="4226"/>
            <w:tcMar>
              <w:top w:type="dxa" w:w="60"/>
              <w:left w:type="dxa" w:w="100"/>
              <w:bottom w:type="dxa" w:w="60"/>
              <w:right w:type="dxa" w:w="100"/>
            </w:tcMar>
          </w:tcPr>
          <w:p>
            <w:r>
              <w:rPr>
                <w:b w:val="false"/>
                <w:bCs w:val="false"/>
                <w:sz w:val="19"/>
                <w:szCs w:val="19"/>
              </w:rPr>
              <w:t xml:space="preserve">Cost center assigned to that organisation</w:t>
            </w:r>
          </w:p>
        </w:tc>
      </w:tr>
    </w:tbl>
    <w:p>
      <w:pPr>
        <w:pStyle w:val="Heading2"/>
        <w:spacing w:after="120" w:before="240"/>
      </w:pPr>
      <w:r>
        <w:rPr>
          <w:color w:val="1F4E79"/>
        </w:rPr>
        <w:t xml:space="preserve">4.2  /CCBJI/T_SUPFEE_CE — cost element for COPA posting</w:t>
      </w:r>
    </w:p>
    <w:p>
      <w:pPr>
        <w:spacing w:after="120"/>
      </w:pPr>
      <w:r>
        <w:t xml:space="preserve">Tells the program which cost element to use when writing the COPA (profitability) side of the posting. Loaded once with the 16 rows from BW; rarely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9E2F3" w:val="clear"/>
            <w:tcMar>
              <w:top w:type="dxa" w:w="60"/>
              <w:left w:type="dxa" w:w="100"/>
              <w:bottom w:type="dxa" w:w="60"/>
              <w:right w:type="dxa" w:w="100"/>
            </w:tcMar>
          </w:tcPr>
          <w:p>
            <w:r>
              <w:rPr>
                <w:b/>
                <w:bCs/>
                <w:sz w:val="19"/>
                <w:szCs w:val="19"/>
              </w:rPr>
              <w:t xml:space="preserve">Field</w:t>
            </w:r>
          </w:p>
        </w:tc>
        <w:tc>
          <w:tcPr>
            <w:tcW w:type="dxa" w:w="2200"/>
            <w:shd w:fill="D9E2F3" w:val="clear"/>
            <w:tcMar>
              <w:top w:type="dxa" w:w="60"/>
              <w:left w:type="dxa" w:w="100"/>
              <w:bottom w:type="dxa" w:w="60"/>
              <w:right w:type="dxa" w:w="100"/>
            </w:tcMar>
          </w:tcPr>
          <w:p>
            <w:r>
              <w:rPr>
                <w:b/>
                <w:bCs/>
                <w:sz w:val="19"/>
                <w:szCs w:val="19"/>
              </w:rPr>
              <w:t xml:space="preserve">Type</w:t>
            </w:r>
          </w:p>
        </w:tc>
        <w:tc>
          <w:tcPr>
            <w:tcW w:type="dxa" w:w="4226"/>
            <w:shd w:fill="D9E2F3" w:val="clear"/>
            <w:tcMar>
              <w:top w:type="dxa" w:w="60"/>
              <w:left w:type="dxa" w:w="100"/>
              <w:bottom w:type="dxa" w:w="60"/>
              <w:right w:type="dxa" w:w="100"/>
            </w:tcMar>
          </w:tcPr>
          <w:p>
            <w:r>
              <w:rPr>
                <w:b/>
                <w:bCs/>
                <w:sz w:val="19"/>
                <w:szCs w:val="19"/>
              </w:rPr>
              <w:t xml:space="preserve">Meaning</w:t>
            </w:r>
          </w:p>
        </w:tc>
      </w:tr>
      <w:tr>
        <w:trPr>
          <w:tblHeader w:val="false"/>
        </w:trPr>
        <w:tc>
          <w:tcPr>
            <w:tcW w:type="dxa" w:w="2600"/>
            <w:tcMar>
              <w:top w:type="dxa" w:w="60"/>
              <w:left w:type="dxa" w:w="100"/>
              <w:bottom w:type="dxa" w:w="60"/>
              <w:right w:type="dxa" w:w="100"/>
            </w:tcMar>
          </w:tcPr>
          <w:p>
            <w:r>
              <w:rPr>
                <w:b w:val="false"/>
                <w:bCs w:val="false"/>
                <w:sz w:val="19"/>
                <w:szCs w:val="19"/>
              </w:rPr>
              <w:t xml:space="preserve">HKONT (key)</w:t>
            </w:r>
          </w:p>
        </w:tc>
        <w:tc>
          <w:tcPr>
            <w:tcW w:type="dxa" w:w="2200"/>
            <w:tcMar>
              <w:top w:type="dxa" w:w="60"/>
              <w:left w:type="dxa" w:w="100"/>
              <w:bottom w:type="dxa" w:w="60"/>
              <w:right w:type="dxa" w:w="100"/>
            </w:tcMar>
          </w:tcPr>
          <w:p>
            <w:r>
              <w:rPr>
                <w:b w:val="false"/>
                <w:bCs w:val="false"/>
                <w:sz w:val="19"/>
                <w:szCs w:val="19"/>
              </w:rPr>
              <w:t xml:space="preserve">Character 10</w:t>
            </w:r>
          </w:p>
        </w:tc>
        <w:tc>
          <w:tcPr>
            <w:tcW w:type="dxa" w:w="4226"/>
            <w:tcMar>
              <w:top w:type="dxa" w:w="60"/>
              <w:left w:type="dxa" w:w="100"/>
              <w:bottom w:type="dxa" w:w="60"/>
              <w:right w:type="dxa" w:w="100"/>
            </w:tcMar>
          </w:tcPr>
          <w:p>
            <w:r>
              <w:rPr>
                <w:b w:val="false"/>
                <w:bCs w:val="false"/>
                <w:sz w:val="19"/>
                <w:szCs w:val="19"/>
              </w:rPr>
              <w:t xml:space="preserve">Posting G/L account</w:t>
            </w:r>
          </w:p>
        </w:tc>
      </w:tr>
      <w:tr>
        <w:trPr>
          <w:tblHeader w:val="false"/>
        </w:trPr>
        <w:tc>
          <w:tcPr>
            <w:tcW w:type="dxa" w:w="2600"/>
            <w:tcMar>
              <w:top w:type="dxa" w:w="60"/>
              <w:left w:type="dxa" w:w="100"/>
              <w:bottom w:type="dxa" w:w="60"/>
              <w:right w:type="dxa" w:w="100"/>
            </w:tcMar>
          </w:tcPr>
          <w:p>
            <w:r>
              <w:rPr>
                <w:b w:val="false"/>
                <w:bCs w:val="false"/>
                <w:sz w:val="19"/>
                <w:szCs w:val="19"/>
              </w:rPr>
              <w:t xml:space="preserve">WW214 / WW207 / WW237 (keys)</w:t>
            </w:r>
          </w:p>
        </w:tc>
        <w:tc>
          <w:tcPr>
            <w:tcW w:type="dxa" w:w="2200"/>
            <w:tcMar>
              <w:top w:type="dxa" w:w="60"/>
              <w:left w:type="dxa" w:w="100"/>
              <w:bottom w:type="dxa" w:w="60"/>
              <w:right w:type="dxa" w:w="100"/>
            </w:tcMar>
          </w:tcPr>
          <w:p>
            <w:r>
              <w:rPr>
                <w:b w:val="false"/>
                <w:bCs w:val="false"/>
                <w:sz w:val="19"/>
                <w:szCs w:val="19"/>
              </w:rPr>
              <w:t xml:space="preserve">Flags</w:t>
            </w:r>
          </w:p>
        </w:tc>
        <w:tc>
          <w:tcPr>
            <w:tcW w:type="dxa" w:w="4226"/>
            <w:tcMar>
              <w:top w:type="dxa" w:w="60"/>
              <w:left w:type="dxa" w:w="100"/>
              <w:bottom w:type="dxa" w:w="60"/>
              <w:right w:type="dxa" w:w="100"/>
            </w:tcMar>
          </w:tcPr>
          <w:p>
            <w:r>
              <w:rPr>
                <w:b w:val="false"/>
                <w:bCs w:val="false"/>
                <w:sz w:val="19"/>
                <w:szCs w:val="19"/>
              </w:rPr>
              <w:t xml:space="preserve">Whether Bottler account / Dealer / Brand is filled on the line</w:t>
            </w:r>
          </w:p>
        </w:tc>
      </w:tr>
      <w:tr>
        <w:trPr>
          <w:tblHeader w:val="false"/>
        </w:trPr>
        <w:tc>
          <w:tcPr>
            <w:tcW w:type="dxa" w:w="2600"/>
            <w:tcMar>
              <w:top w:type="dxa" w:w="60"/>
              <w:left w:type="dxa" w:w="100"/>
              <w:bottom w:type="dxa" w:w="60"/>
              <w:right w:type="dxa" w:w="100"/>
            </w:tcMar>
          </w:tcPr>
          <w:p>
            <w:r>
              <w:rPr>
                <w:b w:val="false"/>
                <w:bCs w:val="false"/>
                <w:sz w:val="19"/>
                <w:szCs w:val="19"/>
              </w:rPr>
              <w:t xml:space="preserve">KSTAR</w:t>
            </w:r>
          </w:p>
        </w:tc>
        <w:tc>
          <w:tcPr>
            <w:tcW w:type="dxa" w:w="2200"/>
            <w:tcMar>
              <w:top w:type="dxa" w:w="60"/>
              <w:left w:type="dxa" w:w="100"/>
              <w:bottom w:type="dxa" w:w="60"/>
              <w:right w:type="dxa" w:w="100"/>
            </w:tcMar>
          </w:tcPr>
          <w:p>
            <w:r>
              <w:rPr>
                <w:b w:val="false"/>
                <w:bCs w:val="false"/>
                <w:sz w:val="19"/>
                <w:szCs w:val="19"/>
              </w:rPr>
              <w:t xml:space="preserve">Character 10</w:t>
            </w:r>
          </w:p>
        </w:tc>
        <w:tc>
          <w:tcPr>
            <w:tcW w:type="dxa" w:w="4226"/>
            <w:tcMar>
              <w:top w:type="dxa" w:w="60"/>
              <w:left w:type="dxa" w:w="100"/>
              <w:bottom w:type="dxa" w:w="60"/>
              <w:right w:type="dxa" w:w="100"/>
            </w:tcMar>
          </w:tcPr>
          <w:p>
            <w:r>
              <w:rPr>
                <w:b w:val="false"/>
                <w:bCs w:val="false"/>
                <w:sz w:val="19"/>
                <w:szCs w:val="19"/>
              </w:rPr>
              <w:t xml:space="preserve">Cost element to post to</w:t>
            </w:r>
          </w:p>
        </w:tc>
      </w:tr>
    </w:tbl>
    <w:p>
      <w:pPr>
        <w:pStyle w:val="Heading2"/>
        <w:spacing w:after="120" w:before="240"/>
      </w:pPr>
      <w:r>
        <w:rPr>
          <w:color w:val="1F4E79"/>
        </w:rPr>
        <w:t xml:space="preserve">4.3  /CCBJI/T_GL_TYPE — G/L account classification (new business rule)</w:t>
      </w:r>
    </w:p>
    <w:p>
      <w:pPr>
        <w:spacing w:after="120"/>
      </w:pPr>
      <w:r>
        <w:t xml:space="preserve">New rule from the functional specification: some G/L accounts get a fixed 50% rate, CokeON cost accounts get the vending-channel rate, and all others follow the normal lookup. This table holds that classification. Until the business provides the account lists, the table stays empty and every account simply follows the normal rules — exactly like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9E2F3" w:val="clear"/>
            <w:tcMar>
              <w:top w:type="dxa" w:w="60"/>
              <w:left w:type="dxa" w:w="100"/>
              <w:bottom w:type="dxa" w:w="60"/>
              <w:right w:type="dxa" w:w="100"/>
            </w:tcMar>
          </w:tcPr>
          <w:p>
            <w:r>
              <w:rPr>
                <w:b/>
                <w:bCs/>
                <w:sz w:val="19"/>
                <w:szCs w:val="19"/>
              </w:rPr>
              <w:t xml:space="preserve">Field</w:t>
            </w:r>
          </w:p>
        </w:tc>
        <w:tc>
          <w:tcPr>
            <w:tcW w:type="dxa" w:w="2200"/>
            <w:shd w:fill="D9E2F3" w:val="clear"/>
            <w:tcMar>
              <w:top w:type="dxa" w:w="60"/>
              <w:left w:type="dxa" w:w="100"/>
              <w:bottom w:type="dxa" w:w="60"/>
              <w:right w:type="dxa" w:w="100"/>
            </w:tcMar>
          </w:tcPr>
          <w:p>
            <w:r>
              <w:rPr>
                <w:b/>
                <w:bCs/>
                <w:sz w:val="19"/>
                <w:szCs w:val="19"/>
              </w:rPr>
              <w:t xml:space="preserve">Type</w:t>
            </w:r>
          </w:p>
        </w:tc>
        <w:tc>
          <w:tcPr>
            <w:tcW w:type="dxa" w:w="4226"/>
            <w:shd w:fill="D9E2F3" w:val="clear"/>
            <w:tcMar>
              <w:top w:type="dxa" w:w="60"/>
              <w:left w:type="dxa" w:w="100"/>
              <w:bottom w:type="dxa" w:w="60"/>
              <w:right w:type="dxa" w:w="100"/>
            </w:tcMar>
          </w:tcPr>
          <w:p>
            <w:r>
              <w:rPr>
                <w:b/>
                <w:bCs/>
                <w:sz w:val="19"/>
                <w:szCs w:val="19"/>
              </w:rPr>
              <w:t xml:space="preserve">Meaning</w:t>
            </w:r>
          </w:p>
        </w:tc>
      </w:tr>
      <w:tr>
        <w:trPr>
          <w:tblHeader w:val="false"/>
        </w:trPr>
        <w:tc>
          <w:tcPr>
            <w:tcW w:type="dxa" w:w="2600"/>
            <w:tcMar>
              <w:top w:type="dxa" w:w="60"/>
              <w:left w:type="dxa" w:w="100"/>
              <w:bottom w:type="dxa" w:w="60"/>
              <w:right w:type="dxa" w:w="100"/>
            </w:tcMar>
          </w:tcPr>
          <w:p>
            <w:r>
              <w:rPr>
                <w:b w:val="false"/>
                <w:bCs w:val="false"/>
                <w:sz w:val="19"/>
                <w:szCs w:val="19"/>
              </w:rPr>
              <w:t xml:space="preserve">RACCT (key)</w:t>
            </w:r>
          </w:p>
        </w:tc>
        <w:tc>
          <w:tcPr>
            <w:tcW w:type="dxa" w:w="2200"/>
            <w:tcMar>
              <w:top w:type="dxa" w:w="60"/>
              <w:left w:type="dxa" w:w="100"/>
              <w:bottom w:type="dxa" w:w="60"/>
              <w:right w:type="dxa" w:w="100"/>
            </w:tcMar>
          </w:tcPr>
          <w:p>
            <w:r>
              <w:rPr>
                <w:b w:val="false"/>
                <w:bCs w:val="false"/>
                <w:sz w:val="19"/>
                <w:szCs w:val="19"/>
              </w:rPr>
              <w:t xml:space="preserve">Character 10</w:t>
            </w:r>
          </w:p>
        </w:tc>
        <w:tc>
          <w:tcPr>
            <w:tcW w:type="dxa" w:w="4226"/>
            <w:tcMar>
              <w:top w:type="dxa" w:w="60"/>
              <w:left w:type="dxa" w:w="100"/>
              <w:bottom w:type="dxa" w:w="60"/>
              <w:right w:type="dxa" w:w="100"/>
            </w:tcMar>
          </w:tcPr>
          <w:p>
            <w:r>
              <w:rPr>
                <w:b w:val="false"/>
                <w:bCs w:val="false"/>
                <w:sz w:val="19"/>
                <w:szCs w:val="19"/>
              </w:rPr>
              <w:t xml:space="preserve">Expense G/L account</w:t>
            </w:r>
          </w:p>
        </w:tc>
      </w:tr>
      <w:tr>
        <w:trPr>
          <w:tblHeader w:val="false"/>
        </w:trPr>
        <w:tc>
          <w:tcPr>
            <w:tcW w:type="dxa" w:w="2600"/>
            <w:tcMar>
              <w:top w:type="dxa" w:w="60"/>
              <w:left w:type="dxa" w:w="100"/>
              <w:bottom w:type="dxa" w:w="60"/>
              <w:right w:type="dxa" w:w="100"/>
            </w:tcMar>
          </w:tcPr>
          <w:p>
            <w:r>
              <w:rPr>
                <w:b w:val="false"/>
                <w:bCs w:val="false"/>
                <w:sz w:val="19"/>
                <w:szCs w:val="19"/>
              </w:rPr>
              <w:t xml:space="preserve">GL_TYPE</w:t>
            </w:r>
          </w:p>
        </w:tc>
        <w:tc>
          <w:tcPr>
            <w:tcW w:type="dxa" w:w="2200"/>
            <w:tcMar>
              <w:top w:type="dxa" w:w="60"/>
              <w:left w:type="dxa" w:w="100"/>
              <w:bottom w:type="dxa" w:w="60"/>
              <w:right w:type="dxa" w:w="100"/>
            </w:tcMar>
          </w:tcPr>
          <w:p>
            <w:r>
              <w:rPr>
                <w:b w:val="false"/>
                <w:bCs w:val="false"/>
                <w:sz w:val="19"/>
                <w:szCs w:val="19"/>
              </w:rPr>
              <w:t xml:space="preserve">Choice</w:t>
            </w:r>
          </w:p>
        </w:tc>
        <w:tc>
          <w:tcPr>
            <w:tcW w:type="dxa" w:w="4226"/>
            <w:tcMar>
              <w:top w:type="dxa" w:w="60"/>
              <w:left w:type="dxa" w:w="100"/>
              <w:bottom w:type="dxa" w:w="60"/>
              <w:right w:type="dxa" w:w="100"/>
            </w:tcMar>
          </w:tcPr>
          <w:p>
            <w:r>
              <w:rPr>
                <w:b w:val="false"/>
                <w:bCs w:val="false"/>
                <w:sz w:val="19"/>
                <w:szCs w:val="19"/>
              </w:rPr>
              <w:t xml:space="preserve">50PCT = fixed 50% / COKEON = vending rate / OTHER = normal rules</w:t>
            </w:r>
          </w:p>
        </w:tc>
      </w:tr>
    </w:tbl>
    <w:p>
      <w:pPr>
        <w:pStyle w:val="Heading2"/>
        <w:spacing w:after="120" w:before="240"/>
      </w:pPr>
      <w:r>
        <w:rPr>
          <w:color w:val="1F4E79"/>
        </w:rPr>
        <w:t xml:space="preserve">4.4  /CCBJI/T_RPPCAT_TY — RPP category classification (new business rule)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9E2F3" w:val="clear"/>
            <w:tcMar>
              <w:top w:type="dxa" w:w="60"/>
              <w:left w:type="dxa" w:w="100"/>
              <w:bottom w:type="dxa" w:w="60"/>
              <w:right w:type="dxa" w:w="100"/>
            </w:tcMar>
          </w:tcPr>
          <w:p>
            <w:r>
              <w:rPr>
                <w:b/>
                <w:bCs/>
                <w:sz w:val="19"/>
                <w:szCs w:val="19"/>
              </w:rPr>
              <w:t xml:space="preserve">Field</w:t>
            </w:r>
          </w:p>
        </w:tc>
        <w:tc>
          <w:tcPr>
            <w:tcW w:type="dxa" w:w="2200"/>
            <w:shd w:fill="D9E2F3" w:val="clear"/>
            <w:tcMar>
              <w:top w:type="dxa" w:w="60"/>
              <w:left w:type="dxa" w:w="100"/>
              <w:bottom w:type="dxa" w:w="60"/>
              <w:right w:type="dxa" w:w="100"/>
            </w:tcMar>
          </w:tcPr>
          <w:p>
            <w:r>
              <w:rPr>
                <w:b/>
                <w:bCs/>
                <w:sz w:val="19"/>
                <w:szCs w:val="19"/>
              </w:rPr>
              <w:t xml:space="preserve">Type</w:t>
            </w:r>
          </w:p>
        </w:tc>
        <w:tc>
          <w:tcPr>
            <w:tcW w:type="dxa" w:w="4226"/>
            <w:shd w:fill="D9E2F3" w:val="clear"/>
            <w:tcMar>
              <w:top w:type="dxa" w:w="60"/>
              <w:left w:type="dxa" w:w="100"/>
              <w:bottom w:type="dxa" w:w="60"/>
              <w:right w:type="dxa" w:w="100"/>
            </w:tcMar>
          </w:tcPr>
          <w:p>
            <w:r>
              <w:rPr>
                <w:b/>
                <w:bCs/>
                <w:sz w:val="19"/>
                <w:szCs w:val="19"/>
              </w:rPr>
              <w:t xml:space="preserve">Meaning</w:t>
            </w:r>
          </w:p>
        </w:tc>
      </w:tr>
      <w:tr>
        <w:trPr>
          <w:tblHeader w:val="false"/>
        </w:trPr>
        <w:tc>
          <w:tcPr>
            <w:tcW w:type="dxa" w:w="2600"/>
            <w:tcMar>
              <w:top w:type="dxa" w:w="60"/>
              <w:left w:type="dxa" w:w="100"/>
              <w:bottom w:type="dxa" w:w="60"/>
              <w:right w:type="dxa" w:w="100"/>
            </w:tcMar>
          </w:tcPr>
          <w:p>
            <w:r>
              <w:rPr>
                <w:b w:val="false"/>
                <w:bCs w:val="false"/>
                <w:sz w:val="19"/>
                <w:szCs w:val="19"/>
              </w:rPr>
              <w:t xml:space="preserve">RPPCAT (key)</w:t>
            </w:r>
          </w:p>
        </w:tc>
        <w:tc>
          <w:tcPr>
            <w:tcW w:type="dxa" w:w="2200"/>
            <w:tcMar>
              <w:top w:type="dxa" w:w="60"/>
              <w:left w:type="dxa" w:w="100"/>
              <w:bottom w:type="dxa" w:w="60"/>
              <w:right w:type="dxa" w:w="100"/>
            </w:tcMar>
          </w:tcPr>
          <w:p>
            <w:r>
              <w:rPr>
                <w:b w:val="false"/>
                <w:bCs w:val="false"/>
                <w:sz w:val="19"/>
                <w:szCs w:val="19"/>
              </w:rPr>
              <w:t xml:space="preserve">Character 3</w:t>
            </w:r>
          </w:p>
        </w:tc>
        <w:tc>
          <w:tcPr>
            <w:tcW w:type="dxa" w:w="4226"/>
            <w:tcMar>
              <w:top w:type="dxa" w:w="60"/>
              <w:left w:type="dxa" w:w="100"/>
              <w:bottom w:type="dxa" w:w="60"/>
              <w:right w:type="dxa" w:w="100"/>
            </w:tcMar>
          </w:tcPr>
          <w:p>
            <w:r>
              <w:rPr>
                <w:b w:val="false"/>
                <w:bCs w:val="false"/>
                <w:sz w:val="19"/>
                <w:szCs w:val="19"/>
              </w:rPr>
              <w:t xml:space="preserve">RPP category code</w:t>
            </w:r>
          </w:p>
        </w:tc>
      </w:tr>
      <w:tr>
        <w:trPr>
          <w:tblHeader w:val="false"/>
        </w:trPr>
        <w:tc>
          <w:tcPr>
            <w:tcW w:type="dxa" w:w="2600"/>
            <w:tcMar>
              <w:top w:type="dxa" w:w="60"/>
              <w:left w:type="dxa" w:w="100"/>
              <w:bottom w:type="dxa" w:w="60"/>
              <w:right w:type="dxa" w:w="100"/>
            </w:tcMar>
          </w:tcPr>
          <w:p>
            <w:r>
              <w:rPr>
                <w:b w:val="false"/>
                <w:bCs w:val="false"/>
                <w:sz w:val="19"/>
                <w:szCs w:val="19"/>
              </w:rPr>
              <w:t xml:space="preserve">RPPCAT_TYPE</w:t>
            </w:r>
          </w:p>
        </w:tc>
        <w:tc>
          <w:tcPr>
            <w:tcW w:type="dxa" w:w="2200"/>
            <w:tcMar>
              <w:top w:type="dxa" w:w="60"/>
              <w:left w:type="dxa" w:w="100"/>
              <w:bottom w:type="dxa" w:w="60"/>
              <w:right w:type="dxa" w:w="100"/>
            </w:tcMar>
          </w:tcPr>
          <w:p>
            <w:r>
              <w:rPr>
                <w:b w:val="false"/>
                <w:bCs w:val="false"/>
                <w:sz w:val="19"/>
                <w:szCs w:val="19"/>
              </w:rPr>
              <w:t xml:space="preserve">Choice</w:t>
            </w:r>
          </w:p>
        </w:tc>
        <w:tc>
          <w:tcPr>
            <w:tcW w:type="dxa" w:w="4226"/>
            <w:tcMar>
              <w:top w:type="dxa" w:w="60"/>
              <w:left w:type="dxa" w:w="100"/>
              <w:bottom w:type="dxa" w:w="60"/>
              <w:right w:type="dxa" w:w="100"/>
            </w:tcMar>
          </w:tcPr>
          <w:p>
            <w:r>
              <w:rPr>
                <w:b w:val="false"/>
                <w:bCs w:val="false"/>
                <w:sz w:val="19"/>
                <w:szCs w:val="19"/>
              </w:rPr>
              <w:t xml:space="preserve">OTHER = out of scope / ADJACENT = fixed 50% / SPECIFIC = normal rules</w:t>
            </w:r>
          </w:p>
        </w:tc>
      </w:tr>
    </w:tbl>
    <w:p>
      <w:pPr>
        <w:pStyle w:val="Heading2"/>
        <w:spacing w:after="120" w:before="240"/>
      </w:pPr>
      <w:r>
        <w:rPr>
          <w:color w:val="1F4E79"/>
        </w:rPr>
        <w:t xml:space="preserve">4.5  Small settings (TVARVC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60"/>
              <w:left w:type="dxa" w:w="100"/>
              <w:bottom w:type="dxa" w:w="60"/>
              <w:right w:type="dxa" w:w="100"/>
            </w:tcMar>
          </w:tcPr>
          <w:p>
            <w:r>
              <w:rPr>
                <w:b/>
                <w:bCs/>
                <w:sz w:val="19"/>
                <w:szCs w:val="19"/>
              </w:rPr>
              <w:t xml:space="preserve">Setting</w:t>
            </w:r>
          </w:p>
        </w:tc>
        <w:tc>
          <w:tcPr>
            <w:tcW w:type="dxa" w:w="5426"/>
            <w:shd w:fill="D9E2F3" w:val="clear"/>
            <w:tcMar>
              <w:top w:type="dxa" w:w="60"/>
              <w:left w:type="dxa" w:w="100"/>
              <w:bottom w:type="dxa" w:w="60"/>
              <w:right w:type="dxa" w:w="100"/>
            </w:tcMar>
          </w:tcPr>
          <w:p>
            <w:r>
              <w:rPr>
                <w:b/>
                <w:bCs/>
                <w:sz w:val="19"/>
                <w:szCs w:val="19"/>
              </w:rPr>
              <w:t xml:space="preserve">Meaning</w:t>
            </w:r>
          </w:p>
        </w:tc>
      </w:tr>
      <w:tr>
        <w:trPr>
          <w:tblHeader w:val="false"/>
        </w:trPr>
        <w:tc>
          <w:tcPr>
            <w:tcW w:type="dxa" w:w="3600"/>
            <w:tcMar>
              <w:top w:type="dxa" w:w="60"/>
              <w:left w:type="dxa" w:w="100"/>
              <w:bottom w:type="dxa" w:w="60"/>
              <w:right w:type="dxa" w:w="100"/>
            </w:tcMar>
          </w:tcPr>
          <w:p>
            <w:r>
              <w:rPr>
                <w:b w:val="false"/>
                <w:bCs w:val="false"/>
                <w:sz w:val="19"/>
                <w:szCs w:val="19"/>
              </w:rPr>
              <w:t xml:space="preserve">/CCBJI/RTR_50PCT</w:t>
            </w:r>
          </w:p>
        </w:tc>
        <w:tc>
          <w:tcPr>
            <w:tcW w:type="dxa" w:w="5426"/>
            <w:tcMar>
              <w:top w:type="dxa" w:w="60"/>
              <w:left w:type="dxa" w:w="100"/>
              <w:bottom w:type="dxa" w:w="60"/>
              <w:right w:type="dxa" w:w="100"/>
            </w:tcMar>
          </w:tcPr>
          <w:p>
            <w:r>
              <w:rPr>
                <w:b w:val="false"/>
                <w:bCs w:val="false"/>
                <w:sz w:val="19"/>
                <w:szCs w:val="19"/>
              </w:rPr>
              <w:t xml:space="preserve">The fixed 50% rate — kept as a setting, not hard-coded</w:t>
            </w:r>
          </w:p>
        </w:tc>
      </w:tr>
      <w:tr>
        <w:trPr>
          <w:tblHeader w:val="false"/>
        </w:trPr>
        <w:tc>
          <w:tcPr>
            <w:tcW w:type="dxa" w:w="3600"/>
            <w:tcMar>
              <w:top w:type="dxa" w:w="60"/>
              <w:left w:type="dxa" w:w="100"/>
              <w:bottom w:type="dxa" w:w="60"/>
              <w:right w:type="dxa" w:w="100"/>
            </w:tcMar>
          </w:tcPr>
          <w:p>
            <w:r>
              <w:rPr>
                <w:b w:val="false"/>
                <w:bCs w:val="false"/>
                <w:sz w:val="19"/>
                <w:szCs w:val="19"/>
              </w:rPr>
              <w:t xml:space="preserve">/CCBJI/RTR_VENDPCT</w:t>
            </w:r>
          </w:p>
        </w:tc>
        <w:tc>
          <w:tcPr>
            <w:tcW w:type="dxa" w:w="5426"/>
            <w:tcMar>
              <w:top w:type="dxa" w:w="60"/>
              <w:left w:type="dxa" w:w="100"/>
              <w:bottom w:type="dxa" w:w="60"/>
              <w:right w:type="dxa" w:w="100"/>
            </w:tcMar>
          </w:tcPr>
          <w:p>
            <w:r>
              <w:rPr>
                <w:b w:val="false"/>
                <w:bCs w:val="false"/>
                <w:sz w:val="19"/>
                <w:szCs w:val="19"/>
              </w:rPr>
              <w:t xml:space="preserve">The vending-channel % for CokeON accounts (value to be provided by business)</w:t>
            </w:r>
          </w:p>
        </w:tc>
      </w:tr>
      <w:tr>
        <w:trPr>
          <w:tblHeader w:val="false"/>
        </w:trPr>
        <w:tc>
          <w:tcPr>
            <w:tcW w:type="dxa" w:w="3600"/>
            <w:tcMar>
              <w:top w:type="dxa" w:w="60"/>
              <w:left w:type="dxa" w:w="100"/>
              <w:bottom w:type="dxa" w:w="60"/>
              <w:right w:type="dxa" w:w="100"/>
            </w:tcMar>
          </w:tcPr>
          <w:p>
            <w:r>
              <w:rPr>
                <w:b w:val="false"/>
                <w:bCs w:val="false"/>
                <w:sz w:val="19"/>
                <w:szCs w:val="19"/>
              </w:rPr>
              <w:t xml:space="preserve">/CCBJI/RTR_DEBITGL</w:t>
            </w:r>
          </w:p>
        </w:tc>
        <w:tc>
          <w:tcPr>
            <w:tcW w:type="dxa" w:w="5426"/>
            <w:tcMar>
              <w:top w:type="dxa" w:w="60"/>
              <w:left w:type="dxa" w:w="100"/>
              <w:bottom w:type="dxa" w:w="60"/>
              <w:right w:type="dxa" w:w="100"/>
            </w:tcMar>
          </w:tcPr>
          <w:p>
            <w:r>
              <w:rPr>
                <w:b w:val="false"/>
                <w:bCs w:val="false"/>
                <w:sz w:val="19"/>
                <w:szCs w:val="19"/>
              </w:rPr>
              <w:t xml:space="preserve">G/L account of the aggregated debit line (copied from ECC)</w:t>
            </w:r>
          </w:p>
        </w:tc>
      </w:tr>
      <w:tr>
        <w:trPr>
          <w:tblHeader w:val="false"/>
        </w:trPr>
        <w:tc>
          <w:tcPr>
            <w:tcW w:type="dxa" w:w="3600"/>
            <w:tcMar>
              <w:top w:type="dxa" w:w="60"/>
              <w:left w:type="dxa" w:w="100"/>
              <w:bottom w:type="dxa" w:w="60"/>
              <w:right w:type="dxa" w:w="100"/>
            </w:tcMar>
          </w:tcPr>
          <w:p>
            <w:r>
              <w:rPr>
                <w:b w:val="false"/>
                <w:bCs w:val="false"/>
                <w:sz w:val="19"/>
                <w:szCs w:val="19"/>
              </w:rPr>
              <w:t xml:space="preserve">/CCBJI/RTR_KOSTL</w:t>
            </w:r>
          </w:p>
        </w:tc>
        <w:tc>
          <w:tcPr>
            <w:tcW w:type="dxa" w:w="5426"/>
            <w:tcMar>
              <w:top w:type="dxa" w:w="60"/>
              <w:left w:type="dxa" w:w="100"/>
              <w:bottom w:type="dxa" w:w="60"/>
              <w:right w:type="dxa" w:w="100"/>
            </w:tcMar>
          </w:tcPr>
          <w:p>
            <w:r>
              <w:rPr>
                <w:b w:val="false"/>
                <w:bCs w:val="false"/>
                <w:sz w:val="19"/>
                <w:szCs w:val="19"/>
              </w:rPr>
              <w:t xml:space="preserve">Profit center used on the debit line (copied from ECC)</w:t>
            </w:r>
          </w:p>
        </w:tc>
      </w:tr>
      <w:tr>
        <w:trPr>
          <w:tblHeader w:val="false"/>
        </w:trPr>
        <w:tc>
          <w:tcPr>
            <w:tcW w:type="dxa" w:w="3600"/>
            <w:tcMar>
              <w:top w:type="dxa" w:w="60"/>
              <w:left w:type="dxa" w:w="100"/>
              <w:bottom w:type="dxa" w:w="60"/>
              <w:right w:type="dxa" w:w="100"/>
            </w:tcMar>
          </w:tcPr>
          <w:p>
            <w:r>
              <w:rPr>
                <w:b w:val="false"/>
                <w:bCs w:val="false"/>
                <w:sz w:val="19"/>
                <w:szCs w:val="19"/>
              </w:rPr>
              <w:t xml:space="preserve">/CCBJI/RTR/RECTYPE</w:t>
            </w:r>
          </w:p>
        </w:tc>
        <w:tc>
          <w:tcPr>
            <w:tcW w:type="dxa" w:w="5426"/>
            <w:tcMar>
              <w:top w:type="dxa" w:w="60"/>
              <w:left w:type="dxa" w:w="100"/>
              <w:bottom w:type="dxa" w:w="60"/>
              <w:right w:type="dxa" w:w="100"/>
            </w:tcMar>
          </w:tcPr>
          <w:p>
            <w:r>
              <w:rPr>
                <w:b w:val="false"/>
                <w:bCs w:val="false"/>
                <w:sz w:val="19"/>
                <w:szCs w:val="19"/>
              </w:rPr>
              <w:t xml:space="preserve">Record types in scope for COPA (copied from BW: 4, 6, 7, 8, 9, B)</w:t>
            </w:r>
          </w:p>
        </w:tc>
      </w:tr>
    </w:tbl>
    <w:p>
      <w:pPr>
        <w:pStyle w:val="Heading1"/>
        <w:spacing w:after="160" w:before="320"/>
      </w:pPr>
      <w:r>
        <w:rPr>
          <w:color w:val="1F4E79"/>
        </w:rPr>
        <w:t xml:space="preserve">5. Existing tables the program will use</w:t>
      </w:r>
    </w:p>
    <w:p>
      <w:pPr>
        <w:spacing w:after="120"/>
      </w:pPr>
      <w:r>
        <w:t xml:space="preserve">No changes are made to any of these tables — the program only reads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fill="D9E2F3" w:val="clear"/>
            <w:tcMar>
              <w:top w:type="dxa" w:w="60"/>
              <w:left w:type="dxa" w:w="100"/>
              <w:bottom w:type="dxa" w:w="60"/>
              <w:right w:type="dxa" w:w="100"/>
            </w:tcMar>
          </w:tcPr>
          <w:p>
            <w:r>
              <w:rPr>
                <w:b/>
                <w:bCs/>
                <w:sz w:val="19"/>
                <w:szCs w:val="19"/>
              </w:rPr>
              <w:t xml:space="preserve">Table</w:t>
            </w:r>
          </w:p>
        </w:tc>
        <w:tc>
          <w:tcPr>
            <w:tcW w:type="dxa" w:w="6126"/>
            <w:shd w:fill="D9E2F3" w:val="clear"/>
            <w:tcMar>
              <w:top w:type="dxa" w:w="60"/>
              <w:left w:type="dxa" w:w="100"/>
              <w:bottom w:type="dxa" w:w="60"/>
              <w:right w:type="dxa" w:w="100"/>
            </w:tcMar>
          </w:tcPr>
          <w:p>
            <w:r>
              <w:rPr>
                <w:b/>
                <w:bCs/>
                <w:sz w:val="19"/>
                <w:szCs w:val="19"/>
              </w:rPr>
              <w:t xml:space="preserve">Role in the process</w:t>
            </w:r>
          </w:p>
        </w:tc>
      </w:tr>
      <w:tr>
        <w:trPr>
          <w:tblHeader w:val="false"/>
        </w:trPr>
        <w:tc>
          <w:tcPr>
            <w:tcW w:type="dxa" w:w="2900"/>
            <w:tcMar>
              <w:top w:type="dxa" w:w="60"/>
              <w:left w:type="dxa" w:w="100"/>
              <w:bottom w:type="dxa" w:w="60"/>
              <w:right w:type="dxa" w:w="100"/>
            </w:tcMar>
          </w:tcPr>
          <w:p>
            <w:r>
              <w:rPr>
                <w:b w:val="false"/>
                <w:bCs w:val="false"/>
                <w:sz w:val="19"/>
                <w:szCs w:val="19"/>
              </w:rPr>
              <w:t xml:space="preserve">ACDOCA</w:t>
            </w:r>
          </w:p>
        </w:tc>
        <w:tc>
          <w:tcPr>
            <w:tcW w:type="dxa" w:w="6126"/>
            <w:tcMar>
              <w:top w:type="dxa" w:w="60"/>
              <w:left w:type="dxa" w:w="100"/>
              <w:bottom w:type="dxa" w:w="60"/>
              <w:right w:type="dxa" w:w="100"/>
            </w:tcMar>
          </w:tcPr>
          <w:p>
            <w:r>
              <w:rPr>
                <w:b w:val="false"/>
                <w:bCs w:val="false"/>
                <w:sz w:val="19"/>
                <w:szCs w:val="19"/>
              </w:rPr>
              <w:t xml:space="preserve">The S/4 universal journal — single source of all FI and COPA postings. Replaces the BW copies.</w:t>
            </w:r>
          </w:p>
        </w:tc>
      </w:tr>
      <w:tr>
        <w:trPr>
          <w:tblHeader w:val="false"/>
        </w:trPr>
        <w:tc>
          <w:tcPr>
            <w:tcW w:type="dxa" w:w="2900"/>
            <w:tcMar>
              <w:top w:type="dxa" w:w="60"/>
              <w:left w:type="dxa" w:w="100"/>
              <w:bottom w:type="dxa" w:w="60"/>
              <w:right w:type="dxa" w:w="100"/>
            </w:tcMar>
          </w:tcPr>
          <w:p>
            <w:r>
              <w:rPr>
                <w:b w:val="false"/>
                <w:bCs w:val="false"/>
                <w:sz w:val="19"/>
                <w:szCs w:val="19"/>
              </w:rPr>
              <w:t xml:space="preserve">/CCBJI/T_MAP_GL</w:t>
            </w:r>
          </w:p>
        </w:tc>
        <w:tc>
          <w:tcPr>
            <w:tcW w:type="dxa" w:w="6126"/>
            <w:tcMar>
              <w:top w:type="dxa" w:w="60"/>
              <w:left w:type="dxa" w:w="100"/>
              <w:bottom w:type="dxa" w:w="60"/>
              <w:right w:type="dxa" w:w="100"/>
            </w:tcMar>
          </w:tcPr>
          <w:p>
            <w:r>
              <w:rPr>
                <w:b w:val="false"/>
                <w:bCs w:val="false"/>
                <w:sz w:val="19"/>
                <w:szCs w:val="19"/>
              </w:rPr>
              <w:t xml:space="preserve">Per expense G/L: the accrual (debit) and posting (credit) accounts and tax code — the heart of the posting logic. Already in S/4 with 1,358 entries.</w:t>
            </w:r>
          </w:p>
        </w:tc>
      </w:tr>
      <w:tr>
        <w:trPr>
          <w:tblHeader w:val="false"/>
        </w:trPr>
        <w:tc>
          <w:tcPr>
            <w:tcW w:type="dxa" w:w="2900"/>
            <w:tcMar>
              <w:top w:type="dxa" w:w="60"/>
              <w:left w:type="dxa" w:w="100"/>
              <w:bottom w:type="dxa" w:w="60"/>
              <w:right w:type="dxa" w:w="100"/>
            </w:tcMar>
          </w:tcPr>
          <w:p>
            <w:r>
              <w:rPr>
                <w:b w:val="false"/>
                <w:bCs w:val="false"/>
                <w:sz w:val="19"/>
                <w:szCs w:val="19"/>
              </w:rPr>
              <w:t xml:space="preserve">/CCBJI/T_SUP_FEE</w:t>
            </w:r>
          </w:p>
        </w:tc>
        <w:tc>
          <w:tcPr>
            <w:tcW w:type="dxa" w:w="6126"/>
            <w:tcMar>
              <w:top w:type="dxa" w:w="60"/>
              <w:left w:type="dxa" w:w="100"/>
              <w:bottom w:type="dxa" w:w="60"/>
              <w:right w:type="dxa" w:w="100"/>
            </w:tcMar>
          </w:tcPr>
          <w:p>
            <w:r>
              <w:rPr>
                <w:b w:val="false"/>
                <w:bCs w:val="false"/>
                <w:sz w:val="19"/>
                <w:szCs w:val="19"/>
              </w:rPr>
              <w:t xml:space="preserve">The incidence % master (rates by G/L, period, channel, bottler account, RPP category, cost center). Already in S/4 with the full history.</w:t>
            </w:r>
          </w:p>
        </w:tc>
      </w:tr>
      <w:tr>
        <w:trPr>
          <w:tblHeader w:val="false"/>
        </w:trPr>
        <w:tc>
          <w:tcPr>
            <w:tcW w:type="dxa" w:w="2900"/>
            <w:tcMar>
              <w:top w:type="dxa" w:w="60"/>
              <w:left w:type="dxa" w:w="100"/>
              <w:bottom w:type="dxa" w:w="60"/>
              <w:right w:type="dxa" w:w="100"/>
            </w:tcMar>
          </w:tcPr>
          <w:p>
            <w:r>
              <w:rPr>
                <w:b w:val="false"/>
                <w:bCs w:val="false"/>
                <w:sz w:val="19"/>
                <w:szCs w:val="19"/>
              </w:rPr>
              <w:t xml:space="preserve">/CCBJI/T_DOC_TYP</w:t>
            </w:r>
          </w:p>
        </w:tc>
        <w:tc>
          <w:tcPr>
            <w:tcW w:type="dxa" w:w="6126"/>
            <w:tcMar>
              <w:top w:type="dxa" w:w="60"/>
              <w:left w:type="dxa" w:w="100"/>
              <w:bottom w:type="dxa" w:w="60"/>
              <w:right w:type="dxa" w:w="100"/>
            </w:tcMar>
          </w:tcPr>
          <w:p>
            <w:r>
              <w:rPr>
                <w:b w:val="false"/>
                <w:bCs w:val="false"/>
                <w:sz w:val="19"/>
                <w:szCs w:val="19"/>
              </w:rPr>
              <w:t xml:space="preserve">Decides per G/L account whether a posting is treated as FI-sourced or COPA-sourced.</w:t>
            </w:r>
          </w:p>
        </w:tc>
      </w:tr>
      <w:tr>
        <w:trPr>
          <w:tblHeader w:val="false"/>
        </w:trPr>
        <w:tc>
          <w:tcPr>
            <w:tcW w:type="dxa" w:w="2900"/>
            <w:tcMar>
              <w:top w:type="dxa" w:w="60"/>
              <w:left w:type="dxa" w:w="100"/>
              <w:bottom w:type="dxa" w:w="60"/>
              <w:right w:type="dxa" w:w="100"/>
            </w:tcMar>
          </w:tcPr>
          <w:p>
            <w:r>
              <w:rPr>
                <w:b w:val="false"/>
                <w:bCs w:val="false"/>
                <w:sz w:val="19"/>
                <w:szCs w:val="19"/>
              </w:rPr>
              <w:t xml:space="preserve">/CCBJI/T_CCJCACC</w:t>
            </w:r>
          </w:p>
        </w:tc>
        <w:tc>
          <w:tcPr>
            <w:tcW w:type="dxa" w:w="6126"/>
            <w:tcMar>
              <w:top w:type="dxa" w:w="60"/>
              <w:left w:type="dxa" w:w="100"/>
              <w:bottom w:type="dxa" w:w="60"/>
              <w:right w:type="dxa" w:w="100"/>
            </w:tcMar>
          </w:tcPr>
          <w:p>
            <w:r>
              <w:rPr>
                <w:b w:val="false"/>
                <w:bCs w:val="false"/>
                <w:sz w:val="19"/>
                <w:szCs w:val="19"/>
              </w:rPr>
              <w:t xml:space="preserve">CCJC account code mapping for the reports.</w:t>
            </w:r>
          </w:p>
        </w:tc>
      </w:tr>
      <w:tr>
        <w:trPr>
          <w:tblHeader w:val="false"/>
        </w:trPr>
        <w:tc>
          <w:tcPr>
            <w:tcW w:type="dxa" w:w="2900"/>
            <w:tcMar>
              <w:top w:type="dxa" w:w="60"/>
              <w:left w:type="dxa" w:w="100"/>
              <w:bottom w:type="dxa" w:w="60"/>
              <w:right w:type="dxa" w:w="100"/>
            </w:tcMar>
          </w:tcPr>
          <w:p>
            <w:r>
              <w:rPr>
                <w:b w:val="false"/>
                <w:bCs w:val="false"/>
                <w:sz w:val="19"/>
                <w:szCs w:val="19"/>
              </w:rPr>
              <w:t xml:space="preserve">/CCEJ/TEJACC, /CCEJ/TKAMREP</w:t>
            </w:r>
          </w:p>
        </w:tc>
        <w:tc>
          <w:tcPr>
            <w:tcW w:type="dxa" w:w="6126"/>
            <w:tcMar>
              <w:top w:type="dxa" w:w="60"/>
              <w:left w:type="dxa" w:w="100"/>
              <w:bottom w:type="dxa" w:w="60"/>
              <w:right w:type="dxa" w:w="100"/>
            </w:tcMar>
          </w:tcPr>
          <w:p>
            <w:r>
              <w:rPr>
                <w:b w:val="false"/>
                <w:bCs w:val="false"/>
                <w:sz w:val="19"/>
                <w:szCs w:val="19"/>
              </w:rPr>
              <w:t xml:space="preserve">KAM representative and KAM Level-4 organisation lookup.</w:t>
            </w:r>
          </w:p>
        </w:tc>
      </w:tr>
      <w:tr>
        <w:trPr>
          <w:tblHeader w:val="false"/>
        </w:trPr>
        <w:tc>
          <w:tcPr>
            <w:tcW w:type="dxa" w:w="2900"/>
            <w:tcMar>
              <w:top w:type="dxa" w:w="60"/>
              <w:left w:type="dxa" w:w="100"/>
              <w:bottom w:type="dxa" w:w="60"/>
              <w:right w:type="dxa" w:w="100"/>
            </w:tcMar>
          </w:tcPr>
          <w:p>
            <w:r>
              <w:rPr>
                <w:b w:val="false"/>
                <w:bCs w:val="false"/>
                <w:sz w:val="19"/>
                <w:szCs w:val="19"/>
              </w:rPr>
              <w:t xml:space="preserve">/CCEJ/TZKTSD0004</w:t>
            </w:r>
          </w:p>
        </w:tc>
        <w:tc>
          <w:tcPr>
            <w:tcW w:type="dxa" w:w="6126"/>
            <w:tcMar>
              <w:top w:type="dxa" w:w="60"/>
              <w:left w:type="dxa" w:w="100"/>
              <w:bottom w:type="dxa" w:w="60"/>
              <w:right w:type="dxa" w:w="100"/>
            </w:tcMar>
          </w:tcPr>
          <w:p>
            <w:r>
              <w:rPr>
                <w:b w:val="false"/>
                <w:bCs w:val="false"/>
                <w:sz w:val="19"/>
                <w:szCs w:val="19"/>
              </w:rPr>
              <w:t xml:space="preserve">Revenue-management plant code per customer.</w:t>
            </w:r>
          </w:p>
        </w:tc>
      </w:tr>
      <w:tr>
        <w:trPr>
          <w:tblHeader w:val="false"/>
        </w:trPr>
        <w:tc>
          <w:tcPr>
            <w:tcW w:type="dxa" w:w="2900"/>
            <w:tcMar>
              <w:top w:type="dxa" w:w="60"/>
              <w:left w:type="dxa" w:w="100"/>
              <w:bottom w:type="dxa" w:w="60"/>
              <w:right w:type="dxa" w:w="100"/>
            </w:tcMar>
          </w:tcPr>
          <w:p>
            <w:r>
              <w:rPr>
                <w:b w:val="false"/>
                <w:bCs w:val="false"/>
                <w:sz w:val="19"/>
                <w:szCs w:val="19"/>
              </w:rPr>
              <w:t xml:space="preserve">/CCEJ/TRPPCATE, /CCEJ/TZKTSD0023</w:t>
            </w:r>
          </w:p>
        </w:tc>
        <w:tc>
          <w:tcPr>
            <w:tcW w:type="dxa" w:w="6126"/>
            <w:tcMar>
              <w:top w:type="dxa" w:w="60"/>
              <w:left w:type="dxa" w:w="100"/>
              <w:bottom w:type="dxa" w:w="60"/>
              <w:right w:type="dxa" w:w="100"/>
            </w:tcMar>
          </w:tcPr>
          <w:p>
            <w:r>
              <w:rPr>
                <w:b w:val="false"/>
                <w:bCs w:val="false"/>
                <w:sz w:val="19"/>
                <w:szCs w:val="19"/>
              </w:rPr>
              <w:t xml:space="preserve">RPP category and Bottler account descriptions.</w:t>
            </w:r>
          </w:p>
        </w:tc>
      </w:tr>
      <w:tr>
        <w:trPr>
          <w:tblHeader w:val="false"/>
        </w:trPr>
        <w:tc>
          <w:tcPr>
            <w:tcW w:type="dxa" w:w="2900"/>
            <w:tcMar>
              <w:top w:type="dxa" w:w="60"/>
              <w:left w:type="dxa" w:w="100"/>
              <w:bottom w:type="dxa" w:w="60"/>
              <w:right w:type="dxa" w:w="100"/>
            </w:tcMar>
          </w:tcPr>
          <w:p>
            <w:r>
              <w:rPr>
                <w:b w:val="false"/>
                <w:bCs w:val="false"/>
                <w:sz w:val="19"/>
                <w:szCs w:val="19"/>
              </w:rPr>
              <w:t xml:space="preserve">MARA, KNA1, CSKS, SKAT, CEPCT</w:t>
            </w:r>
          </w:p>
        </w:tc>
        <w:tc>
          <w:tcPr>
            <w:tcW w:type="dxa" w:w="6126"/>
            <w:tcMar>
              <w:top w:type="dxa" w:w="60"/>
              <w:left w:type="dxa" w:w="100"/>
              <w:bottom w:type="dxa" w:w="60"/>
              <w:right w:type="dxa" w:w="100"/>
            </w:tcMar>
          </w:tcPr>
          <w:p>
            <w:r>
              <w:rPr>
                <w:b w:val="false"/>
                <w:bCs w:val="false"/>
                <w:sz w:val="19"/>
                <w:szCs w:val="19"/>
              </w:rPr>
              <w:t xml:space="preserve">Standard SAP masters: material, customer, cost center, G/L and profit center texts.</w:t>
            </w:r>
          </w:p>
        </w:tc>
      </w:tr>
    </w:tbl>
    <w:p>
      <w:pPr>
        <w:pStyle w:val="Heading1"/>
        <w:spacing w:after="160" w:before="320"/>
      </w:pPr>
      <w:r>
        <w:rPr>
          <w:color w:val="1F4E79"/>
        </w:rPr>
        <w:t xml:space="preserve">6. The selection screen</w:t>
      </w:r>
    </w:p>
    <w:p>
      <w:pPr>
        <w:spacing w:after="120"/>
      </w:pPr>
      <w:r>
        <w:t xml:space="preserve">The screen keeps the familiar layout of the BW program, with three additions highlighted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D9E2F3" w:val="clear"/>
            <w:tcMar>
              <w:top w:type="dxa" w:w="60"/>
              <w:left w:type="dxa" w:w="100"/>
              <w:bottom w:type="dxa" w:w="60"/>
              <w:right w:type="dxa" w:w="100"/>
            </w:tcMar>
          </w:tcPr>
          <w:p>
            <w:r>
              <w:rPr>
                <w:b/>
                <w:bCs/>
                <w:sz w:val="19"/>
                <w:szCs w:val="19"/>
              </w:rPr>
              <w:t xml:space="preserve">Field</w:t>
            </w:r>
          </w:p>
        </w:tc>
        <w:tc>
          <w:tcPr>
            <w:tcW w:type="dxa" w:w="4200"/>
            <w:shd w:fill="D9E2F3" w:val="clear"/>
            <w:tcMar>
              <w:top w:type="dxa" w:w="60"/>
              <w:left w:type="dxa" w:w="100"/>
              <w:bottom w:type="dxa" w:w="60"/>
              <w:right w:type="dxa" w:w="100"/>
            </w:tcMar>
          </w:tcPr>
          <w:p>
            <w:r>
              <w:rPr>
                <w:b/>
                <w:bCs/>
                <w:sz w:val="19"/>
                <w:szCs w:val="19"/>
              </w:rPr>
              <w:t xml:space="preserve">Description</w:t>
            </w:r>
          </w:p>
        </w:tc>
        <w:tc>
          <w:tcPr>
            <w:tcW w:type="dxa" w:w="2126"/>
            <w:shd w:fill="D9E2F3" w:val="clear"/>
            <w:tcMar>
              <w:top w:type="dxa" w:w="60"/>
              <w:left w:type="dxa" w:w="100"/>
              <w:bottom w:type="dxa" w:w="60"/>
              <w:right w:type="dxa" w:w="100"/>
            </w:tcMar>
          </w:tcPr>
          <w:p>
            <w:r>
              <w:rPr>
                <w:b/>
                <w:bCs/>
                <w:sz w:val="19"/>
                <w:szCs w:val="19"/>
              </w:rPr>
              <w:t xml:space="preserve">New?</w:t>
            </w:r>
          </w:p>
        </w:tc>
      </w:tr>
      <w:tr>
        <w:trPr>
          <w:tblHeader w:val="false"/>
        </w:trPr>
        <w:tc>
          <w:tcPr>
            <w:tcW w:type="dxa" w:w="2700"/>
            <w:tcMar>
              <w:top w:type="dxa" w:w="60"/>
              <w:left w:type="dxa" w:w="100"/>
              <w:bottom w:type="dxa" w:w="60"/>
              <w:right w:type="dxa" w:w="100"/>
            </w:tcMar>
          </w:tcPr>
          <w:p>
            <w:r>
              <w:rPr>
                <w:b w:val="false"/>
                <w:bCs w:val="false"/>
                <w:sz w:val="19"/>
                <w:szCs w:val="19"/>
              </w:rPr>
              <w:t xml:space="preserve">Fiscal Year / Period / Company Code</w:t>
            </w:r>
          </w:p>
        </w:tc>
        <w:tc>
          <w:tcPr>
            <w:tcW w:type="dxa" w:w="4200"/>
            <w:tcMar>
              <w:top w:type="dxa" w:w="60"/>
              <w:left w:type="dxa" w:w="100"/>
              <w:bottom w:type="dxa" w:w="60"/>
              <w:right w:type="dxa" w:w="100"/>
            </w:tcMar>
          </w:tcPr>
          <w:p>
            <w:r>
              <w:rPr>
                <w:b w:val="false"/>
                <w:bCs w:val="false"/>
                <w:sz w:val="19"/>
                <w:szCs w:val="19"/>
              </w:rPr>
              <w:t xml:space="preserve">The month to process (defaults to current month)</w:t>
            </w:r>
          </w:p>
        </w:tc>
        <w:tc>
          <w:tcPr>
            <w:tcW w:type="dxa" w:w="2126"/>
            <w:tcMar>
              <w:top w:type="dxa" w:w="60"/>
              <w:left w:type="dxa" w:w="100"/>
              <w:bottom w:type="dxa" w:w="60"/>
              <w:right w:type="dxa" w:w="100"/>
            </w:tcMar>
          </w:tcPr>
          <w:p>
            <w:r>
              <w:rPr>
                <w:b w:val="false"/>
                <w:bCs w:val="false"/>
                <w:sz w:val="19"/>
                <w:szCs w:val="19"/>
              </w:rPr>
              <w:t xml:space="preserve">as before</w:t>
            </w:r>
          </w:p>
        </w:tc>
      </w:tr>
      <w:tr>
        <w:trPr>
          <w:tblHeader w:val="false"/>
        </w:trPr>
        <w:tc>
          <w:tcPr>
            <w:tcW w:type="dxa" w:w="2700"/>
            <w:tcMar>
              <w:top w:type="dxa" w:w="60"/>
              <w:left w:type="dxa" w:w="100"/>
              <w:bottom w:type="dxa" w:w="60"/>
              <w:right w:type="dxa" w:w="100"/>
            </w:tcMar>
          </w:tcPr>
          <w:p>
            <w:r>
              <w:rPr>
                <w:b w:val="false"/>
                <w:bCs w:val="false"/>
                <w:sz w:val="19"/>
                <w:szCs w:val="19"/>
              </w:rPr>
              <w:t xml:space="preserve">Document Type</w:t>
            </w:r>
          </w:p>
        </w:tc>
        <w:tc>
          <w:tcPr>
            <w:tcW w:type="dxa" w:w="4200"/>
            <w:tcMar>
              <w:top w:type="dxa" w:w="60"/>
              <w:left w:type="dxa" w:w="100"/>
              <w:bottom w:type="dxa" w:w="60"/>
              <w:right w:type="dxa" w:w="100"/>
            </w:tcMar>
          </w:tcPr>
          <w:p>
            <w:r>
              <w:rPr>
                <w:b w:val="false"/>
                <w:bCs w:val="false"/>
                <w:sz w:val="19"/>
                <w:szCs w:val="19"/>
              </w:rPr>
              <w:t xml:space="preserve">Optional filter, with search help</w:t>
            </w:r>
          </w:p>
        </w:tc>
        <w:tc>
          <w:tcPr>
            <w:tcW w:type="dxa" w:w="2126"/>
            <w:tcMar>
              <w:top w:type="dxa" w:w="60"/>
              <w:left w:type="dxa" w:w="100"/>
              <w:bottom w:type="dxa" w:w="60"/>
              <w:right w:type="dxa" w:w="100"/>
            </w:tcMar>
          </w:tcPr>
          <w:p>
            <w:r>
              <w:rPr>
                <w:b w:val="false"/>
                <w:bCs w:val="false"/>
                <w:sz w:val="19"/>
                <w:szCs w:val="19"/>
              </w:rPr>
              <w:t xml:space="preserve">as before</w:t>
            </w:r>
          </w:p>
        </w:tc>
      </w:tr>
      <w:tr>
        <w:trPr>
          <w:tblHeader w:val="false"/>
        </w:trPr>
        <w:tc>
          <w:tcPr>
            <w:tcW w:type="dxa" w:w="2700"/>
            <w:tcMar>
              <w:top w:type="dxa" w:w="60"/>
              <w:left w:type="dxa" w:w="100"/>
              <w:bottom w:type="dxa" w:w="60"/>
              <w:right w:type="dxa" w:w="100"/>
            </w:tcMar>
          </w:tcPr>
          <w:p>
            <w:r>
              <w:rPr>
                <w:b w:val="false"/>
                <w:bCs w:val="false"/>
                <w:sz w:val="19"/>
                <w:szCs w:val="19"/>
              </w:rPr>
              <w:t xml:space="preserve">G/L Account</w:t>
            </w:r>
          </w:p>
        </w:tc>
        <w:tc>
          <w:tcPr>
            <w:tcW w:type="dxa" w:w="4200"/>
            <w:tcMar>
              <w:top w:type="dxa" w:w="60"/>
              <w:left w:type="dxa" w:w="100"/>
              <w:bottom w:type="dxa" w:w="60"/>
              <w:right w:type="dxa" w:w="100"/>
            </w:tcMar>
          </w:tcPr>
          <w:p>
            <w:r>
              <w:rPr>
                <w:b w:val="false"/>
                <w:bCs w:val="false"/>
                <w:sz w:val="19"/>
                <w:szCs w:val="19"/>
              </w:rPr>
              <w:t xml:space="preserve">Optional filter on expense accounts</w:t>
            </w:r>
          </w:p>
        </w:tc>
        <w:tc>
          <w:tcPr>
            <w:tcW w:type="dxa" w:w="2126"/>
            <w:tcMar>
              <w:top w:type="dxa" w:w="60"/>
              <w:left w:type="dxa" w:w="100"/>
              <w:bottom w:type="dxa" w:w="60"/>
              <w:right w:type="dxa" w:w="100"/>
            </w:tcMar>
          </w:tcPr>
          <w:p>
            <w:r>
              <w:rPr>
                <w:b w:val="false"/>
                <w:bCs w:val="false"/>
                <w:sz w:val="19"/>
                <w:szCs w:val="19"/>
              </w:rPr>
              <w:t xml:space="preserve">as before</w:t>
            </w:r>
          </w:p>
        </w:tc>
      </w:tr>
      <w:tr>
        <w:trPr>
          <w:tblHeader w:val="false"/>
        </w:trPr>
        <w:tc>
          <w:tcPr>
            <w:tcW w:type="dxa" w:w="2700"/>
            <w:tcMar>
              <w:top w:type="dxa" w:w="60"/>
              <w:left w:type="dxa" w:w="100"/>
              <w:bottom w:type="dxa" w:w="60"/>
              <w:right w:type="dxa" w:w="100"/>
            </w:tcMar>
          </w:tcPr>
          <w:p>
            <w:r>
              <w:rPr>
                <w:b w:val="false"/>
                <w:bCs w:val="false"/>
                <w:sz w:val="19"/>
                <w:szCs w:val="19"/>
              </w:rPr>
              <w:t xml:space="preserve">RPP Channel / RPP Category / Bottler Account</w:t>
            </w:r>
          </w:p>
        </w:tc>
        <w:tc>
          <w:tcPr>
            <w:tcW w:type="dxa" w:w="4200"/>
            <w:tcMar>
              <w:top w:type="dxa" w:w="60"/>
              <w:left w:type="dxa" w:w="100"/>
              <w:bottom w:type="dxa" w:w="60"/>
              <w:right w:type="dxa" w:w="100"/>
            </w:tcMar>
          </w:tcPr>
          <w:p>
            <w:r>
              <w:rPr>
                <w:b w:val="false"/>
                <w:bCs w:val="false"/>
                <w:sz w:val="19"/>
                <w:szCs w:val="19"/>
              </w:rPr>
              <w:t xml:space="preserve">Optional filters</w:t>
            </w:r>
          </w:p>
        </w:tc>
        <w:tc>
          <w:tcPr>
            <w:tcW w:type="dxa" w:w="2126"/>
            <w:tcMar>
              <w:top w:type="dxa" w:w="60"/>
              <w:left w:type="dxa" w:w="100"/>
              <w:bottom w:type="dxa" w:w="60"/>
              <w:right w:type="dxa" w:w="100"/>
            </w:tcMar>
          </w:tcPr>
          <w:p>
            <w:r>
              <w:rPr>
                <w:b w:val="false"/>
                <w:bCs w:val="false"/>
                <w:sz w:val="19"/>
                <w:szCs w:val="19"/>
              </w:rPr>
              <w:t xml:space="preserve">as before</w:t>
            </w:r>
          </w:p>
        </w:tc>
      </w:tr>
      <w:tr>
        <w:trPr>
          <w:tblHeader w:val="false"/>
        </w:trPr>
        <w:tc>
          <w:tcPr>
            <w:tcW w:type="dxa" w:w="2700"/>
            <w:tcMar>
              <w:top w:type="dxa" w:w="60"/>
              <w:left w:type="dxa" w:w="100"/>
              <w:bottom w:type="dxa" w:w="60"/>
              <w:right w:type="dxa" w:w="100"/>
            </w:tcMar>
          </w:tcPr>
          <w:p>
            <w:r>
              <w:rPr>
                <w:b w:val="false"/>
                <w:bCs w:val="false"/>
                <w:sz w:val="19"/>
                <w:szCs w:val="19"/>
              </w:rPr>
              <w:t xml:space="preserve">Cost Center</w:t>
            </w:r>
          </w:p>
        </w:tc>
        <w:tc>
          <w:tcPr>
            <w:tcW w:type="dxa" w:w="4200"/>
            <w:tcMar>
              <w:top w:type="dxa" w:w="60"/>
              <w:left w:type="dxa" w:w="100"/>
              <w:bottom w:type="dxa" w:w="60"/>
              <w:right w:type="dxa" w:w="100"/>
            </w:tcMar>
          </w:tcPr>
          <w:p>
            <w:r>
              <w:rPr>
                <w:b w:val="false"/>
                <w:bCs w:val="false"/>
                <w:sz w:val="19"/>
                <w:szCs w:val="19"/>
              </w:rPr>
              <w:t xml:space="preserve">Optional filter on cost-center-originated postings</w:t>
            </w:r>
          </w:p>
        </w:tc>
        <w:tc>
          <w:tcPr>
            <w:tcW w:type="dxa" w:w="2126"/>
            <w:tcMar>
              <w:top w:type="dxa" w:w="60"/>
              <w:left w:type="dxa" w:w="100"/>
              <w:bottom w:type="dxa" w:w="60"/>
              <w:right w:type="dxa" w:w="100"/>
            </w:tcMar>
          </w:tcPr>
          <w:p>
            <w:r>
              <w:rPr>
                <w:b w:val="false"/>
                <w:bCs w:val="false"/>
                <w:sz w:val="19"/>
                <w:szCs w:val="19"/>
              </w:rPr>
              <w:t xml:space="preserve">NEW</w:t>
            </w:r>
          </w:p>
        </w:tc>
      </w:tr>
      <w:tr>
        <w:trPr>
          <w:tblHeader w:val="false"/>
        </w:trPr>
        <w:tc>
          <w:tcPr>
            <w:tcW w:type="dxa" w:w="2700"/>
            <w:tcMar>
              <w:top w:type="dxa" w:w="60"/>
              <w:left w:type="dxa" w:w="100"/>
              <w:bottom w:type="dxa" w:w="60"/>
              <w:right w:type="dxa" w:w="100"/>
            </w:tcMar>
          </w:tcPr>
          <w:p>
            <w:r>
              <w:rPr>
                <w:b w:val="false"/>
                <w:bCs w:val="false"/>
                <w:sz w:val="19"/>
                <w:szCs w:val="19"/>
              </w:rPr>
              <w:t xml:space="preserve">Max. records for display</w:t>
            </w:r>
          </w:p>
        </w:tc>
        <w:tc>
          <w:tcPr>
            <w:tcW w:type="dxa" w:w="4200"/>
            <w:tcMar>
              <w:top w:type="dxa" w:w="60"/>
              <w:left w:type="dxa" w:w="100"/>
              <w:bottom w:type="dxa" w:w="60"/>
              <w:right w:type="dxa" w:w="100"/>
            </w:tcMar>
          </w:tcPr>
          <w:p>
            <w:r>
              <w:rPr>
                <w:b w:val="false"/>
                <w:bCs w:val="false"/>
                <w:sz w:val="19"/>
                <w:szCs w:val="19"/>
              </w:rPr>
              <w:t xml:space="preserve">Limits list size on screen (default 20,000) — never limits posting</w:t>
            </w:r>
          </w:p>
        </w:tc>
        <w:tc>
          <w:tcPr>
            <w:tcW w:type="dxa" w:w="2126"/>
            <w:tcMar>
              <w:top w:type="dxa" w:w="60"/>
              <w:left w:type="dxa" w:w="100"/>
              <w:bottom w:type="dxa" w:w="60"/>
              <w:right w:type="dxa" w:w="100"/>
            </w:tcMar>
          </w:tcPr>
          <w:p>
            <w:r>
              <w:rPr>
                <w:b w:val="false"/>
                <w:bCs w:val="false"/>
                <w:sz w:val="19"/>
                <w:szCs w:val="19"/>
              </w:rPr>
              <w:t xml:space="preserve">as before</w:t>
            </w:r>
          </w:p>
        </w:tc>
      </w:tr>
      <w:tr>
        <w:trPr>
          <w:tblHeader w:val="false"/>
        </w:trPr>
        <w:tc>
          <w:tcPr>
            <w:tcW w:type="dxa" w:w="2700"/>
            <w:tcMar>
              <w:top w:type="dxa" w:w="60"/>
              <w:left w:type="dxa" w:w="100"/>
              <w:bottom w:type="dxa" w:w="60"/>
              <w:right w:type="dxa" w:w="100"/>
            </w:tcMar>
          </w:tcPr>
          <w:p>
            <w:r>
              <w:rPr>
                <w:b w:val="false"/>
                <w:bCs w:val="false"/>
                <w:sz w:val="19"/>
                <w:szCs w:val="19"/>
              </w:rPr>
              <w:t xml:space="preserve">Parallel sessions</w:t>
            </w:r>
          </w:p>
        </w:tc>
        <w:tc>
          <w:tcPr>
            <w:tcW w:type="dxa" w:w="4200"/>
            <w:tcMar>
              <w:top w:type="dxa" w:w="60"/>
              <w:left w:type="dxa" w:w="100"/>
              <w:bottom w:type="dxa" w:w="60"/>
              <w:right w:type="dxa" w:w="100"/>
            </w:tcMar>
          </w:tcPr>
          <w:p>
            <w:r>
              <w:rPr>
                <w:b w:val="false"/>
                <w:bCs w:val="false"/>
                <w:sz w:val="19"/>
                <w:szCs w:val="19"/>
              </w:rPr>
              <w:t xml:space="preserve">How many parallel work processes the run may use (default 4)</w:t>
            </w:r>
          </w:p>
        </w:tc>
        <w:tc>
          <w:tcPr>
            <w:tcW w:type="dxa" w:w="2126"/>
            <w:tcMar>
              <w:top w:type="dxa" w:w="60"/>
              <w:left w:type="dxa" w:w="100"/>
              <w:bottom w:type="dxa" w:w="60"/>
              <w:right w:type="dxa" w:w="100"/>
            </w:tcMar>
          </w:tcPr>
          <w:p>
            <w:r>
              <w:rPr>
                <w:b w:val="false"/>
                <w:bCs w:val="false"/>
                <w:sz w:val="19"/>
                <w:szCs w:val="19"/>
              </w:rPr>
              <w:t xml:space="preserve">NEW</w:t>
            </w:r>
          </w:p>
        </w:tc>
      </w:tr>
    </w:tbl>
    <w:p>
      <w:pPr>
        <w:pStyle w:val="Heading2"/>
        <w:spacing w:after="120" w:before="240"/>
      </w:pPr>
      <w:r>
        <w:rPr>
          <w:color w:val="1F4E79"/>
        </w:rPr>
        <w:t xml:space="preserve">Execution modes (radio buttons)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D9E2F3" w:val="clear"/>
            <w:tcMar>
              <w:top w:type="dxa" w:w="60"/>
              <w:left w:type="dxa" w:w="100"/>
              <w:bottom w:type="dxa" w:w="60"/>
              <w:right w:type="dxa" w:w="100"/>
            </w:tcMar>
          </w:tcPr>
          <w:p>
            <w:r>
              <w:rPr>
                <w:b/>
                <w:bCs/>
                <w:sz w:val="19"/>
                <w:szCs w:val="19"/>
              </w:rPr>
              <w:t xml:space="preserve">Mode</w:t>
            </w:r>
          </w:p>
        </w:tc>
        <w:tc>
          <w:tcPr>
            <w:tcW w:type="dxa" w:w="6326"/>
            <w:shd w:fill="D9E2F3" w:val="clear"/>
            <w:tcMar>
              <w:top w:type="dxa" w:w="60"/>
              <w:left w:type="dxa" w:w="100"/>
              <w:bottom w:type="dxa" w:w="60"/>
              <w:right w:type="dxa" w:w="100"/>
            </w:tcMar>
          </w:tcPr>
          <w:p>
            <w:r>
              <w:rPr>
                <w:b/>
                <w:bCs/>
                <w:sz w:val="19"/>
                <w:szCs w:val="19"/>
              </w:rPr>
              <w:t xml:space="preserve">What it does</w:t>
            </w:r>
          </w:p>
        </w:tc>
      </w:tr>
      <w:tr>
        <w:trPr>
          <w:tblHeader w:val="false"/>
        </w:trPr>
        <w:tc>
          <w:tcPr>
            <w:tcW w:type="dxa" w:w="2700"/>
            <w:tcMar>
              <w:top w:type="dxa" w:w="60"/>
              <w:left w:type="dxa" w:w="100"/>
              <w:bottom w:type="dxa" w:w="60"/>
              <w:right w:type="dxa" w:w="100"/>
            </w:tcMar>
          </w:tcPr>
          <w:p>
            <w:r>
              <w:rPr>
                <w:b w:val="false"/>
                <w:bCs w:val="false"/>
                <w:sz w:val="19"/>
                <w:szCs w:val="19"/>
              </w:rPr>
              <w:t xml:space="preserve">Summary Report (default)</w:t>
            </w:r>
          </w:p>
        </w:tc>
        <w:tc>
          <w:tcPr>
            <w:tcW w:type="dxa" w:w="6326"/>
            <w:tcMar>
              <w:top w:type="dxa" w:w="60"/>
              <w:left w:type="dxa" w:w="100"/>
              <w:bottom w:type="dxa" w:w="60"/>
              <w:right w:type="dxa" w:w="100"/>
            </w:tcMar>
          </w:tcPr>
          <w:p>
            <w:r>
              <w:rPr>
                <w:b w:val="false"/>
                <w:bCs w:val="false"/>
                <w:sz w:val="19"/>
                <w:szCs w:val="19"/>
              </w:rPr>
              <w:t xml:space="preserve">Aggregated view of calculated fees</w:t>
            </w:r>
          </w:p>
        </w:tc>
      </w:tr>
      <w:tr>
        <w:trPr>
          <w:tblHeader w:val="false"/>
        </w:trPr>
        <w:tc>
          <w:tcPr>
            <w:tcW w:type="dxa" w:w="2700"/>
            <w:tcMar>
              <w:top w:type="dxa" w:w="60"/>
              <w:left w:type="dxa" w:w="100"/>
              <w:bottom w:type="dxa" w:w="60"/>
              <w:right w:type="dxa" w:w="100"/>
            </w:tcMar>
          </w:tcPr>
          <w:p>
            <w:r>
              <w:rPr>
                <w:b w:val="false"/>
                <w:bCs w:val="false"/>
                <w:sz w:val="19"/>
                <w:szCs w:val="19"/>
              </w:rPr>
              <w:t xml:space="preserve">Detail Report</w:t>
            </w:r>
          </w:p>
        </w:tc>
        <w:tc>
          <w:tcPr>
            <w:tcW w:type="dxa" w:w="6326"/>
            <w:tcMar>
              <w:top w:type="dxa" w:w="60"/>
              <w:left w:type="dxa" w:w="100"/>
              <w:bottom w:type="dxa" w:w="60"/>
              <w:right w:type="dxa" w:w="100"/>
            </w:tcMar>
          </w:tcPr>
          <w:p>
            <w:r>
              <w:rPr>
                <w:b w:val="false"/>
                <w:bCs w:val="false"/>
                <w:sz w:val="19"/>
                <w:szCs w:val="19"/>
              </w:rPr>
              <w:t xml:space="preserve">Line-level view with all derivation fields</w:t>
            </w:r>
          </w:p>
        </w:tc>
      </w:tr>
      <w:tr>
        <w:trPr>
          <w:tblHeader w:val="false"/>
        </w:trPr>
        <w:tc>
          <w:tcPr>
            <w:tcW w:type="dxa" w:w="2700"/>
            <w:tcMar>
              <w:top w:type="dxa" w:w="60"/>
              <w:left w:type="dxa" w:w="100"/>
              <w:bottom w:type="dxa" w:w="60"/>
              <w:right w:type="dxa" w:w="100"/>
            </w:tcMar>
          </w:tcPr>
          <w:p>
            <w:r>
              <w:rPr>
                <w:b w:val="false"/>
                <w:bCs w:val="false"/>
                <w:sz w:val="19"/>
                <w:szCs w:val="19"/>
              </w:rPr>
              <w:t xml:space="preserve">Monthly Report</w:t>
            </w:r>
          </w:p>
        </w:tc>
        <w:tc>
          <w:tcPr>
            <w:tcW w:type="dxa" w:w="6326"/>
            <w:tcMar>
              <w:top w:type="dxa" w:w="60"/>
              <w:left w:type="dxa" w:w="100"/>
              <w:bottom w:type="dxa" w:w="60"/>
              <w:right w:type="dxa" w:w="100"/>
            </w:tcMar>
          </w:tcPr>
          <w:p>
            <w:r>
              <w:rPr>
                <w:b w:val="false"/>
                <w:bCs w:val="false"/>
                <w:sz w:val="19"/>
                <w:szCs w:val="19"/>
              </w:rPr>
              <w:t xml:space="preserve">Month layout as in BW today</w:t>
            </w:r>
          </w:p>
        </w:tc>
      </w:tr>
      <w:tr>
        <w:trPr>
          <w:tblHeader w:val="false"/>
        </w:trPr>
        <w:tc>
          <w:tcPr>
            <w:tcW w:type="dxa" w:w="2700"/>
            <w:tcMar>
              <w:top w:type="dxa" w:w="60"/>
              <w:left w:type="dxa" w:w="100"/>
              <w:bottom w:type="dxa" w:w="60"/>
              <w:right w:type="dxa" w:w="100"/>
            </w:tcMar>
          </w:tcPr>
          <w:p>
            <w:r>
              <w:rPr>
                <w:b w:val="false"/>
                <w:bCs w:val="false"/>
                <w:sz w:val="19"/>
                <w:szCs w:val="19"/>
              </w:rPr>
              <w:t xml:space="preserve">JC Audit Report</w:t>
            </w:r>
          </w:p>
        </w:tc>
        <w:tc>
          <w:tcPr>
            <w:tcW w:type="dxa" w:w="6326"/>
            <w:tcMar>
              <w:top w:type="dxa" w:w="60"/>
              <w:left w:type="dxa" w:w="100"/>
              <w:bottom w:type="dxa" w:w="60"/>
              <w:right w:type="dxa" w:w="100"/>
            </w:tcMar>
          </w:tcPr>
          <w:p>
            <w:r>
              <w:rPr>
                <w:b w:val="false"/>
                <w:bCs w:val="false"/>
                <w:sz w:val="19"/>
                <w:szCs w:val="19"/>
              </w:rPr>
              <w:t xml:space="preserve">Audit layout as in BW today</w:t>
            </w:r>
          </w:p>
        </w:tc>
      </w:tr>
      <w:tr>
        <w:trPr>
          <w:tblHeader w:val="false"/>
        </w:trPr>
        <w:tc>
          <w:tcPr>
            <w:tcW w:type="dxa" w:w="2700"/>
            <w:tcMar>
              <w:top w:type="dxa" w:w="60"/>
              <w:left w:type="dxa" w:w="100"/>
              <w:bottom w:type="dxa" w:w="60"/>
              <w:right w:type="dxa" w:w="100"/>
            </w:tcMar>
          </w:tcPr>
          <w:p>
            <w:r>
              <w:rPr>
                <w:b w:val="false"/>
                <w:bCs w:val="false"/>
                <w:sz w:val="19"/>
                <w:szCs w:val="19"/>
              </w:rPr>
              <w:t xml:space="preserve">Simulation  (NEW)</w:t>
            </w:r>
          </w:p>
        </w:tc>
        <w:tc>
          <w:tcPr>
            <w:tcW w:type="dxa" w:w="6326"/>
            <w:tcMar>
              <w:top w:type="dxa" w:w="60"/>
              <w:left w:type="dxa" w:w="100"/>
              <w:bottom w:type="dxa" w:w="60"/>
              <w:right w:type="dxa" w:w="100"/>
            </w:tcMar>
          </w:tcPr>
          <w:p>
            <w:r>
              <w:rPr>
                <w:b w:val="false"/>
                <w:bCs w:val="false"/>
                <w:sz w:val="19"/>
                <w:szCs w:val="19"/>
              </w:rPr>
              <w:t xml:space="preserve">Full dry run — shows the documents that would be posted, posts nothing</w:t>
            </w:r>
          </w:p>
        </w:tc>
      </w:tr>
      <w:tr>
        <w:trPr>
          <w:tblHeader w:val="false"/>
        </w:trPr>
        <w:tc>
          <w:tcPr>
            <w:tcW w:type="dxa" w:w="2700"/>
            <w:tcMar>
              <w:top w:type="dxa" w:w="60"/>
              <w:left w:type="dxa" w:w="100"/>
              <w:bottom w:type="dxa" w:w="60"/>
              <w:right w:type="dxa" w:w="100"/>
            </w:tcMar>
          </w:tcPr>
          <w:p>
            <w:r>
              <w:rPr>
                <w:b w:val="false"/>
                <w:bCs w:val="false"/>
                <w:sz w:val="19"/>
                <w:szCs w:val="19"/>
              </w:rPr>
              <w:t xml:space="preserve">Posting</w:t>
            </w:r>
          </w:p>
        </w:tc>
        <w:tc>
          <w:tcPr>
            <w:tcW w:type="dxa" w:w="6326"/>
            <w:tcMar>
              <w:top w:type="dxa" w:w="60"/>
              <w:left w:type="dxa" w:w="100"/>
              <w:bottom w:type="dxa" w:w="60"/>
              <w:right w:type="dxa" w:w="100"/>
            </w:tcMar>
          </w:tcPr>
          <w:p>
            <w:r>
              <w:rPr>
                <w:b w:val="false"/>
                <w:bCs w:val="false"/>
                <w:sz w:val="19"/>
                <w:szCs w:val="19"/>
              </w:rPr>
              <w:t xml:space="preserve">Creates the FI documents and COPA information, with result log</w:t>
            </w:r>
          </w:p>
        </w:tc>
      </w:tr>
    </w:tbl>
    <w:p>
      <w:pPr>
        <w:pStyle w:val="Heading1"/>
        <w:spacing w:after="160" w:before="320"/>
      </w:pPr>
      <w:r>
        <w:rPr>
          <w:color w:val="1F4E79"/>
        </w:rPr>
        <w:t xml:space="preserve">7. How the program works inside</w:t>
      </w:r>
    </w:p>
    <w:p>
      <w:pPr>
        <w:pStyle w:val="ListParagraph"/>
        <w:numPr>
          <w:ilvl w:val="0"/>
          <w:numId w:val="2"/>
        </w:numPr>
        <w:spacing w:after="80"/>
      </w:pPr>
      <w:r>
        <w:t xml:space="preserve">Read settings and masters — all configuration and master tables are read once, up front.</w:t>
      </w:r>
    </w:p>
    <w:p>
      <w:pPr>
        <w:pStyle w:val="ListParagraph"/>
        <w:numPr>
          <w:ilvl w:val="0"/>
          <w:numId w:val="2"/>
        </w:numPr>
        <w:spacing w:after="80"/>
      </w:pPr>
      <w:r>
        <w:t xml:space="preserve">Select from ACDOCA — the program asks the database for already-summarised totals (by document, account, cost center, profitability fields). The database returns compact results instead of millions of raw lines.</w:t>
      </w:r>
    </w:p>
    <w:p>
      <w:pPr>
        <w:pStyle w:val="ListParagraph"/>
        <w:numPr>
          <w:ilvl w:val="0"/>
          <w:numId w:val="2"/>
        </w:numPr>
        <w:spacing w:after="80"/>
      </w:pPr>
      <w:r>
        <w:t xml:space="preserve">Classify — each result line is tagged: FI-source or COPA-source, and its G/L type (50% / CokeON / Other).</w:t>
      </w:r>
    </w:p>
    <w:p>
      <w:pPr>
        <w:pStyle w:val="ListParagraph"/>
        <w:numPr>
          <w:ilvl w:val="0"/>
          <w:numId w:val="2"/>
        </w:numPr>
        <w:spacing w:after="80"/>
      </w:pPr>
      <w:r>
        <w:t xml:space="preserve">Derive — profit center (KAM Level-4 mapping, sender-cost-center rule, or the line’s own profit center), brand, packaging, plant and channel are determined.</w:t>
      </w:r>
    </w:p>
    <w:p>
      <w:pPr>
        <w:pStyle w:val="ListParagraph"/>
        <w:numPr>
          <w:ilvl w:val="0"/>
          <w:numId w:val="2"/>
        </w:numPr>
        <w:spacing w:after="80"/>
      </w:pPr>
      <w:r>
        <w:t xml:space="preserve">Calculate — the incidence % is found using the rule ladder (fixed rates first, then category, cost-center, bottler+channel, channel, account level). Fee = cost × % ÷ 100, rounded to whole Yen.</w:t>
      </w:r>
    </w:p>
    <w:p>
      <w:pPr>
        <w:pStyle w:val="ListParagraph"/>
        <w:numPr>
          <w:ilvl w:val="0"/>
          <w:numId w:val="2"/>
        </w:numPr>
        <w:spacing w:after="80"/>
      </w:pPr>
      <w:r>
        <w:t xml:space="preserve">Show or post — reports show the result; Posting mode builds the documents: one document per credit-account group, maximum 400 lines each, with debit line, credit lines and tax lines, and posts them one by one with a full log.</w:t>
      </w:r>
    </w:p>
    <w:p>
      <w:pPr>
        <w:pStyle w:val="Heading1"/>
        <w:spacing w:after="160" w:before="320"/>
      </w:pPr>
      <w:r>
        <w:rPr>
          <w:color w:val="1F4E79"/>
        </w:rPr>
        <w:t xml:space="preserve">8. How performance is handled</w:t>
      </w:r>
    </w:p>
    <w:p>
      <w:pPr>
        <w:spacing w:after="120"/>
      </w:pPr>
      <w:r>
        <w:t xml:space="preserve">The data volume is large — a single period can hold over 100 million journal lines. The design deals with this in three ways:</w:t>
      </w:r>
    </w:p>
    <w:p>
      <w:pPr>
        <w:pStyle w:val="ListParagraph"/>
        <w:numPr>
          <w:ilvl w:val="0"/>
          <w:numId w:val="3"/>
        </w:numPr>
        <w:spacing w:after="60"/>
      </w:pPr>
      <w:r>
        <w:t xml:space="preserve">The database does the heavy lifting. The program never downloads raw lines; it lets the HANA database aggregate first and only receives summarised results. This is the single biggest difference from the old program, which repeatedly ran into memory dumps.</w:t>
      </w:r>
    </w:p>
    <w:p>
      <w:pPr>
        <w:pStyle w:val="ListParagraph"/>
        <w:numPr>
          <w:ilvl w:val="0"/>
          <w:numId w:val="3"/>
        </w:numPr>
        <w:spacing w:after="60"/>
      </w:pPr>
      <w:r>
        <w:t xml:space="preserve">Parallel processing. The workload is split into packages (by document type and account group) and processed in several parallel sessions. The user chooses how many on the selection screen (default 4), so a quick daytime check can run small while the month-end run uses full power.</w:t>
      </w:r>
    </w:p>
    <w:p>
      <w:pPr>
        <w:pStyle w:val="ListParagraph"/>
        <w:numPr>
          <w:ilvl w:val="0"/>
          <w:numId w:val="3"/>
        </w:numPr>
        <w:spacing w:after="60"/>
      </w:pPr>
      <w:r>
        <w:t xml:space="preserve">Lean memory usage. Master data is read once into indexed internal tables; lookups use fast binary searches; the display limit protects the screen list without ever cutting posting totals.</w:t>
      </w:r>
    </w:p>
    <w:p>
      <w:pPr>
        <w:pStyle w:val="Heading1"/>
        <w:spacing w:after="160" w:before="320"/>
      </w:pPr>
      <w:r>
        <w:rPr>
          <w:color w:val="1F4E79"/>
        </w:rPr>
        <w:t xml:space="preserve">9. Safety features</w:t>
      </w:r>
    </w:p>
    <w:p>
      <w:pPr>
        <w:pStyle w:val="ListParagraph"/>
        <w:numPr>
          <w:ilvl w:val="0"/>
          <w:numId w:val="3"/>
        </w:numPr>
        <w:spacing w:after="60"/>
      </w:pPr>
      <w:r>
        <w:t xml:space="preserve">Simulation first — month-end can be fully rehearsed with zero risk; the old file-based process had no preview at all.</w:t>
      </w:r>
    </w:p>
    <w:p>
      <w:pPr>
        <w:pStyle w:val="ListParagraph"/>
        <w:numPr>
          <w:ilvl w:val="0"/>
          <w:numId w:val="3"/>
        </w:numPr>
        <w:spacing w:after="60"/>
      </w:pPr>
      <w:r>
        <w:t xml:space="preserve">Double-posting protection — the program checks whether support-fee documents already exist for the month and stops with a warning (override possible deliberately).</w:t>
      </w:r>
    </w:p>
    <w:p>
      <w:pPr>
        <w:pStyle w:val="ListParagraph"/>
        <w:numPr>
          <w:ilvl w:val="0"/>
          <w:numId w:val="3"/>
        </w:numPr>
        <w:spacing w:after="60"/>
      </w:pPr>
      <w:r>
        <w:t xml:space="preserve">Document-by-document posting — one faulty document does not block the others; the log shows exactly what was posted and what failed and why.</w:t>
      </w:r>
    </w:p>
    <w:p>
      <w:pPr>
        <w:pStyle w:val="ListParagraph"/>
        <w:numPr>
          <w:ilvl w:val="0"/>
          <w:numId w:val="3"/>
        </w:numPr>
        <w:spacing w:after="60"/>
      </w:pPr>
      <w:r>
        <w:t xml:space="preserve">All rates and accounts in configuration — the 50% rate, vending rate, debit account and profit center are settings, not program code. Changes need no development.</w:t>
      </w:r>
    </w:p>
    <w:p>
      <w:pPr>
        <w:pStyle w:val="Heading1"/>
        <w:spacing w:after="160" w:before="320"/>
      </w:pPr>
      <w:r>
        <w:rPr>
          <w:color w:val="1F4E79"/>
        </w:rPr>
        <w:t xml:space="preserve">10. What we still need from the business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800"/>
        <w:gridCol w:w="2626"/>
      </w:tblGrid>
      <w:tr>
        <w:trPr>
          <w:tblHeader/>
        </w:trPr>
        <w:tc>
          <w:tcPr>
            <w:tcW w:type="dxa" w:w="600"/>
            <w:shd w:fill="D9E2F3" w:val="clear"/>
            <w:tcMar>
              <w:top w:type="dxa" w:w="60"/>
              <w:left w:type="dxa" w:w="100"/>
              <w:bottom w:type="dxa" w:w="60"/>
              <w:right w:type="dxa" w:w="100"/>
            </w:tcMar>
          </w:tcPr>
          <w:p>
            <w:r>
              <w:rPr>
                <w:b/>
                <w:bCs/>
                <w:sz w:val="19"/>
                <w:szCs w:val="19"/>
              </w:rPr>
              <w:t xml:space="preserve">#</w:t>
            </w:r>
          </w:p>
        </w:tc>
        <w:tc>
          <w:tcPr>
            <w:tcW w:type="dxa" w:w="5800"/>
            <w:shd w:fill="D9E2F3" w:val="clear"/>
            <w:tcMar>
              <w:top w:type="dxa" w:w="60"/>
              <w:left w:type="dxa" w:w="100"/>
              <w:bottom w:type="dxa" w:w="60"/>
              <w:right w:type="dxa" w:w="100"/>
            </w:tcMar>
          </w:tcPr>
          <w:p>
            <w:r>
              <w:rPr>
                <w:b/>
                <w:bCs/>
                <w:sz w:val="19"/>
                <w:szCs w:val="19"/>
              </w:rPr>
              <w:t xml:space="preserve">Item</w:t>
            </w:r>
          </w:p>
        </w:tc>
        <w:tc>
          <w:tcPr>
            <w:tcW w:type="dxa" w:w="2626"/>
            <w:shd w:fill="D9E2F3" w:val="clear"/>
            <w:tcMar>
              <w:top w:type="dxa" w:w="60"/>
              <w:left w:type="dxa" w:w="100"/>
              <w:bottom w:type="dxa" w:w="60"/>
              <w:right w:type="dxa" w:w="100"/>
            </w:tcMar>
          </w:tcPr>
          <w:p>
            <w:r>
              <w:rPr>
                <w:b/>
                <w:bCs/>
                <w:sz w:val="19"/>
                <w:szCs w:val="19"/>
              </w:rPr>
              <w:t xml:space="preserve">Needed for</w:t>
            </w:r>
          </w:p>
        </w:tc>
      </w:tr>
      <w:tr>
        <w:trPr>
          <w:tblHeader w:val="false"/>
        </w:trPr>
        <w:tc>
          <w:tcPr>
            <w:tcW w:type="dxa" w:w="600"/>
            <w:tcMar>
              <w:top w:type="dxa" w:w="60"/>
              <w:left w:type="dxa" w:w="100"/>
              <w:bottom w:type="dxa" w:w="60"/>
              <w:right w:type="dxa" w:w="100"/>
            </w:tcMar>
          </w:tcPr>
          <w:p>
            <w:r>
              <w:rPr>
                <w:b w:val="false"/>
                <w:bCs w:val="false"/>
                <w:sz w:val="19"/>
                <w:szCs w:val="19"/>
              </w:rPr>
              <w:t xml:space="preserve">1</w:t>
            </w:r>
          </w:p>
        </w:tc>
        <w:tc>
          <w:tcPr>
            <w:tcW w:type="dxa" w:w="5800"/>
            <w:tcMar>
              <w:top w:type="dxa" w:w="60"/>
              <w:left w:type="dxa" w:w="100"/>
              <w:bottom w:type="dxa" w:w="60"/>
              <w:right w:type="dxa" w:w="100"/>
            </w:tcMar>
          </w:tcPr>
          <w:p>
            <w:r>
              <w:rPr>
                <w:b w:val="false"/>
                <w:bCs w:val="false"/>
                <w:sz w:val="19"/>
                <w:szCs w:val="19"/>
              </w:rPr>
              <w:t xml:space="preserve">List of "50% Support" G/L accounts and "CokeON cost" G/L accounts (for the new classification table)</w:t>
            </w:r>
          </w:p>
        </w:tc>
        <w:tc>
          <w:tcPr>
            <w:tcW w:type="dxa" w:w="2626"/>
            <w:tcMar>
              <w:top w:type="dxa" w:w="60"/>
              <w:left w:type="dxa" w:w="100"/>
              <w:bottom w:type="dxa" w:w="60"/>
              <w:right w:type="dxa" w:w="100"/>
            </w:tcMar>
          </w:tcPr>
          <w:p>
            <w:r>
              <w:rPr>
                <w:b w:val="false"/>
                <w:bCs w:val="false"/>
                <w:sz w:val="19"/>
                <w:szCs w:val="19"/>
              </w:rPr>
              <w:t xml:space="preserve">New fixed-rate rules</w:t>
            </w:r>
          </w:p>
        </w:tc>
      </w:tr>
      <w:tr>
        <w:trPr>
          <w:tblHeader w:val="false"/>
        </w:trPr>
        <w:tc>
          <w:tcPr>
            <w:tcW w:type="dxa" w:w="600"/>
            <w:tcMar>
              <w:top w:type="dxa" w:w="60"/>
              <w:left w:type="dxa" w:w="100"/>
              <w:bottom w:type="dxa" w:w="60"/>
              <w:right w:type="dxa" w:w="100"/>
            </w:tcMar>
          </w:tcPr>
          <w:p>
            <w:r>
              <w:rPr>
                <w:b w:val="false"/>
                <w:bCs w:val="false"/>
                <w:sz w:val="19"/>
                <w:szCs w:val="19"/>
              </w:rPr>
              <w:t xml:space="preserve">2</w:t>
            </w:r>
          </w:p>
        </w:tc>
        <w:tc>
          <w:tcPr>
            <w:tcW w:type="dxa" w:w="5800"/>
            <w:tcMar>
              <w:top w:type="dxa" w:w="60"/>
              <w:left w:type="dxa" w:w="100"/>
              <w:bottom w:type="dxa" w:w="60"/>
              <w:right w:type="dxa" w:w="100"/>
            </w:tcMar>
          </w:tcPr>
          <w:p>
            <w:r>
              <w:rPr>
                <w:b w:val="false"/>
                <w:bCs w:val="false"/>
                <w:sz w:val="19"/>
                <w:szCs w:val="19"/>
              </w:rPr>
              <w:t xml:space="preserve">The vending-channel % for CokeON accounts</w:t>
            </w:r>
          </w:p>
        </w:tc>
        <w:tc>
          <w:tcPr>
            <w:tcW w:type="dxa" w:w="2626"/>
            <w:tcMar>
              <w:top w:type="dxa" w:w="60"/>
              <w:left w:type="dxa" w:w="100"/>
              <w:bottom w:type="dxa" w:w="60"/>
              <w:right w:type="dxa" w:w="100"/>
            </w:tcMar>
          </w:tcPr>
          <w:p>
            <w:r>
              <w:rPr>
                <w:b w:val="false"/>
                <w:bCs w:val="false"/>
                <w:sz w:val="19"/>
                <w:szCs w:val="19"/>
              </w:rPr>
              <w:t xml:space="preserve">New fixed-rate rules</w:t>
            </w:r>
          </w:p>
        </w:tc>
      </w:tr>
      <w:tr>
        <w:trPr>
          <w:tblHeader w:val="false"/>
        </w:trPr>
        <w:tc>
          <w:tcPr>
            <w:tcW w:type="dxa" w:w="600"/>
            <w:tcMar>
              <w:top w:type="dxa" w:w="60"/>
              <w:left w:type="dxa" w:w="100"/>
              <w:bottom w:type="dxa" w:w="60"/>
              <w:right w:type="dxa" w:w="100"/>
            </w:tcMar>
          </w:tcPr>
          <w:p>
            <w:r>
              <w:rPr>
                <w:b w:val="false"/>
                <w:bCs w:val="false"/>
                <w:sz w:val="19"/>
                <w:szCs w:val="19"/>
              </w:rPr>
              <w:t xml:space="preserve">3</w:t>
            </w:r>
          </w:p>
        </w:tc>
        <w:tc>
          <w:tcPr>
            <w:tcW w:type="dxa" w:w="5800"/>
            <w:tcMar>
              <w:top w:type="dxa" w:w="60"/>
              <w:left w:type="dxa" w:w="100"/>
              <w:bottom w:type="dxa" w:w="60"/>
              <w:right w:type="dxa" w:w="100"/>
            </w:tcMar>
          </w:tcPr>
          <w:p>
            <w:r>
              <w:rPr>
                <w:b w:val="false"/>
                <w:bCs w:val="false"/>
                <w:sz w:val="19"/>
                <w:szCs w:val="19"/>
              </w:rPr>
              <w:t xml:space="preserve">Classification of RPP categories (Other / Adjacent / Specific)</w:t>
            </w:r>
          </w:p>
        </w:tc>
        <w:tc>
          <w:tcPr>
            <w:tcW w:type="dxa" w:w="2626"/>
            <w:tcMar>
              <w:top w:type="dxa" w:w="60"/>
              <w:left w:type="dxa" w:w="100"/>
              <w:bottom w:type="dxa" w:w="60"/>
              <w:right w:type="dxa" w:w="100"/>
            </w:tcMar>
          </w:tcPr>
          <w:p>
            <w:r>
              <w:rPr>
                <w:b w:val="false"/>
                <w:bCs w:val="false"/>
                <w:sz w:val="19"/>
                <w:szCs w:val="19"/>
              </w:rPr>
              <w:t xml:space="preserve">New category rules</w:t>
            </w:r>
          </w:p>
        </w:tc>
      </w:tr>
      <w:tr>
        <w:trPr>
          <w:tblHeader w:val="false"/>
        </w:trPr>
        <w:tc>
          <w:tcPr>
            <w:tcW w:type="dxa" w:w="600"/>
            <w:tcMar>
              <w:top w:type="dxa" w:w="60"/>
              <w:left w:type="dxa" w:w="100"/>
              <w:bottom w:type="dxa" w:w="60"/>
              <w:right w:type="dxa" w:w="100"/>
            </w:tcMar>
          </w:tcPr>
          <w:p>
            <w:r>
              <w:rPr>
                <w:b w:val="false"/>
                <w:bCs w:val="false"/>
                <w:sz w:val="19"/>
                <w:szCs w:val="19"/>
              </w:rPr>
              <w:t xml:space="preserve">4</w:t>
            </w:r>
          </w:p>
        </w:tc>
        <w:tc>
          <w:tcPr>
            <w:tcW w:type="dxa" w:w="5800"/>
            <w:tcMar>
              <w:top w:type="dxa" w:w="60"/>
              <w:left w:type="dxa" w:w="100"/>
              <w:bottom w:type="dxa" w:w="60"/>
              <w:right w:type="dxa" w:w="100"/>
            </w:tcMar>
          </w:tcPr>
          <w:p>
            <w:r>
              <w:rPr>
                <w:b w:val="false"/>
                <w:bCs w:val="false"/>
                <w:sz w:val="19"/>
                <w:szCs w:val="19"/>
              </w:rPr>
              <w:t xml:space="preserve">Confirmation of one past month’s figures for reconciliation testing</w:t>
            </w:r>
          </w:p>
        </w:tc>
        <w:tc>
          <w:tcPr>
            <w:tcW w:type="dxa" w:w="2626"/>
            <w:tcMar>
              <w:top w:type="dxa" w:w="60"/>
              <w:left w:type="dxa" w:w="100"/>
              <w:bottom w:type="dxa" w:w="60"/>
              <w:right w:type="dxa" w:w="100"/>
            </w:tcMar>
          </w:tcPr>
          <w:p>
            <w:r>
              <w:rPr>
                <w:b w:val="false"/>
                <w:bCs w:val="false"/>
                <w:sz w:val="19"/>
                <w:szCs w:val="19"/>
              </w:rPr>
              <w:t xml:space="preserve">Go-live sign-off</w:t>
            </w:r>
          </w:p>
        </w:tc>
      </w:tr>
    </w:tbl>
    <w:p>
      <w:pPr>
        <w:spacing w:after="120"/>
      </w:pPr>
      <w:r>
        <w:t xml:space="preserve"/>
      </w:r>
    </w:p>
    <w:p>
      <w:pPr>
        <w:spacing w:after="120"/>
      </w:pPr>
      <w:r>
        <w:rPr>
          <w:i/>
          <w:iCs/>
        </w:rPr>
        <w:t xml:space="preserve">Until items 1–3 are provided, the program simply applies the same rules as the current BW process — the new rules switch on automatically once the tables are filled.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sz w:val="30"/>
      <w:szCs w:val="30"/>
    </w:rPr>
  </w:style>
  <w:style w:type="paragraph" w:styleId="Heading2">
    <w:name w:val="Heading 2"/>
    <w:basedOn w:val="Normal"/>
    <w:next w:val="Normal"/>
    <w:qFormat/>
    <w:rPr>
      <w:b/>
      <w:bCs/>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2026-07-28T10:53:58.355Z</dcterms:created>
  <dcterms:modified xsi:type="dcterms:W3CDTF">2026-07-28T10:53:58.355Z</dcterms:modified>
</cp:coreProperties>
</file>

<file path=docProps/custom.xml><?xml version="1.0" encoding="utf-8"?>
<Properties xmlns="http://schemas.openxmlformats.org/officeDocument/2006/custom-properties" xmlns:vt="http://schemas.openxmlformats.org/officeDocument/2006/docPropsVTypes"/>
</file>