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rPr>
          <w:rFonts w:ascii="Calibri" w:cs="Calibri" w:eastAsia="Calibri" w:hAnsi="Calibri"/>
          <w:color w:val="555555"/>
          <w:sz w:val="34"/>
          <w:szCs w:val="34"/>
        </w:rPr>
        <w:t xml:space="preserve">A Simple Guide to the</w:t>
      </w:r>
    </w:p>
    <w:p>
      <w:pPr>
        <w:spacing w:after="140"/>
        <w:jc w:val="center"/>
      </w:pPr>
      <w:r>
        <w:rPr>
          <w:rFonts w:ascii="Calibri" w:cs="Calibri" w:eastAsia="Calibri" w:hAnsi="Calibri"/>
          <w:b/>
          <w:bCs/>
          <w:color w:val="1F4E79"/>
          <w:sz w:val="60"/>
          <w:szCs w:val="60"/>
        </w:rPr>
        <w:t xml:space="preserve">Transport Check Tool</w:t>
      </w:r>
    </w:p>
    <w:p>
      <w:pPr>
        <w:spacing w:after="500"/>
        <w:jc w:val="center"/>
      </w:pPr>
      <w:r>
        <w:rPr>
          <w:rFonts w:ascii="Calibri" w:cs="Calibri" w:eastAsia="Calibri" w:hAnsi="Calibri"/>
          <w:i/>
          <w:iCs/>
          <w:color w:val="555555"/>
          <w:sz w:val="26"/>
          <w:szCs w:val="26"/>
        </w:rPr>
        <w:t xml:space="preserve">The SAP report called  /SDF/CMO_TR_CHECK</w:t>
      </w:r>
    </w:p>
    <w:p>
      <w:pPr>
        <w:spacing w:after="700"/>
        <w:jc w:val="center"/>
      </w:pPr>
      <w:r>
        <w:rPr>
          <w:rFonts w:ascii="Calibri" w:cs="Calibri" w:eastAsia="Calibri" w:hAnsi="Calibri"/>
          <w:color w:val="548235"/>
          <w:sz w:val="24"/>
          <w:szCs w:val="24"/>
        </w:rPr>
        <w:t xml:space="preserve">Written in plain language — no deep SAP knowledge needed</w:t>
      </w:r>
    </w:p>
    <w:tbl>
      <w:tblPr>
        <w:tblW w:type="dxa" w:w="9200"/>
        <w:tblBorders>
          <w:top w:val="single" w:color="1F4E79" w:sz="4"/>
          <w:left w:val="single" w:color="1F4E79" w:sz="24"/>
          <w:bottom w:val="single" w:color="1F4E79" w:sz="4"/>
          <w:right w:val="single" w:color="1F4E79" w:sz="4"/>
          <w:insideH w:val="single" w:color="auto" w:sz="4"/>
          <w:insideV w:val="single" w:color="auto" w:sz="4"/>
        </w:tblBorders>
      </w:tblPr>
      <w:tblGrid>
        <w:gridCol w:w="9200"/>
      </w:tblGrid>
      <w:tr>
        <w:tc>
          <w:tcPr>
            <w:tcW w:type="dxa" w:w="9200"/>
            <w:shd w:fill="EAF1FB" w:color="auto" w:val="clear"/>
            <w:tcMar>
              <w:top w:type="dxa" w:w="120"/>
              <w:left w:type="dxa" w:w="180"/>
              <w:bottom w:type="dxa" w:w="120"/>
              <w:right w:type="dxa" w:w="160"/>
            </w:tcMar>
          </w:tcPr>
          <w:p>
            <w:pPr>
              <w:spacing w:after="60"/>
            </w:pPr>
            <w:r>
              <w:rPr>
                <w:rFonts w:ascii="Calibri" w:cs="Calibri" w:eastAsia="Calibri" w:hAnsi="Calibri"/>
                <w:b/>
                <w:bCs/>
                <w:color w:val="1F4E79"/>
                <w:sz w:val="22"/>
                <w:szCs w:val="22"/>
              </w:rPr>
              <w:t xml:space="preserve">In one sentence</w:t>
            </w:r>
          </w:p>
          <w:p>
            <w:pPr>
              <w:spacing w:after="0"/>
            </w:pPr>
            <w:r>
              <w:rPr>
                <w:rFonts w:ascii="Calibri" w:cs="Calibri" w:eastAsia="Calibri" w:hAnsi="Calibri"/>
                <w:sz w:val="21"/>
                <w:szCs w:val="21"/>
              </w:rPr>
              <w:t xml:space="preserve">This tool is like a </w:t>
            </w:r>
            <w:r>
              <w:rPr>
                <w:rFonts w:ascii="Calibri" w:cs="Calibri" w:eastAsia="Calibri" w:hAnsi="Calibri"/>
                <w:b/>
                <w:bCs/>
                <w:sz w:val="21"/>
                <w:szCs w:val="21"/>
              </w:rPr>
              <w:t xml:space="preserve">spell-checker for software changes</w:t>
            </w:r>
            <w:r>
              <w:rPr>
                <w:rFonts w:ascii="Calibri" w:cs="Calibri" w:eastAsia="Calibri" w:hAnsi="Calibri"/>
                <w:sz w:val="21"/>
                <w:szCs w:val="21"/>
              </w:rPr>
              <w:t xml:space="preserve">: before a change is moved into the live system that the whole company uses, it looks the change over and warns you about problems — so you fix them early instead of breaking the live system.</w:t>
            </w:r>
          </w:p>
        </w:tc>
      </w:tr>
    </w:tbl>
    <w:p>
      <w:r>
        <w:br w:type="page"/>
      </w:r>
    </w:p>
    <w:p>
      <w:pPr>
        <w:pStyle w:val="Heading1"/>
        <w:spacing w:after="150" w:before="300"/>
      </w:pPr>
      <w:r>
        <w:rPr>
          <w:b/>
          <w:bCs/>
          <w:color w:val="1F4E79"/>
        </w:rPr>
        <w:t xml:space="preserve">First, a Little Background</w:t>
      </w:r>
    </w:p>
    <w:p>
      <w:pPr>
        <w:spacing w:after="130"/>
      </w:pPr>
      <w:r>
        <w:rPr>
          <w:rFonts w:ascii="Calibri" w:cs="Calibri" w:eastAsia="Calibri" w:hAnsi="Calibri"/>
          <w:sz w:val="22"/>
          <w:szCs w:val="22"/>
        </w:rPr>
        <w:t xml:space="preserve">If you are not an SAP person, a few words will make the rest of this document easy to follow. SAP is the large business software the company runs on. To keep it safe, changes are never made directly in the live system. Instead there are usually three separate copies: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79" w:color="auto" w:val="clear"/>
            <w:tcMar>
              <w:top w:type="dxa" w:w="60"/>
              <w:left w:type="dxa" w:w="110"/>
              <w:bottom w:type="dxa" w:w="60"/>
              <w:right w:type="dxa" w:w="110"/>
            </w:tcMar>
          </w:tcPr>
          <w:p>
            <w:r>
              <w:rPr>
                <w:rFonts w:ascii="Calibri" w:cs="Calibri" w:eastAsia="Calibri" w:hAnsi="Calibri"/>
                <w:b/>
                <w:bCs/>
                <w:color w:val="FFFFFF"/>
                <w:sz w:val="20"/>
                <w:szCs w:val="20"/>
              </w:rPr>
              <w:t xml:space="preserve">The three systems</w:t>
            </w:r>
          </w:p>
        </w:tc>
        <w:tc>
          <w:tcPr>
            <w:tcW w:type="dxa" w:w="6800"/>
            <w:shd w:fill="1F4E79" w:color="auto" w:val="clear"/>
            <w:tcMar>
              <w:top w:type="dxa" w:w="60"/>
              <w:left w:type="dxa" w:w="110"/>
              <w:bottom w:type="dxa" w:w="60"/>
              <w:right w:type="dxa" w:w="110"/>
            </w:tcMar>
          </w:tcPr>
          <w:p>
            <w:r>
              <w:rPr>
                <w:rFonts w:ascii="Calibri" w:cs="Calibri" w:eastAsia="Calibri" w:hAnsi="Calibri"/>
                <w:b/>
                <w:bCs/>
                <w:color w:val="FFFFFF"/>
                <w:sz w:val="20"/>
                <w:szCs w:val="20"/>
              </w:rPr>
              <w:t xml:space="preserve">Think of it as…</w:t>
            </w:r>
          </w:p>
        </w:tc>
      </w:tr>
      <w:tr>
        <w:tc>
          <w:tcPr>
            <w:tcW w:type="dxa" w:w="2400"/>
            <w:tcMar>
              <w:top w:type="dxa" w:w="60"/>
              <w:left w:type="dxa" w:w="110"/>
              <w:bottom w:type="dxa" w:w="60"/>
              <w:right w:type="dxa" w:w="110"/>
            </w:tcMar>
          </w:tcPr>
          <w:p>
            <w:r>
              <w:rPr>
                <w:rFonts w:ascii="Calibri" w:cs="Calibri" w:eastAsia="Calibri" w:hAnsi="Calibri"/>
                <w:b w:val="false"/>
                <w:bCs w:val="false"/>
                <w:color w:val="000000"/>
                <w:sz w:val="20"/>
                <w:szCs w:val="20"/>
              </w:rPr>
              <w:t xml:space="preserve">Development (DEV)</w:t>
            </w:r>
          </w:p>
        </w:tc>
        <w:tc>
          <w:tcPr>
            <w:tcW w:type="dxa" w:w="6800"/>
            <w:tcMar>
              <w:top w:type="dxa" w:w="60"/>
              <w:left w:type="dxa" w:w="110"/>
              <w:bottom w:type="dxa" w:w="60"/>
              <w:right w:type="dxa" w:w="110"/>
            </w:tcMar>
          </w:tcPr>
          <w:p>
            <w:r>
              <w:rPr>
                <w:rFonts w:ascii="Calibri" w:cs="Calibri" w:eastAsia="Calibri" w:hAnsi="Calibri"/>
                <w:b w:val="false"/>
                <w:bCs w:val="false"/>
                <w:color w:val="000000"/>
                <w:sz w:val="20"/>
                <w:szCs w:val="20"/>
              </w:rPr>
              <w:t xml:space="preserve">The workshop — where developers actually build and change things.</w:t>
            </w:r>
          </w:p>
        </w:tc>
      </w:tr>
      <w:tr>
        <w:tc>
          <w:tcPr>
            <w:tcW w:type="dxa" w:w="240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Quality / Test (QAS)</w:t>
            </w:r>
          </w:p>
        </w:tc>
        <w:tc>
          <w:tcPr>
            <w:tcW w:type="dxa" w:w="680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The rehearsal stage — where changes are tested before going live.</w:t>
            </w:r>
          </w:p>
        </w:tc>
      </w:tr>
      <w:tr>
        <w:tc>
          <w:tcPr>
            <w:tcW w:type="dxa" w:w="2400"/>
            <w:tcMar>
              <w:top w:type="dxa" w:w="60"/>
              <w:left w:type="dxa" w:w="110"/>
              <w:bottom w:type="dxa" w:w="60"/>
              <w:right w:type="dxa" w:w="110"/>
            </w:tcMar>
          </w:tcPr>
          <w:p>
            <w:r>
              <w:rPr>
                <w:rFonts w:ascii="Calibri" w:cs="Calibri" w:eastAsia="Calibri" w:hAnsi="Calibri"/>
                <w:b w:val="false"/>
                <w:bCs w:val="false"/>
                <w:color w:val="000000"/>
                <w:sz w:val="20"/>
                <w:szCs w:val="20"/>
              </w:rPr>
              <w:t xml:space="preserve">Production (PRD)</w:t>
            </w:r>
          </w:p>
        </w:tc>
        <w:tc>
          <w:tcPr>
            <w:tcW w:type="dxa" w:w="6800"/>
            <w:tcMar>
              <w:top w:type="dxa" w:w="60"/>
              <w:left w:type="dxa" w:w="110"/>
              <w:bottom w:type="dxa" w:w="60"/>
              <w:right w:type="dxa" w:w="110"/>
            </w:tcMar>
          </w:tcPr>
          <w:p>
            <w:r>
              <w:rPr>
                <w:rFonts w:ascii="Calibri" w:cs="Calibri" w:eastAsia="Calibri" w:hAnsi="Calibri"/>
                <w:b w:val="false"/>
                <w:bCs w:val="false"/>
                <w:color w:val="000000"/>
                <w:sz w:val="20"/>
                <w:szCs w:val="20"/>
              </w:rPr>
              <w:t xml:space="preserve">The real, live system — where all employees do their daily work. Nothing must break here.</w:t>
            </w:r>
          </w:p>
        </w:tc>
      </w:tr>
    </w:tbl>
    <w:p>
      <w:pPr>
        <w:spacing w:after="100"/>
      </w:pPr>
    </w:p>
    <w:p>
      <w:pPr>
        <w:spacing w:after="130"/>
      </w:pPr>
      <w:r>
        <w:rPr>
          <w:rFonts w:ascii="Calibri" w:cs="Calibri" w:eastAsia="Calibri" w:hAnsi="Calibri"/>
          <w:b/>
          <w:bCs/>
          <w:sz w:val="22"/>
          <w:szCs w:val="22"/>
        </w:rPr>
        <w:t xml:space="preserve">A "transport request" </w:t>
      </w:r>
      <w:r>
        <w:rPr>
          <w:rFonts w:ascii="Calibri" w:cs="Calibri" w:eastAsia="Calibri" w:hAnsi="Calibri"/>
          <w:sz w:val="22"/>
          <w:szCs w:val="22"/>
        </w:rPr>
        <w:t xml:space="preserve">is simply the </w:t>
      </w:r>
      <w:r>
        <w:rPr>
          <w:rFonts w:ascii="Calibri" w:cs="Calibri" w:eastAsia="Calibri" w:hAnsi="Calibri"/>
          <w:b/>
          <w:bCs/>
          <w:sz w:val="22"/>
          <w:szCs w:val="22"/>
        </w:rPr>
        <w:t xml:space="preserve">moving box</w:t>
      </w:r>
      <w:r>
        <w:rPr>
          <w:rFonts w:ascii="Calibri" w:cs="Calibri" w:eastAsia="Calibri" w:hAnsi="Calibri"/>
          <w:sz w:val="22"/>
          <w:szCs w:val="22"/>
        </w:rPr>
        <w:t xml:space="preserve"> that carries a change from one system to the next (Development → Test → Production). When someone finishes a change, they pack it into a transport and it gets "imported" (delivered) into the next system.</w:t>
      </w:r>
    </w:p>
    <w:p>
      <w:pPr>
        <w:spacing w:after="130"/>
      </w:pPr>
      <w:r>
        <w:rPr>
          <w:rFonts w:ascii="Calibri" w:cs="Calibri" w:eastAsia="Calibri" w:hAnsi="Calibri"/>
          <w:b/>
          <w:bCs/>
          <w:sz w:val="22"/>
          <w:szCs w:val="22"/>
        </w:rPr>
        <w:t xml:space="preserve">The problem: </w:t>
      </w:r>
      <w:r>
        <w:rPr>
          <w:rFonts w:ascii="Calibri" w:cs="Calibri" w:eastAsia="Calibri" w:hAnsi="Calibri"/>
          <w:sz w:val="22"/>
          <w:szCs w:val="22"/>
        </w:rPr>
        <w:t xml:space="preserve">sometimes a moving box is not safe to deliver yet — something it depends on is missing, or it would undo someone else’s work, or it would slow the live system down while people are using it. The Transport Check Tool is what looks inside the box </w:t>
      </w:r>
      <w:r>
        <w:rPr>
          <w:rFonts w:ascii="Calibri" w:cs="Calibri" w:eastAsia="Calibri" w:hAnsi="Calibri"/>
          <w:i/>
          <w:iCs/>
          <w:sz w:val="22"/>
          <w:szCs w:val="22"/>
        </w:rPr>
        <w:t xml:space="preserve">before</w:t>
      </w:r>
      <w:r>
        <w:rPr>
          <w:rFonts w:ascii="Calibri" w:cs="Calibri" w:eastAsia="Calibri" w:hAnsi="Calibri"/>
          <w:sz w:val="22"/>
          <w:szCs w:val="22"/>
        </w:rPr>
        <w:t xml:space="preserve"> delivery and raises a flag.</w:t>
      </w:r>
    </w:p>
    <w:tbl>
      <w:tblPr>
        <w:tblW w:type="dxa" w:w="9200"/>
        <w:tblBorders>
          <w:top w:val="single" w:color="1F4E79" w:sz="4"/>
          <w:left w:val="single" w:color="1F4E79" w:sz="24"/>
          <w:bottom w:val="single" w:color="1F4E79" w:sz="4"/>
          <w:right w:val="single" w:color="1F4E79" w:sz="4"/>
          <w:insideH w:val="single" w:color="auto" w:sz="4"/>
          <w:insideV w:val="single" w:color="auto" w:sz="4"/>
        </w:tblBorders>
      </w:tblPr>
      <w:tblGrid>
        <w:gridCol w:w="9200"/>
      </w:tblGrid>
      <w:tr>
        <w:tc>
          <w:tcPr>
            <w:tcW w:type="dxa" w:w="9200"/>
            <w:shd w:fill="F7F9FC" w:color="auto" w:val="clear"/>
            <w:tcMar>
              <w:top w:type="dxa" w:w="120"/>
              <w:left w:type="dxa" w:w="180"/>
              <w:bottom w:type="dxa" w:w="120"/>
              <w:right w:type="dxa" w:w="160"/>
            </w:tcMar>
          </w:tcPr>
          <w:p>
            <w:pPr>
              <w:spacing w:after="60"/>
            </w:pPr>
            <w:r>
              <w:rPr>
                <w:rFonts w:ascii="Calibri" w:cs="Calibri" w:eastAsia="Calibri" w:hAnsi="Calibri"/>
                <w:b/>
                <w:bCs/>
                <w:color w:val="1F4E79"/>
                <w:sz w:val="22"/>
                <w:szCs w:val="22"/>
              </w:rPr>
              <w:t xml:space="preserve">Traffic-light results</w:t>
            </w:r>
          </w:p>
          <w:p>
            <w:pPr>
              <w:spacing w:after="60"/>
            </w:pPr>
            <w:r>
              <w:rPr>
                <w:rFonts w:ascii="Calibri" w:cs="Calibri" w:eastAsia="Calibri" w:hAnsi="Calibri"/>
                <w:b/>
                <w:bCs/>
                <w:color w:val="C00000"/>
                <w:sz w:val="21"/>
                <w:szCs w:val="21"/>
              </w:rPr>
              <w:t xml:space="preserve">🔴  Red</w:t>
            </w:r>
            <w:r>
              <w:rPr>
                <w:rFonts w:ascii="Calibri" w:cs="Calibri" w:eastAsia="Calibri" w:hAnsi="Calibri"/>
                <w:sz w:val="21"/>
                <w:szCs w:val="21"/>
              </w:rPr>
              <w:t xml:space="preserve">  = high risk. Look at this before you import.</w:t>
            </w:r>
          </w:p>
          <w:p>
            <w:pPr>
              <w:spacing w:after="60"/>
            </w:pPr>
            <w:r>
              <w:rPr>
                <w:rFonts w:ascii="Calibri" w:cs="Calibri" w:eastAsia="Calibri" w:hAnsi="Calibri"/>
                <w:b/>
                <w:bCs/>
                <w:color w:val="BF8F00"/>
                <w:sz w:val="21"/>
                <w:szCs w:val="21"/>
              </w:rPr>
              <w:t xml:space="preserve">🟡  Yellow</w:t>
            </w:r>
            <w:r>
              <w:rPr>
                <w:rFonts w:ascii="Calibri" w:cs="Calibri" w:eastAsia="Calibri" w:hAnsi="Calibri"/>
                <w:sz w:val="21"/>
                <w:szCs w:val="21"/>
              </w:rPr>
              <w:t xml:space="preserve">  = be careful, worth a check.</w:t>
            </w:r>
          </w:p>
          <w:p>
            <w:pPr>
              <w:spacing w:after="0"/>
            </w:pPr>
            <w:r>
              <w:rPr>
                <w:rFonts w:ascii="Calibri" w:cs="Calibri" w:eastAsia="Calibri" w:hAnsi="Calibri"/>
                <w:b/>
                <w:bCs/>
                <w:color w:val="548235"/>
                <w:sz w:val="21"/>
                <w:szCs w:val="21"/>
              </w:rPr>
              <w:t xml:space="preserve">🟢  Green</w:t>
            </w:r>
            <w:r>
              <w:rPr>
                <w:rFonts w:ascii="Calibri" w:cs="Calibri" w:eastAsia="Calibri" w:hAnsi="Calibri"/>
                <w:sz w:val="21"/>
                <w:szCs w:val="21"/>
              </w:rPr>
              <w:t xml:space="preserve">  = no problem found by this tool.</w:t>
            </w:r>
          </w:p>
        </w:tc>
      </w:tr>
    </w:tbl>
    <w:p>
      <w:pPr>
        <w:pStyle w:val="Heading1"/>
        <w:spacing w:after="150" w:before="300"/>
      </w:pPr>
      <w:r>
        <w:rPr>
          <w:b/>
          <w:bCs/>
          <w:color w:val="1F4E79"/>
        </w:rPr>
        <w:t xml:space="preserve">What This Tool Does For You</w:t>
      </w:r>
    </w:p>
    <w:p>
      <w:pPr>
        <w:spacing w:after="130"/>
      </w:pPr>
      <w:r>
        <w:rPr>
          <w:rFonts w:ascii="Calibri" w:cs="Calibri" w:eastAsia="Calibri" w:hAnsi="Calibri"/>
          <w:sz w:val="22"/>
          <w:szCs w:val="22"/>
        </w:rPr>
        <w:t xml:space="preserve">You give it one or more "moving boxes" (transport requests) and tick which checks you want. It then examines the change and shows the results on screen with red / yellow / green lights, grouped into five tabs. You can also save the results so you or an auditor can look at them later.</w:t>
      </w:r>
    </w:p>
    <w:p>
      <w:pPr>
        <w:spacing w:after="130"/>
      </w:pPr>
      <w:r>
        <w:rPr>
          <w:rFonts w:ascii="Calibri" w:cs="Calibri" w:eastAsia="Calibri" w:hAnsi="Calibri"/>
          <w:sz w:val="22"/>
          <w:szCs w:val="22"/>
        </w:rPr>
        <w:t xml:space="preserve">Important idea to remember: the tool is a warning system, not a repair tool. It tells you where the risks are; people still decide what to do about them.</w:t>
      </w:r>
    </w:p>
    <w:p>
      <w:pPr>
        <w:pStyle w:val="Heading1"/>
        <w:spacing w:after="150" w:before="300"/>
      </w:pPr>
      <w:r>
        <w:rPr>
          <w:b/>
          <w:bCs/>
          <w:color w:val="1F4E79"/>
        </w:rPr>
        <w:t xml:space="preserve">The Five Checks — In Everyday Words</w:t>
      </w:r>
    </w:p>
    <w:p>
      <w:pPr>
        <w:spacing w:after="130"/>
      </w:pPr>
      <w:r>
        <w:rPr>
          <w:rFonts w:ascii="Calibri" w:cs="Calibri" w:eastAsia="Calibri" w:hAnsi="Calibri"/>
          <w:sz w:val="22"/>
          <w:szCs w:val="22"/>
        </w:rPr>
        <w:t xml:space="preserve">You can switch any of these on or off. Here is what each one is really asking:</w:t>
      </w:r>
    </w:p>
    <w:p>
      <w:pPr>
        <w:pStyle w:val="Heading2"/>
        <w:spacing w:after="110" w:before="240"/>
      </w:pPr>
      <w:r>
        <w:rPr>
          <w:b/>
          <w:bCs/>
          <w:color w:val="1F4E79"/>
        </w:rPr>
        <w:t xml:space="preserve">1. Cross Reference  —  “Is anything it needs missing on the other side?”</w:t>
      </w:r>
    </w:p>
    <w:p>
      <w:pPr>
        <w:spacing w:after="130"/>
      </w:pPr>
      <w:r>
        <w:rPr>
          <w:rFonts w:ascii="Calibri" w:cs="Calibri" w:eastAsia="Calibri" w:hAnsi="Calibri"/>
          <w:sz w:val="22"/>
          <w:szCs w:val="22"/>
        </w:rPr>
        <w:t xml:space="preserve">Your change may rely on other pieces (a report, a table, etc.). This check makes sure all those pieces already exist — and are the same version — in the target system. If something it depends on is missing or older there, it flags it and even tells you which other transport box contains the missing piece.</w:t>
      </w:r>
    </w:p>
    <w:tbl>
      <w:tblPr>
        <w:tblW w:type="dxa" w:w="9200"/>
        <w:tblBorders>
          <w:top w:val="single" w:color="548235" w:sz="4"/>
          <w:left w:val="single" w:color="548235" w:sz="24"/>
          <w:bottom w:val="single" w:color="548235" w:sz="4"/>
          <w:right w:val="single" w:color="548235" w:sz="4"/>
          <w:insideH w:val="single" w:color="auto" w:sz="4"/>
          <w:insideV w:val="single" w:color="auto" w:sz="4"/>
        </w:tblBorders>
      </w:tblPr>
      <w:tblGrid>
        <w:gridCol w:w="9200"/>
      </w:tblGrid>
      <w:tr>
        <w:tc>
          <w:tcPr>
            <w:tcW w:type="dxa" w:w="9200"/>
            <w:shd w:fill="F4F8F1" w:color="auto" w:val="clear"/>
            <w:tcMar>
              <w:top w:type="dxa" w:w="120"/>
              <w:left w:type="dxa" w:w="180"/>
              <w:bottom w:type="dxa" w:w="120"/>
              <w:right w:type="dxa" w:w="160"/>
            </w:tcMar>
          </w:tcPr>
          <w:p>
            <w:pPr>
              <w:spacing w:after="60"/>
            </w:pPr>
            <w:r>
              <w:rPr>
                <w:rFonts w:ascii="Calibri" w:cs="Calibri" w:eastAsia="Calibri" w:hAnsi="Calibri"/>
                <w:b/>
                <w:bCs/>
                <w:color w:val="548235"/>
                <w:sz w:val="22"/>
                <w:szCs w:val="22"/>
              </w:rPr>
              <w:t xml:space="preserve">Everyday analogy</w:t>
            </w:r>
          </w:p>
          <w:p>
            <w:pPr>
              <w:spacing w:after="0"/>
            </w:pPr>
            <w:r>
              <w:rPr>
                <w:rFonts w:ascii="Calibri" w:cs="Calibri" w:eastAsia="Calibri" w:hAnsi="Calibri"/>
                <w:sz w:val="21"/>
                <w:szCs w:val="21"/>
              </w:rPr>
              <w:t xml:space="preserve">Like checking that a new appliance you are shipping will actually work at the destination — is there a matching power socket and the right voltage already there? If not, you are warned before you ship.</w:t>
            </w:r>
          </w:p>
        </w:tc>
      </w:tr>
    </w:tbl>
    <w:p>
      <w:pPr>
        <w:pStyle w:val="Heading2"/>
        <w:spacing w:after="110" w:before="240"/>
      </w:pPr>
      <w:r>
        <w:rPr>
          <w:b/>
          <w:bCs/>
          <w:color w:val="1F4E79"/>
        </w:rPr>
        <w:t xml:space="preserve">2. Sequence Check  —  “Am I about to overwrite someone else’s newer work?”</w:t>
      </w:r>
    </w:p>
    <w:p>
      <w:pPr>
        <w:spacing w:after="130"/>
      </w:pPr>
      <w:r>
        <w:rPr>
          <w:rFonts w:ascii="Calibri" w:cs="Calibri" w:eastAsia="Calibri" w:hAnsi="Calibri"/>
          <w:sz w:val="22"/>
          <w:szCs w:val="22"/>
        </w:rPr>
        <w:t xml:space="preserve">Several people may have changed the same thing. If your box is delivered now but someone else already released a newer change that has not been delivered yet, your delivery could push theirs out of order and later undo it. This check looks back over recent history (about the last 180 days by default) and warns about such clashes.</w:t>
      </w:r>
    </w:p>
    <w:tbl>
      <w:tblPr>
        <w:tblW w:type="dxa" w:w="9200"/>
        <w:tblBorders>
          <w:top w:val="single" w:color="548235" w:sz="4"/>
          <w:left w:val="single" w:color="548235" w:sz="24"/>
          <w:bottom w:val="single" w:color="548235" w:sz="4"/>
          <w:right w:val="single" w:color="548235" w:sz="4"/>
          <w:insideH w:val="single" w:color="auto" w:sz="4"/>
          <w:insideV w:val="single" w:color="auto" w:sz="4"/>
        </w:tblBorders>
      </w:tblPr>
      <w:tblGrid>
        <w:gridCol w:w="9200"/>
      </w:tblGrid>
      <w:tr>
        <w:tc>
          <w:tcPr>
            <w:tcW w:type="dxa" w:w="9200"/>
            <w:shd w:fill="F4F8F1" w:color="auto" w:val="clear"/>
            <w:tcMar>
              <w:top w:type="dxa" w:w="120"/>
              <w:left w:type="dxa" w:w="180"/>
              <w:bottom w:type="dxa" w:w="120"/>
              <w:right w:type="dxa" w:w="160"/>
            </w:tcMar>
          </w:tcPr>
          <w:p>
            <w:pPr>
              <w:spacing w:after="60"/>
            </w:pPr>
            <w:r>
              <w:rPr>
                <w:rFonts w:ascii="Calibri" w:cs="Calibri" w:eastAsia="Calibri" w:hAnsi="Calibri"/>
                <w:b/>
                <w:bCs/>
                <w:color w:val="548235"/>
                <w:sz w:val="22"/>
                <w:szCs w:val="22"/>
              </w:rPr>
              <w:t xml:space="preserve">Everyday analogy</w:t>
            </w:r>
          </w:p>
          <w:p>
            <w:pPr>
              <w:spacing w:after="0"/>
            </w:pPr>
            <w:r>
              <w:rPr>
                <w:rFonts w:ascii="Calibri" w:cs="Calibri" w:eastAsia="Calibri" w:hAnsi="Calibri"/>
                <w:sz w:val="21"/>
                <w:szCs w:val="21"/>
              </w:rPr>
              <w:t xml:space="preserve">Like editing a shared document: this warns you that a colleague has a newer version waiting, so saving yours now would wipe out their update.</w:t>
            </w:r>
          </w:p>
        </w:tc>
      </w:tr>
    </w:tbl>
    <w:p>
      <w:pPr>
        <w:pStyle w:val="Heading2"/>
        <w:spacing w:after="110" w:before="240"/>
      </w:pPr>
      <w:r>
        <w:rPr>
          <w:b/>
          <w:bCs/>
          <w:color w:val="1F4E79"/>
        </w:rPr>
        <w:t xml:space="preserve">3. Cross Release  —  “Are the two systems even at the same update level?”</w:t>
      </w:r>
    </w:p>
    <w:p>
      <w:pPr>
        <w:spacing w:after="130"/>
      </w:pPr>
      <w:r>
        <w:rPr>
          <w:rFonts w:ascii="Calibri" w:cs="Calibri" w:eastAsia="Calibri" w:hAnsi="Calibri"/>
          <w:sz w:val="22"/>
          <w:szCs w:val="22"/>
        </w:rPr>
        <w:t xml:space="preserve">The test and live systems are not always updated to exactly the same level. If they differ, some objects in your change — especially fixes SAP itself delivered — may not fit the target system and could cause inconsistencies. This check compares the update levels of the two systems and flags the risky objects.</w:t>
      </w:r>
    </w:p>
    <w:tbl>
      <w:tblPr>
        <w:tblW w:type="dxa" w:w="9200"/>
        <w:tblBorders>
          <w:top w:val="single" w:color="548235" w:sz="4"/>
          <w:left w:val="single" w:color="548235" w:sz="24"/>
          <w:bottom w:val="single" w:color="548235" w:sz="4"/>
          <w:right w:val="single" w:color="548235" w:sz="4"/>
          <w:insideH w:val="single" w:color="auto" w:sz="4"/>
          <w:insideV w:val="single" w:color="auto" w:sz="4"/>
        </w:tblBorders>
      </w:tblPr>
      <w:tblGrid>
        <w:gridCol w:w="9200"/>
      </w:tblGrid>
      <w:tr>
        <w:tc>
          <w:tcPr>
            <w:tcW w:type="dxa" w:w="9200"/>
            <w:shd w:fill="F4F8F1" w:color="auto" w:val="clear"/>
            <w:tcMar>
              <w:top w:type="dxa" w:w="120"/>
              <w:left w:type="dxa" w:w="180"/>
              <w:bottom w:type="dxa" w:w="120"/>
              <w:right w:type="dxa" w:w="160"/>
            </w:tcMar>
          </w:tcPr>
          <w:p>
            <w:pPr>
              <w:spacing w:after="60"/>
            </w:pPr>
            <w:r>
              <w:rPr>
                <w:rFonts w:ascii="Calibri" w:cs="Calibri" w:eastAsia="Calibri" w:hAnsi="Calibri"/>
                <w:b/>
                <w:bCs/>
                <w:color w:val="548235"/>
                <w:sz w:val="22"/>
                <w:szCs w:val="22"/>
              </w:rPr>
              <w:t xml:space="preserve">Everyday analogy</w:t>
            </w:r>
          </w:p>
          <w:p>
            <w:pPr>
              <w:spacing w:after="0"/>
            </w:pPr>
            <w:r>
              <w:rPr>
                <w:rFonts w:ascii="Calibri" w:cs="Calibri" w:eastAsia="Calibri" w:hAnsi="Calibri"/>
                <w:sz w:val="21"/>
                <w:szCs w:val="21"/>
              </w:rPr>
              <w:t xml:space="preserve">Like moving a document created in a newer version of an app into an older version — some features may not carry over correctly. This warns you when that mismatch exists.</w:t>
            </w:r>
          </w:p>
        </w:tc>
      </w:tr>
    </w:tbl>
    <w:p>
      <w:pPr>
        <w:pStyle w:val="Heading2"/>
        <w:spacing w:after="110" w:before="240"/>
      </w:pPr>
      <w:r>
        <w:rPr>
          <w:b/>
          <w:bCs/>
          <w:color w:val="1F4E79"/>
        </w:rPr>
        <w:t xml:space="preserve">4. Import Time  —  “How long will this take to deliver?”</w:t>
      </w:r>
    </w:p>
    <w:p>
      <w:pPr>
        <w:spacing w:after="130"/>
      </w:pPr>
      <w:r>
        <w:rPr>
          <w:rFonts w:ascii="Calibri" w:cs="Calibri" w:eastAsia="Calibri" w:hAnsi="Calibri"/>
          <w:sz w:val="22"/>
          <w:szCs w:val="22"/>
        </w:rPr>
        <w:t xml:space="preserve">This simply reports how long the same change took to deliver earlier in the test system: start time, end time, total duration and the slowest step. It helps you plan — for example, whether to schedule the delivery outside busy hours. This one is information only; it does not give a red or yellow warning.</w:t>
      </w:r>
    </w:p>
    <w:p>
      <w:pPr>
        <w:pStyle w:val="Heading2"/>
        <w:spacing w:after="110" w:before="240"/>
      </w:pPr>
      <w:r>
        <w:rPr>
          <w:b/>
          <w:bCs/>
          <w:color w:val="1F4E79"/>
        </w:rPr>
        <w:t xml:space="preserve">5. Online Import Criticality  —  “Is it risky to deliver this while people are working?”</w:t>
      </w:r>
    </w:p>
    <w:p>
      <w:pPr>
        <w:spacing w:after="130"/>
      </w:pPr>
      <w:r>
        <w:rPr>
          <w:rFonts w:ascii="Calibri" w:cs="Calibri" w:eastAsia="Calibri" w:hAnsi="Calibri"/>
          <w:sz w:val="22"/>
          <w:szCs w:val="22"/>
        </w:rPr>
        <w:t xml:space="preserve">Delivering a change touches tables and programs. If those are heavily used at that moment in the live system, users could feel slowdowns or errors. Using real usage statistics collected from the live system, this check estimates how busy the affected items are and rates the risk. It can even show a colour-coded heat map of usage by hour and day of the week, so you can pick a quiet time.</w:t>
      </w:r>
    </w:p>
    <w:tbl>
      <w:tblPr>
        <w:tblW w:type="dxa" w:w="9200"/>
        <w:tblBorders>
          <w:top w:val="single" w:color="548235" w:sz="4"/>
          <w:left w:val="single" w:color="548235" w:sz="24"/>
          <w:bottom w:val="single" w:color="548235" w:sz="4"/>
          <w:right w:val="single" w:color="548235" w:sz="4"/>
          <w:insideH w:val="single" w:color="auto" w:sz="4"/>
          <w:insideV w:val="single" w:color="auto" w:sz="4"/>
        </w:tblBorders>
      </w:tblPr>
      <w:tblGrid>
        <w:gridCol w:w="9200"/>
      </w:tblGrid>
      <w:tr>
        <w:tc>
          <w:tcPr>
            <w:tcW w:type="dxa" w:w="9200"/>
            <w:shd w:fill="F4F8F1" w:color="auto" w:val="clear"/>
            <w:tcMar>
              <w:top w:type="dxa" w:w="120"/>
              <w:left w:type="dxa" w:w="180"/>
              <w:bottom w:type="dxa" w:w="120"/>
              <w:right w:type="dxa" w:w="160"/>
            </w:tcMar>
          </w:tcPr>
          <w:p>
            <w:pPr>
              <w:spacing w:after="60"/>
            </w:pPr>
            <w:r>
              <w:rPr>
                <w:rFonts w:ascii="Calibri" w:cs="Calibri" w:eastAsia="Calibri" w:hAnsi="Calibri"/>
                <w:b/>
                <w:bCs/>
                <w:color w:val="548235"/>
                <w:sz w:val="22"/>
                <w:szCs w:val="22"/>
              </w:rPr>
              <w:t xml:space="preserve">Everyday analogy</w:t>
            </w:r>
          </w:p>
          <w:p>
            <w:pPr>
              <w:spacing w:after="0"/>
            </w:pPr>
            <w:r>
              <w:rPr>
                <w:rFonts w:ascii="Calibri" w:cs="Calibri" w:eastAsia="Calibri" w:hAnsi="Calibri"/>
                <w:sz w:val="21"/>
                <w:szCs w:val="21"/>
              </w:rPr>
              <w:t xml:space="preserve">Like roadworks: fixing a road at 3 a.m. barely bothers anyone, but doing it at rush hour causes chaos. This check tells you how “busy the road” is before you start.</w:t>
            </w:r>
          </w:p>
        </w:tc>
      </w:tr>
    </w:tbl>
    <w:p>
      <w:pPr>
        <w:spacing w:after="130"/>
      </w:pPr>
      <w:r>
        <w:rPr>
          <w:rFonts w:ascii="Calibri" w:cs="Calibri" w:eastAsia="Calibri" w:hAnsi="Calibri"/>
          <w:b/>
          <w:bCs/>
          <w:sz w:val="22"/>
          <w:szCs w:val="22"/>
        </w:rPr>
        <w:t xml:space="preserve">Note: </w:t>
      </w:r>
      <w:r>
        <w:rPr>
          <w:rFonts w:ascii="Calibri" w:cs="Calibri" w:eastAsia="Calibri" w:hAnsi="Calibri"/>
          <w:sz w:val="22"/>
          <w:szCs w:val="22"/>
        </w:rPr>
        <w:t xml:space="preserve">this check only works if usage statistics were switched on and collected in the live system for about a week beforehand. Without that data it has nothing to measure.</w:t>
      </w:r>
    </w:p>
    <w:p>
      <w:r>
        <w:br w:type="page"/>
      </w:r>
    </w:p>
    <w:p>
      <w:pPr>
        <w:pStyle w:val="Heading1"/>
        <w:spacing w:after="150" w:before="300"/>
      </w:pPr>
      <w:r>
        <w:rPr>
          <w:b/>
          <w:bCs/>
          <w:color w:val="1F4E79"/>
        </w:rPr>
        <w:t xml:space="preserve">How It Works — The Short Version</w:t>
      </w:r>
    </w:p>
    <w:p>
      <w:pPr>
        <w:pStyle w:val="ListParagraph"/>
        <w:numPr>
          <w:ilvl w:val="0"/>
          <w:numId w:val="2"/>
        </w:numPr>
        <w:spacing w:after="90"/>
      </w:pPr>
      <w:r>
        <w:rPr>
          <w:rFonts w:ascii="Calibri" w:cs="Calibri" w:eastAsia="Calibri" w:hAnsi="Calibri"/>
          <w:b/>
          <w:bCs/>
          <w:sz w:val="22"/>
          <w:szCs w:val="22"/>
        </w:rPr>
        <w:t xml:space="preserve">It compares, it does not rebuild. </w:t>
      </w:r>
      <w:r>
        <w:rPr>
          <w:rFonts w:ascii="Calibri" w:cs="Calibri" w:eastAsia="Calibri" w:hAnsi="Calibri"/>
          <w:sz w:val="22"/>
          <w:szCs w:val="22"/>
        </w:rPr>
        <w:t xml:space="preserve">The tool looks at labels and records — which version is where, what is being used how much — rather than doing the change itself.</w:t>
      </w:r>
    </w:p>
    <w:p>
      <w:pPr>
        <w:pStyle w:val="ListParagraph"/>
        <w:numPr>
          <w:ilvl w:val="0"/>
          <w:numId w:val="2"/>
        </w:numPr>
        <w:spacing w:after="90"/>
      </w:pPr>
      <w:r>
        <w:rPr>
          <w:rFonts w:ascii="Calibri" w:cs="Calibri" w:eastAsia="Calibri" w:hAnsi="Calibri"/>
          <w:b/>
          <w:bCs/>
          <w:sz w:val="22"/>
          <w:szCs w:val="22"/>
        </w:rPr>
        <w:t xml:space="preserve">It looks at both systems at once. </w:t>
      </w:r>
      <w:r>
        <w:rPr>
          <w:rFonts w:ascii="Calibri" w:cs="Calibri" w:eastAsia="Calibri" w:hAnsi="Calibri"/>
          <w:sz w:val="22"/>
          <w:szCs w:val="22"/>
        </w:rPr>
        <w:t xml:space="preserve">It connects to the source and the target system and compares them (this connection is set up once by the Basis/IT team).</w:t>
      </w:r>
    </w:p>
    <w:p>
      <w:pPr>
        <w:pStyle w:val="ListParagraph"/>
        <w:numPr>
          <w:ilvl w:val="0"/>
          <w:numId w:val="2"/>
        </w:numPr>
        <w:spacing w:after="90"/>
      </w:pPr>
      <w:r>
        <w:rPr>
          <w:rFonts w:ascii="Calibri" w:cs="Calibri" w:eastAsia="Calibri" w:hAnsi="Calibri"/>
          <w:b/>
          <w:bCs/>
          <w:sz w:val="22"/>
          <w:szCs w:val="22"/>
        </w:rPr>
        <w:t xml:space="preserve">It checks your permissions first. </w:t>
      </w:r>
      <w:r>
        <w:rPr>
          <w:rFonts w:ascii="Calibri" w:cs="Calibri" w:eastAsia="Calibri" w:hAnsi="Calibri"/>
          <w:sz w:val="22"/>
          <w:szCs w:val="22"/>
        </w:rPr>
        <w:t xml:space="preserve">You need permission to view transports; if a connection or permission is missing, it tells you clearly and stops rather than giving a wrong answer.</w:t>
      </w:r>
    </w:p>
    <w:p>
      <w:pPr>
        <w:pStyle w:val="ListParagraph"/>
        <w:numPr>
          <w:ilvl w:val="0"/>
          <w:numId w:val="2"/>
        </w:numPr>
        <w:spacing w:after="90"/>
      </w:pPr>
      <w:r>
        <w:rPr>
          <w:rFonts w:ascii="Calibri" w:cs="Calibri" w:eastAsia="Calibri" w:hAnsi="Calibri"/>
          <w:b/>
          <w:bCs/>
          <w:sz w:val="22"/>
          <w:szCs w:val="22"/>
        </w:rPr>
        <w:t xml:space="preserve">It shows results as tabs with traffic lights, </w:t>
      </w:r>
      <w:r>
        <w:rPr>
          <w:rFonts w:ascii="Calibri" w:cs="Calibri" w:eastAsia="Calibri" w:hAnsi="Calibri"/>
          <w:sz w:val="22"/>
          <w:szCs w:val="22"/>
        </w:rPr>
        <w:t xml:space="preserve">and you can double-click a line to drill into the detail.</w:t>
      </w:r>
    </w:p>
    <w:p>
      <w:pPr>
        <w:pStyle w:val="ListParagraph"/>
        <w:numPr>
          <w:ilvl w:val="0"/>
          <w:numId w:val="2"/>
        </w:numPr>
        <w:spacing w:after="90"/>
      </w:pPr>
      <w:r>
        <w:rPr>
          <w:rFonts w:ascii="Calibri" w:cs="Calibri" w:eastAsia="Calibri" w:hAnsi="Calibri"/>
          <w:b/>
          <w:bCs/>
          <w:sz w:val="22"/>
          <w:szCs w:val="22"/>
        </w:rPr>
        <w:t xml:space="preserve">It can save a record </w:t>
      </w:r>
      <w:r>
        <w:rPr>
          <w:rFonts w:ascii="Calibri" w:cs="Calibri" w:eastAsia="Calibri" w:hAnsi="Calibri"/>
          <w:sz w:val="22"/>
          <w:szCs w:val="22"/>
        </w:rPr>
        <w:t xml:space="preserve">of every run (who ran it, when, and what was found) for later review and audit.</w:t>
      </w:r>
    </w:p>
    <w:tbl>
      <w:tblPr>
        <w:tblW w:type="dxa" w:w="9200"/>
        <w:tblBorders>
          <w:top w:val="single" w:color="1F4E79" w:sz="4"/>
          <w:left w:val="single" w:color="1F4E79" w:sz="24"/>
          <w:bottom w:val="single" w:color="1F4E79" w:sz="4"/>
          <w:right w:val="single" w:color="1F4E79" w:sz="4"/>
          <w:insideH w:val="single" w:color="auto" w:sz="4"/>
          <w:insideV w:val="single" w:color="auto" w:sz="4"/>
        </w:tblBorders>
      </w:tblPr>
      <w:tblGrid>
        <w:gridCol w:w="9200"/>
      </w:tblGrid>
      <w:tr>
        <w:tc>
          <w:tcPr>
            <w:tcW w:type="dxa" w:w="9200"/>
            <w:shd w:fill="EAF1FB" w:color="auto" w:val="clear"/>
            <w:tcMar>
              <w:top w:type="dxa" w:w="120"/>
              <w:left w:type="dxa" w:w="180"/>
              <w:bottom w:type="dxa" w:w="120"/>
              <w:right w:type="dxa" w:w="160"/>
            </w:tcMar>
          </w:tcPr>
          <w:p>
            <w:pPr>
              <w:spacing w:after="60"/>
            </w:pPr>
            <w:r>
              <w:rPr>
                <w:rFonts w:ascii="Calibri" w:cs="Calibri" w:eastAsia="Calibri" w:hAnsi="Calibri"/>
                <w:b/>
                <w:bCs/>
                <w:color w:val="1F4E79"/>
                <w:sz w:val="22"/>
                <w:szCs w:val="22"/>
              </w:rPr>
              <w:t xml:space="preserve">The one thing to understand about “version” vs “code”</w:t>
            </w:r>
          </w:p>
          <w:p>
            <w:pPr>
              <w:spacing w:after="0"/>
            </w:pPr>
            <w:r>
              <w:rPr>
                <w:rFonts w:ascii="Calibri" w:cs="Calibri" w:eastAsia="Calibri" w:hAnsi="Calibri"/>
                <w:sz w:val="21"/>
                <w:szCs w:val="21"/>
              </w:rPr>
              <w:t xml:space="preserve">When this tool says “version differs”, it means the </w:t>
            </w:r>
            <w:r>
              <w:rPr>
                <w:rFonts w:ascii="Calibri" w:cs="Calibri" w:eastAsia="Calibri" w:hAnsi="Calibri"/>
                <w:b/>
                <w:bCs/>
                <w:sz w:val="21"/>
                <w:szCs w:val="21"/>
              </w:rPr>
              <w:t xml:space="preserve">label/record</w:t>
            </w:r>
            <w:r>
              <w:rPr>
                <w:rFonts w:ascii="Calibri" w:cs="Calibri" w:eastAsia="Calibri" w:hAnsi="Calibri"/>
                <w:sz w:val="21"/>
                <w:szCs w:val="21"/>
              </w:rPr>
              <w:t xml:space="preserve"> is different — it does NOT show you line-by-line what changed inside the program. If you want to actually see what changed in the code, you double-click the item and SAP opens its own comparison screen. That part is a manual look, not an automatic check.</w:t>
            </w:r>
          </w:p>
        </w:tc>
      </w:tr>
    </w:tbl>
    <w:p>
      <w:pPr>
        <w:pStyle w:val="Heading1"/>
        <w:spacing w:after="150" w:before="300"/>
      </w:pPr>
      <w:r>
        <w:rPr>
          <w:b/>
          <w:bCs/>
          <w:color w:val="1F4E79"/>
        </w:rPr>
        <w:t xml:space="preserve">What This Tool Does NOT Do (Just as Important)</w:t>
      </w:r>
    </w:p>
    <w:p>
      <w:pPr>
        <w:spacing w:after="130"/>
      </w:pPr>
      <w:r>
        <w:rPr>
          <w:rFonts w:ascii="Calibri" w:cs="Calibri" w:eastAsia="Calibri" w:hAnsi="Calibri"/>
          <w:sz w:val="22"/>
          <w:szCs w:val="22"/>
        </w:rPr>
        <w:t xml:space="preserve">A green result does not mean “perfect”. It means “this particular tool found nothing”. Please keep these limits in mind:</w:t>
      </w:r>
    </w:p>
    <w:p>
      <w:pPr>
        <w:pStyle w:val="ListParagraph"/>
        <w:numPr>
          <w:ilvl w:val="0"/>
          <w:numId w:val="2"/>
        </w:numPr>
        <w:spacing w:after="90"/>
      </w:pPr>
      <w:r>
        <w:rPr>
          <w:rFonts w:ascii="Calibri" w:cs="Calibri" w:eastAsia="Calibri" w:hAnsi="Calibri"/>
          <w:b/>
          <w:bCs/>
          <w:sz w:val="22"/>
          <w:szCs w:val="22"/>
        </w:rPr>
        <w:t xml:space="preserve">It does not read or judge the actual code. </w:t>
      </w:r>
      <w:r>
        <w:rPr>
          <w:rFonts w:ascii="Calibri" w:cs="Calibri" w:eastAsia="Calibri" w:hAnsi="Calibri"/>
          <w:sz w:val="22"/>
          <w:szCs w:val="22"/>
        </w:rPr>
        <w:t xml:space="preserve">It won’t tell you the change is well written, correct, or safe — only whether it will slot into the target system cleanly.</w:t>
      </w:r>
    </w:p>
    <w:p>
      <w:pPr>
        <w:pStyle w:val="ListParagraph"/>
        <w:numPr>
          <w:ilvl w:val="0"/>
          <w:numId w:val="2"/>
        </w:numPr>
        <w:spacing w:after="90"/>
      </w:pPr>
      <w:r>
        <w:rPr>
          <w:rFonts w:ascii="Calibri" w:cs="Calibri" w:eastAsia="Calibri" w:hAnsi="Calibri"/>
          <w:b/>
          <w:bCs/>
          <w:sz w:val="22"/>
          <w:szCs w:val="22"/>
        </w:rPr>
        <w:t xml:space="preserve">It does not test that the change works. </w:t>
      </w:r>
      <w:r>
        <w:rPr>
          <w:rFonts w:ascii="Calibri" w:cs="Calibri" w:eastAsia="Calibri" w:hAnsi="Calibri"/>
          <w:sz w:val="22"/>
          <w:szCs w:val="22"/>
        </w:rPr>
        <w:t xml:space="preserve">No business testing, no “does this button now do the right thing”. Normal testing is still needed.</w:t>
      </w:r>
    </w:p>
    <w:p>
      <w:pPr>
        <w:pStyle w:val="ListParagraph"/>
        <w:numPr>
          <w:ilvl w:val="0"/>
          <w:numId w:val="2"/>
        </w:numPr>
        <w:spacing w:after="90"/>
      </w:pPr>
      <w:r>
        <w:rPr>
          <w:rFonts w:ascii="Calibri" w:cs="Calibri" w:eastAsia="Calibri" w:hAnsi="Calibri"/>
          <w:b/>
          <w:bCs/>
          <w:sz w:val="22"/>
          <w:szCs w:val="22"/>
        </w:rPr>
        <w:t xml:space="preserve">It does not check for bugs, quality or security. </w:t>
      </w:r>
      <w:r>
        <w:rPr>
          <w:rFonts w:ascii="Calibri" w:cs="Calibri" w:eastAsia="Calibri" w:hAnsi="Calibri"/>
          <w:sz w:val="22"/>
          <w:szCs w:val="22"/>
        </w:rPr>
        <w:t xml:space="preserve">Those need separate tools and code review.</w:t>
      </w:r>
    </w:p>
    <w:p>
      <w:pPr>
        <w:pStyle w:val="ListParagraph"/>
        <w:numPr>
          <w:ilvl w:val="0"/>
          <w:numId w:val="2"/>
        </w:numPr>
        <w:spacing w:after="90"/>
      </w:pPr>
      <w:r>
        <w:rPr>
          <w:rFonts w:ascii="Calibri" w:cs="Calibri" w:eastAsia="Calibri" w:hAnsi="Calibri"/>
          <w:b/>
          <w:bCs/>
          <w:sz w:val="22"/>
          <w:szCs w:val="22"/>
        </w:rPr>
        <w:t xml:space="preserve">It does not actually deliver or trial-deliver the box. </w:t>
      </w:r>
      <w:r>
        <w:rPr>
          <w:rFonts w:ascii="Calibri" w:cs="Calibri" w:eastAsia="Calibri" w:hAnsi="Calibri"/>
          <w:sz w:val="22"/>
          <w:szCs w:val="22"/>
        </w:rPr>
        <w:t xml:space="preserve">It predicts risk from records; a delivery can still fail for reasons it cannot see.</w:t>
      </w:r>
    </w:p>
    <w:p>
      <w:pPr>
        <w:pStyle w:val="ListParagraph"/>
        <w:numPr>
          <w:ilvl w:val="0"/>
          <w:numId w:val="2"/>
        </w:numPr>
        <w:spacing w:after="90"/>
      </w:pPr>
      <w:r>
        <w:rPr>
          <w:rFonts w:ascii="Calibri" w:cs="Calibri" w:eastAsia="Calibri" w:hAnsi="Calibri"/>
          <w:b/>
          <w:bCs/>
          <w:sz w:val="22"/>
          <w:szCs w:val="22"/>
        </w:rPr>
        <w:t xml:space="preserve">For configuration (settings) it checks keys and structure, not the values. </w:t>
      </w:r>
      <w:r>
        <w:rPr>
          <w:rFonts w:ascii="Calibri" w:cs="Calibri" w:eastAsia="Calibri" w:hAnsi="Calibri"/>
          <w:sz w:val="22"/>
          <w:szCs w:val="22"/>
        </w:rPr>
        <w:t xml:space="preserve">It sees whether two people touched the same setting, but not whether the setting’s value is correct.</w:t>
      </w:r>
    </w:p>
    <w:p>
      <w:pPr>
        <w:pStyle w:val="ListParagraph"/>
        <w:numPr>
          <w:ilvl w:val="0"/>
          <w:numId w:val="2"/>
        </w:numPr>
        <w:spacing w:after="90"/>
      </w:pPr>
      <w:r>
        <w:rPr>
          <w:rFonts w:ascii="Calibri" w:cs="Calibri" w:eastAsia="Calibri" w:hAnsi="Calibri"/>
          <w:b/>
          <w:bCs/>
          <w:sz w:val="22"/>
          <w:szCs w:val="22"/>
        </w:rPr>
        <w:t xml:space="preserve">It is only as good as its inputs. </w:t>
      </w:r>
      <w:r>
        <w:rPr>
          <w:rFonts w:ascii="Calibri" w:cs="Calibri" w:eastAsia="Calibri" w:hAnsi="Calibri"/>
          <w:sz w:val="22"/>
          <w:szCs w:val="22"/>
        </w:rPr>
        <w:t xml:space="preserve">The “busy or not” check needs usage data collected in advance; without it, results are empty or misleading.</w:t>
      </w:r>
    </w:p>
    <w:tbl>
      <w:tblPr>
        <w:tblW w:type="dxa" w:w="9200"/>
        <w:tblBorders>
          <w:top w:val="single" w:color="C00000" w:sz="4"/>
          <w:left w:val="single" w:color="C00000" w:sz="24"/>
          <w:bottom w:val="single" w:color="C00000" w:sz="4"/>
          <w:right w:val="single" w:color="C00000" w:sz="4"/>
          <w:insideH w:val="single" w:color="auto" w:sz="4"/>
          <w:insideV w:val="single" w:color="auto" w:sz="4"/>
        </w:tblBorders>
      </w:tblPr>
      <w:tblGrid>
        <w:gridCol w:w="9200"/>
      </w:tblGrid>
      <w:tr>
        <w:tc>
          <w:tcPr>
            <w:tcW w:type="dxa" w:w="9200"/>
            <w:shd w:fill="FBF3F3" w:color="auto" w:val="clear"/>
            <w:tcMar>
              <w:top w:type="dxa" w:w="120"/>
              <w:left w:type="dxa" w:w="180"/>
              <w:bottom w:type="dxa" w:w="120"/>
              <w:right w:type="dxa" w:w="160"/>
            </w:tcMar>
          </w:tcPr>
          <w:p>
            <w:pPr>
              <w:spacing w:after="60"/>
            </w:pPr>
            <w:r>
              <w:rPr>
                <w:rFonts w:ascii="Calibri" w:cs="Calibri" w:eastAsia="Calibri" w:hAnsi="Calibri"/>
                <w:b/>
                <w:bCs/>
                <w:color w:val="C00000"/>
                <w:sz w:val="22"/>
                <w:szCs w:val="22"/>
              </w:rPr>
              <w:t xml:space="preserve">Bottom line</w:t>
            </w:r>
          </w:p>
          <w:p>
            <w:pPr>
              <w:spacing w:after="0"/>
            </w:pPr>
            <w:r>
              <w:rPr>
                <w:rFonts w:ascii="Calibri" w:cs="Calibri" w:eastAsia="Calibri" w:hAnsi="Calibri"/>
                <w:sz w:val="21"/>
                <w:szCs w:val="21"/>
              </w:rPr>
              <w:t xml:space="preserve">Think of it as a pre-flight safety check for a change. It catches many common problems early and helps you pick a safe time to deliver — but it is one safety net among several. Code review, testing, and a careful delivery process are still needed alongside it.</w:t>
            </w:r>
          </w:p>
        </w:tc>
      </w:tr>
    </w:tbl>
    <w:p>
      <w:pPr>
        <w:pStyle w:val="Heading1"/>
        <w:spacing w:after="150" w:before="300"/>
      </w:pPr>
      <w:r>
        <w:rPr>
          <w:b/>
          <w:bCs/>
          <w:color w:val="1F4E79"/>
        </w:rPr>
        <w:t xml:space="preserve">Quick Reference Card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50"/>
        <w:gridCol w:w="4550"/>
        <w:gridCol w:w="2400"/>
      </w:tblGrid>
      <w:tr>
        <w:trPr>
          <w:tblHeader/>
        </w:trPr>
        <w:tc>
          <w:tcPr>
            <w:tcW w:type="dxa" w:w="2250"/>
            <w:shd w:fill="1F4E79" w:color="auto" w:val="clear"/>
            <w:tcMar>
              <w:top w:type="dxa" w:w="60"/>
              <w:left w:type="dxa" w:w="110"/>
              <w:bottom w:type="dxa" w:w="60"/>
              <w:right w:type="dxa" w:w="110"/>
            </w:tcMar>
          </w:tcPr>
          <w:p>
            <w:r>
              <w:rPr>
                <w:rFonts w:ascii="Calibri" w:cs="Calibri" w:eastAsia="Calibri" w:hAnsi="Calibri"/>
                <w:b/>
                <w:bCs/>
                <w:color w:val="FFFFFF"/>
                <w:sz w:val="20"/>
                <w:szCs w:val="20"/>
              </w:rPr>
              <w:t xml:space="preserve">Check</w:t>
            </w:r>
          </w:p>
        </w:tc>
        <w:tc>
          <w:tcPr>
            <w:tcW w:type="dxa" w:w="4550"/>
            <w:shd w:fill="1F4E79" w:color="auto" w:val="clear"/>
            <w:tcMar>
              <w:top w:type="dxa" w:w="60"/>
              <w:left w:type="dxa" w:w="110"/>
              <w:bottom w:type="dxa" w:w="60"/>
              <w:right w:type="dxa" w:w="110"/>
            </w:tcMar>
          </w:tcPr>
          <w:p>
            <w:r>
              <w:rPr>
                <w:rFonts w:ascii="Calibri" w:cs="Calibri" w:eastAsia="Calibri" w:hAnsi="Calibri"/>
                <w:b/>
                <w:bCs/>
                <w:color w:val="FFFFFF"/>
                <w:sz w:val="20"/>
                <w:szCs w:val="20"/>
              </w:rPr>
              <w:t xml:space="preserve">The question it answers</w:t>
            </w:r>
          </w:p>
        </w:tc>
        <w:tc>
          <w:tcPr>
            <w:tcW w:type="dxa" w:w="2400"/>
            <w:shd w:fill="1F4E79" w:color="auto" w:val="clear"/>
            <w:tcMar>
              <w:top w:type="dxa" w:w="60"/>
              <w:left w:type="dxa" w:w="110"/>
              <w:bottom w:type="dxa" w:w="60"/>
              <w:right w:type="dxa" w:w="110"/>
            </w:tcMar>
          </w:tcPr>
          <w:p>
            <w:r>
              <w:rPr>
                <w:rFonts w:ascii="Calibri" w:cs="Calibri" w:eastAsia="Calibri" w:hAnsi="Calibri"/>
                <w:b/>
                <w:bCs/>
                <w:color w:val="FFFFFF"/>
                <w:sz w:val="20"/>
                <w:szCs w:val="20"/>
              </w:rPr>
              <w:t xml:space="preserve">Gives a warning?</w:t>
            </w:r>
          </w:p>
        </w:tc>
      </w:tr>
      <w:tr>
        <w:tc>
          <w:tcPr>
            <w:tcW w:type="dxa" w:w="2250"/>
            <w:tcMar>
              <w:top w:type="dxa" w:w="60"/>
              <w:left w:type="dxa" w:w="110"/>
              <w:bottom w:type="dxa" w:w="60"/>
              <w:right w:type="dxa" w:w="110"/>
            </w:tcMar>
          </w:tcPr>
          <w:p>
            <w:r>
              <w:rPr>
                <w:rFonts w:ascii="Calibri" w:cs="Calibri" w:eastAsia="Calibri" w:hAnsi="Calibri"/>
                <w:b w:val="false"/>
                <w:bCs w:val="false"/>
                <w:color w:val="000000"/>
                <w:sz w:val="20"/>
                <w:szCs w:val="20"/>
              </w:rPr>
              <w:t xml:space="preserve">Cross Reference</w:t>
            </w:r>
          </w:p>
        </w:tc>
        <w:tc>
          <w:tcPr>
            <w:tcW w:type="dxa" w:w="4550"/>
            <w:tcMar>
              <w:top w:type="dxa" w:w="60"/>
              <w:left w:type="dxa" w:w="110"/>
              <w:bottom w:type="dxa" w:w="60"/>
              <w:right w:type="dxa" w:w="110"/>
            </w:tcMar>
          </w:tcPr>
          <w:p>
            <w:r>
              <w:rPr>
                <w:rFonts w:ascii="Calibri" w:cs="Calibri" w:eastAsia="Calibri" w:hAnsi="Calibri"/>
                <w:b w:val="false"/>
                <w:bCs w:val="false"/>
                <w:color w:val="000000"/>
                <w:sz w:val="20"/>
                <w:szCs w:val="20"/>
              </w:rPr>
              <w:t xml:space="preserve">Is anything my change needs missing or older in the target system?</w:t>
            </w:r>
          </w:p>
        </w:tc>
        <w:tc>
          <w:tcPr>
            <w:tcW w:type="dxa" w:w="2400"/>
            <w:tcMar>
              <w:top w:type="dxa" w:w="60"/>
              <w:left w:type="dxa" w:w="110"/>
              <w:bottom w:type="dxa" w:w="60"/>
              <w:right w:type="dxa" w:w="110"/>
            </w:tcMar>
          </w:tcPr>
          <w:p>
            <w:r>
              <w:rPr>
                <w:rFonts w:ascii="Calibri" w:cs="Calibri" w:eastAsia="Calibri" w:hAnsi="Calibri"/>
                <w:b w:val="false"/>
                <w:bCs w:val="false"/>
                <w:color w:val="000000"/>
                <w:sz w:val="20"/>
                <w:szCs w:val="20"/>
              </w:rPr>
              <w:t xml:space="preserve">Yes — 🔴 / 🟡 / 🟢</w:t>
            </w:r>
          </w:p>
        </w:tc>
      </w:tr>
      <w:tr>
        <w:tc>
          <w:tcPr>
            <w:tcW w:type="dxa" w:w="225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Sequence Check</w:t>
            </w:r>
          </w:p>
        </w:tc>
        <w:tc>
          <w:tcPr>
            <w:tcW w:type="dxa" w:w="455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Will I overwrite a colleague’s newer, not-yet-delivered work?</w:t>
            </w:r>
          </w:p>
        </w:tc>
        <w:tc>
          <w:tcPr>
            <w:tcW w:type="dxa" w:w="240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Yes — 🔴 / 🟡 / 🟢</w:t>
            </w:r>
          </w:p>
        </w:tc>
      </w:tr>
      <w:tr>
        <w:tc>
          <w:tcPr>
            <w:tcW w:type="dxa" w:w="2250"/>
            <w:tcMar>
              <w:top w:type="dxa" w:w="60"/>
              <w:left w:type="dxa" w:w="110"/>
              <w:bottom w:type="dxa" w:w="60"/>
              <w:right w:type="dxa" w:w="110"/>
            </w:tcMar>
          </w:tcPr>
          <w:p>
            <w:r>
              <w:rPr>
                <w:rFonts w:ascii="Calibri" w:cs="Calibri" w:eastAsia="Calibri" w:hAnsi="Calibri"/>
                <w:b w:val="false"/>
                <w:bCs w:val="false"/>
                <w:color w:val="000000"/>
                <w:sz w:val="20"/>
                <w:szCs w:val="20"/>
              </w:rPr>
              <w:t xml:space="preserve">Cross Release</w:t>
            </w:r>
          </w:p>
        </w:tc>
        <w:tc>
          <w:tcPr>
            <w:tcW w:type="dxa" w:w="4550"/>
            <w:tcMar>
              <w:top w:type="dxa" w:w="60"/>
              <w:left w:type="dxa" w:w="110"/>
              <w:bottom w:type="dxa" w:w="60"/>
              <w:right w:type="dxa" w:w="110"/>
            </w:tcMar>
          </w:tcPr>
          <w:p>
            <w:r>
              <w:rPr>
                <w:rFonts w:ascii="Calibri" w:cs="Calibri" w:eastAsia="Calibri" w:hAnsi="Calibri"/>
                <w:b w:val="false"/>
                <w:bCs w:val="false"/>
                <w:color w:val="000000"/>
                <w:sz w:val="20"/>
                <w:szCs w:val="20"/>
              </w:rPr>
              <w:t xml:space="preserve">Are the two systems at the same update level?</w:t>
            </w:r>
          </w:p>
        </w:tc>
        <w:tc>
          <w:tcPr>
            <w:tcW w:type="dxa" w:w="2400"/>
            <w:tcMar>
              <w:top w:type="dxa" w:w="60"/>
              <w:left w:type="dxa" w:w="110"/>
              <w:bottom w:type="dxa" w:w="60"/>
              <w:right w:type="dxa" w:w="110"/>
            </w:tcMar>
          </w:tcPr>
          <w:p>
            <w:r>
              <w:rPr>
                <w:rFonts w:ascii="Calibri" w:cs="Calibri" w:eastAsia="Calibri" w:hAnsi="Calibri"/>
                <w:b w:val="false"/>
                <w:bCs w:val="false"/>
                <w:color w:val="000000"/>
                <w:sz w:val="20"/>
                <w:szCs w:val="20"/>
              </w:rPr>
              <w:t xml:space="preserve">Yes — 🔴 / 🟡 / 🟢</w:t>
            </w:r>
          </w:p>
        </w:tc>
      </w:tr>
      <w:tr>
        <w:tc>
          <w:tcPr>
            <w:tcW w:type="dxa" w:w="225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Import Time</w:t>
            </w:r>
          </w:p>
        </w:tc>
        <w:tc>
          <w:tcPr>
            <w:tcW w:type="dxa" w:w="455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How long will the delivery take?</w:t>
            </w:r>
          </w:p>
        </w:tc>
        <w:tc>
          <w:tcPr>
            <w:tcW w:type="dxa" w:w="2400"/>
            <w:shd w:fill="F2F2F2" w:color="auto" w:val="clear"/>
            <w:tcMar>
              <w:top w:type="dxa" w:w="60"/>
              <w:left w:type="dxa" w:w="110"/>
              <w:bottom w:type="dxa" w:w="60"/>
              <w:right w:type="dxa" w:w="110"/>
            </w:tcMar>
          </w:tcPr>
          <w:p>
            <w:r>
              <w:rPr>
                <w:rFonts w:ascii="Calibri" w:cs="Calibri" w:eastAsia="Calibri" w:hAnsi="Calibri"/>
                <w:b w:val="false"/>
                <w:bCs w:val="false"/>
                <w:color w:val="000000"/>
                <w:sz w:val="20"/>
                <w:szCs w:val="20"/>
              </w:rPr>
              <w:t xml:space="preserve">No — information only</w:t>
            </w:r>
          </w:p>
        </w:tc>
      </w:tr>
      <w:tr>
        <w:tc>
          <w:tcPr>
            <w:tcW w:type="dxa" w:w="2250"/>
            <w:tcMar>
              <w:top w:type="dxa" w:w="60"/>
              <w:left w:type="dxa" w:w="110"/>
              <w:bottom w:type="dxa" w:w="60"/>
              <w:right w:type="dxa" w:w="110"/>
            </w:tcMar>
          </w:tcPr>
          <w:p>
            <w:r>
              <w:rPr>
                <w:rFonts w:ascii="Calibri" w:cs="Calibri" w:eastAsia="Calibri" w:hAnsi="Calibri"/>
                <w:b w:val="false"/>
                <w:bCs w:val="false"/>
                <w:color w:val="000000"/>
                <w:sz w:val="20"/>
                <w:szCs w:val="20"/>
              </w:rPr>
              <w:t xml:space="preserve">Online Import</w:t>
            </w:r>
          </w:p>
        </w:tc>
        <w:tc>
          <w:tcPr>
            <w:tcW w:type="dxa" w:w="4550"/>
            <w:tcMar>
              <w:top w:type="dxa" w:w="60"/>
              <w:left w:type="dxa" w:w="110"/>
              <w:bottom w:type="dxa" w:w="60"/>
              <w:right w:type="dxa" w:w="110"/>
            </w:tcMar>
          </w:tcPr>
          <w:p>
            <w:r>
              <w:rPr>
                <w:rFonts w:ascii="Calibri" w:cs="Calibri" w:eastAsia="Calibri" w:hAnsi="Calibri"/>
                <w:b w:val="false"/>
                <w:bCs w:val="false"/>
                <w:color w:val="000000"/>
                <w:sz w:val="20"/>
                <w:szCs w:val="20"/>
              </w:rPr>
              <w:t xml:space="preserve">Is it risky to deliver while people are working?</w:t>
            </w:r>
          </w:p>
        </w:tc>
        <w:tc>
          <w:tcPr>
            <w:tcW w:type="dxa" w:w="2400"/>
            <w:tcMar>
              <w:top w:type="dxa" w:w="60"/>
              <w:left w:type="dxa" w:w="110"/>
              <w:bottom w:type="dxa" w:w="60"/>
              <w:right w:type="dxa" w:w="110"/>
            </w:tcMar>
          </w:tcPr>
          <w:p>
            <w:r>
              <w:rPr>
                <w:rFonts w:ascii="Calibri" w:cs="Calibri" w:eastAsia="Calibri" w:hAnsi="Calibri"/>
                <w:b w:val="false"/>
                <w:bCs w:val="false"/>
                <w:color w:val="000000"/>
                <w:sz w:val="20"/>
                <w:szCs w:val="20"/>
              </w:rPr>
              <w:t xml:space="preserve">Yes — 🔴 / 🟡 / 🟢</w:t>
            </w:r>
          </w:p>
        </w:tc>
      </w:tr>
    </w:tbl>
    <w:p>
      <w:pPr>
        <w:spacing w:after="100"/>
      </w:pPr>
    </w:p>
    <w:p>
      <w:pPr>
        <w:spacing w:after="130"/>
      </w:pPr>
      <w:r>
        <w:rPr>
          <w:rFonts w:ascii="Calibri" w:cs="Calibri" w:eastAsia="Calibri" w:hAnsi="Calibri"/>
          <w:i/>
          <w:iCs/>
          <w:color w:val="555555"/>
          <w:sz w:val="22"/>
          <w:szCs w:val="22"/>
        </w:rPr>
        <w:t xml:space="preserve">If you are ever unsure about a red or yellow result, share the saved result with your SAP Basis / technical team — they can interpret the detail and advise on next steps.</w:t>
      </w:r>
    </w:p>
    <w:sectPr>
      <w:pgSz w:w="11906" w:h="16838" w:orient="portrait"/>
      <w:pgMar w:top="1080" w:right="1150" w:bottom="108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50" w:before="300"/>
    </w:pPr>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2026-07-21T08:23:35.148Z</dcterms:created>
  <dcterms:modified xsi:type="dcterms:W3CDTF">2026-07-21T08:23:35.161Z</dcterms:modified>
</cp:coreProperties>
</file>

<file path=docProps/custom.xml><?xml version="1.0" encoding="utf-8"?>
<Properties xmlns="http://schemas.openxmlformats.org/officeDocument/2006/custom-properties" xmlns:vt="http://schemas.openxmlformats.org/officeDocument/2006/docPropsVTypes"/>
</file>