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Change Document</w:t>
      </w:r>
    </w:p>
    <w:p>
      <w:r>
        <w:rPr>
          <w:b/>
          <w:sz w:val="26"/>
        </w:rPr>
        <w:t>Electronic Bank Statement (MT940) – Reference / Clearing Logic</w:t>
      </w:r>
    </w:p>
    <w:tbl>
      <w:tblPr>
        <w:tblStyle w:val="LightGrid-Accent1"/>
        <w:tblW w:type="auto" w:w="0"/>
        <w:tblLook w:firstColumn="1" w:firstRow="1" w:lastColumn="0" w:lastRow="0" w:noHBand="0" w:noVBand="1" w:val="04A0"/>
      </w:tblPr>
      <w:tblGrid>
        <w:gridCol w:w="4320"/>
        <w:gridCol w:w="4320"/>
      </w:tblGrid>
      <w:tr>
        <w:tc>
          <w:tcPr>
            <w:tcW w:type="dxa" w:w="4320"/>
          </w:tcPr>
          <w:p>
            <w:r>
              <w:rPr>
                <w:b/>
              </w:rPr>
              <w:t>Subject</w:t>
            </w:r>
          </w:p>
        </w:tc>
        <w:tc>
          <w:tcPr>
            <w:tcW w:type="dxa" w:w="4320"/>
          </w:tcPr>
          <w:p>
            <w:r>
              <w:t>ICICI MT940 – custom logic skipped for some bank-statement line items</w:t>
            </w:r>
          </w:p>
        </w:tc>
      </w:tr>
      <w:tr>
        <w:tc>
          <w:tcPr>
            <w:tcW w:type="dxa" w:w="4320"/>
          </w:tcPr>
          <w:p>
            <w:r>
              <w:rPr>
                <w:b/>
              </w:rPr>
              <w:t>Modules / Objects</w:t>
            </w:r>
          </w:p>
        </w:tc>
        <w:tc>
          <w:tcPr>
            <w:tcW w:type="dxa" w:w="4320"/>
          </w:tcPr>
          <w:p>
            <w:r>
              <w:t>RFEKA400 (enhancement YDVRFI_EBS), EBS user-exit include ZXF01U01</w:t>
            </w:r>
          </w:p>
        </w:tc>
      </w:tr>
      <w:tr>
        <w:tc>
          <w:tcPr>
            <w:tcW w:type="dxa" w:w="4320"/>
          </w:tcPr>
          <w:p>
            <w:r>
              <w:rPr>
                <w:b/>
              </w:rPr>
              <w:t>Customer</w:t>
            </w:r>
          </w:p>
        </w:tc>
        <w:tc>
          <w:tcPr>
            <w:tcW w:type="dxa" w:w="4320"/>
          </w:tcPr>
          <w:p>
            <w:r>
              <w:t>GAIL</w:t>
            </w:r>
          </w:p>
        </w:tc>
      </w:tr>
      <w:tr>
        <w:tc>
          <w:tcPr>
            <w:tcW w:type="dxa" w:w="4320"/>
          </w:tcPr>
          <w:p>
            <w:r>
              <w:rPr>
                <w:b/>
              </w:rPr>
              <w:t>Prepared by</w:t>
            </w:r>
          </w:p>
        </w:tc>
        <w:tc>
          <w:tcPr>
            <w:tcW w:type="dxa" w:w="4320"/>
          </w:tcPr>
          <w:p>
            <w:r>
              <w:t>Vaibhav</w:t>
            </w:r>
          </w:p>
        </w:tc>
      </w:tr>
      <w:tr>
        <w:tc>
          <w:tcPr>
            <w:tcW w:type="dxa" w:w="4320"/>
          </w:tcPr>
          <w:p>
            <w:r>
              <w:rPr>
                <w:b/>
              </w:rPr>
              <w:t>Date</w:t>
            </w:r>
          </w:p>
        </w:tc>
        <w:tc>
          <w:tcPr>
            <w:tcW w:type="dxa" w:w="4320"/>
          </w:tcPr>
          <w:p>
            <w:r>
              <w:t>02.07.2026</w:t>
            </w:r>
          </w:p>
        </w:tc>
      </w:tr>
      <w:tr>
        <w:tc>
          <w:tcPr>
            <w:tcW w:type="dxa" w:w="4320"/>
          </w:tcPr>
          <w:p>
            <w:r>
              <w:rPr>
                <w:b/>
              </w:rPr>
              <w:t>Status</w:t>
            </w:r>
          </w:p>
        </w:tc>
        <w:tc>
          <w:tcPr>
            <w:tcW w:type="dxa" w:w="4320"/>
          </w:tcPr>
          <w:p>
            <w:r>
              <w:t>Delivered for testing (not yet transported to production)</w:t>
            </w:r>
          </w:p>
        </w:tc>
      </w:tr>
    </w:tbl>
    <w:p/>
    <w:p>
      <w:pPr>
        <w:pStyle w:val="Heading1"/>
      </w:pPr>
      <w:r>
        <w:rPr>
          <w:color w:val="1F3A5F"/>
        </w:rPr>
        <w:t>1. Background</w:t>
      </w:r>
    </w:p>
    <w:p>
      <w:r>
        <w:t>During EBS (Electronic Bank Statement) upload in the SWIFT MT940 format for ICICI, the custom logic that replaces the Assignment number (ZUONR) and the FEBCL selection field with the original bank reference was not being applied to some line items. As a result those items did not match / clear as expected in the Bank Reconciliation (BRS), even though the assignment appeared correct.</w:t>
      </w:r>
    </w:p>
    <w:p>
      <w:r>
        <w:t>The processing is split across two custom objects that work as a pair:</w:t>
      </w:r>
    </w:p>
    <w:p>
      <w:pPr>
        <w:pStyle w:val="ListNumber"/>
      </w:pPr>
      <w:r>
        <w:t>RFEKA400 → enhancement YDVRFI_EBS — while the statement file is read, the original bank reference for each line item is derived and stored in the ABAP INDX cluster under ID 'EBS'.</w:t>
      </w:r>
    </w:p>
    <w:p>
      <w:pPr>
        <w:pStyle w:val="ListNumber"/>
      </w:pPr>
      <w:r>
        <w:t>ZXF01U01 (EBS user exit) — later, per line item, this exit reads back that stored reference and applies it to ZUONR / FEBCL.</w:t>
      </w:r>
    </w:p>
    <w:p>
      <w:r>
        <w:t>If step 1 does not store the reference, or step 2 does not read it correctly, the line item is silently skipped. Both sides had defects, described below.</w:t>
      </w:r>
    </w:p>
    <w:p>
      <w:pPr>
        <w:pStyle w:val="Heading1"/>
      </w:pPr>
      <w:r>
        <w:rPr>
          <w:color w:val="1F3A5F"/>
        </w:rPr>
        <w:t>2. Root cause analysis</w:t>
      </w:r>
    </w:p>
    <w:p>
      <w:pPr>
        <w:pStyle w:val="Heading2"/>
      </w:pPr>
      <w:r>
        <w:rPr>
          <w:color w:val="1F3A5F"/>
        </w:rPr>
        <w:t>2.1  Producer side — RFEKA400, enhancement YDVRFI_EBS (Form UMSATZZEILE)</w:t>
      </w:r>
    </w:p>
    <w:p>
      <w:r>
        <w:t>The routine that builds and exports the reference table (LI_REFERENZ) contained two main defects:</w:t>
      </w:r>
    </w:p>
    <w:p>
      <w:pPr>
        <w:pStyle w:val="ListBullet"/>
      </w:pPr>
      <w:r>
        <w:t>Wrong field used in the store condition. The reference was stored only when STRLEN( REFERENZ ) GT 7, but for NCOL / ICICI940 items the value actually stored was a different field (LW_REFERENZ-ZUONR). Items whose REFERENZ field was short were therefore dropped even though a valid assignment had already been derived.</w:t>
      </w:r>
    </w:p>
    <w:p>
      <w:pPr>
        <w:pStyle w:val="ListBullet"/>
      </w:pPr>
      <w:r>
        <w:t>Destructive de-duplication in multi-statement files. Before appending the new entry, the code deleted every stored entry that was not present in the current statement's XFEBEP. Because XFEBEP is re-initialised for every statement in the file, this erased the references of all earlier statements whenever a file contained more than one statement.</w:t>
      </w:r>
    </w:p>
    <w:p>
      <w:pPr>
        <w:pStyle w:val="ListBullet"/>
      </w:pPr>
      <w:r>
        <w:t>(Minor) For NCOL, the offset calculation STRLEN( LW_SWIFT ) - 8 could become negative for very short lines, causing a runtime offset error.</w:t>
      </w:r>
    </w:p>
    <w:p>
      <w:pPr>
        <w:pStyle w:val="Heading2"/>
      </w:pPr>
      <w:r>
        <w:rPr>
          <w:color w:val="1F3A5F"/>
        </w:rPr>
        <w:t>2.2  Consumer side — EBS user exit ZXF01U01</w:t>
      </w:r>
    </w:p>
    <w:p>
      <w:pPr>
        <w:pStyle w:val="ListBullet"/>
      </w:pPr>
      <w:r>
        <w:t>Whole exit aborted when the reference buffer was empty. A CHECK LI_REFERENZ[] IS NOT INITIAL at the top terminated the entire user exit when the buffer was empty — including the NCOL / NSTO narrative (SGTXT) logic that does not depend on that buffer.</w:t>
      </w:r>
    </w:p>
    <w:p>
      <w:pPr>
        <w:pStyle w:val="ListBullet"/>
      </w:pPr>
      <w:r>
        <w:t>Reference replacement gated on a stale SY-SUBRC. The block that replaces ZUONR / FEBCL-SELVON was controlled by a generic IF SY-SUBRC = 0. By that point SY-SUBRC no longer reflected the reference read; it held the result of whatever loop / search / append ran last. For some items the replacement was skipped, and for others the assignment was overwritten with a blank reference.</w:t>
      </w:r>
    </w:p>
    <w:p>
      <w:pPr>
        <w:pStyle w:val="Heading1"/>
      </w:pPr>
      <w:r>
        <w:rPr>
          <w:color w:val="1F3A5F"/>
        </w:rPr>
        <w:t>3. Changes delivered</w:t>
      </w:r>
    </w:p>
    <w:p>
      <w:r>
        <w:t>All changes are marked in the source with begin/end comments: “*** -&gt; BEGIN CHANGE BY VAIBHAV ON 02.07.2026 (LOGIC-SKIP FIX)” … “*** &lt;- END CHANGE BY VAIBHAV ON 02.07.2026 (LOGIC-SKIP FIX)”.</w:t>
      </w:r>
    </w:p>
    <w:p>
      <w:pPr>
        <w:pStyle w:val="Heading2"/>
      </w:pPr>
      <w:r>
        <w:rPr>
          <w:color w:val="1F3A5F"/>
        </w:rPr>
        <w:t>3.1  RFEKA400 — enhancement YDVRFI_EBS (reference builder)</w:t>
      </w:r>
    </w:p>
    <w:tbl>
      <w:tblPr>
        <w:tblStyle w:val="LightGrid-Accent1"/>
        <w:tblW w:type="auto" w:w="0"/>
        <w:tblLook w:firstColumn="1" w:firstRow="1" w:lastColumn="0" w:lastRow="0" w:noHBand="0" w:noVBand="1" w:val="04A0"/>
      </w:tblPr>
      <w:tblGrid>
        <w:gridCol w:w="4320"/>
        <w:gridCol w:w="4320"/>
      </w:tblGrid>
      <w:tr>
        <w:tc>
          <w:tcPr>
            <w:tcW w:type="dxa" w:w="4320"/>
          </w:tcPr>
          <w:p>
            <w:r>
              <w:rPr>
                <w:b/>
              </w:rPr>
              <w:t>Change</w:t>
            </w:r>
          </w:p>
        </w:tc>
        <w:tc>
          <w:tcPr>
            <w:tcW w:type="dxa" w:w="4320"/>
          </w:tcPr>
          <w:p>
            <w:r>
              <w:rPr>
                <w:b/>
              </w:rPr>
              <w:t>Effect</w:t>
            </w:r>
          </w:p>
        </w:tc>
      </w:tr>
      <w:tr>
        <w:tc>
          <w:tcPr>
            <w:tcW w:type="dxa" w:w="4320"/>
          </w:tcPr>
          <w:p>
            <w:r>
              <w:t>Store condition now checks the value actually stored (LW_REFERENZ-ZUONR) instead of REFERENZ.</w:t>
            </w:r>
          </w:p>
        </w:tc>
        <w:tc>
          <w:tcPr>
            <w:tcW w:type="dxa" w:w="4320"/>
          </w:tcPr>
          <w:p>
            <w:r>
              <w:t>NCOL / ICICI940 items are no longer dropped because of the wrong field.</w:t>
            </w:r>
          </w:p>
        </w:tc>
      </w:tr>
      <w:tr>
        <w:tc>
          <w:tcPr>
            <w:tcW w:type="dxa" w:w="4320"/>
          </w:tcPr>
          <w:p>
            <w:r>
              <w:t>Destructive de-duplication loop replaced by a targeted delete of the current line only.</w:t>
            </w:r>
          </w:p>
        </w:tc>
        <w:tc>
          <w:tcPr>
            <w:tcW w:type="dxa" w:w="4320"/>
          </w:tcPr>
          <w:p>
            <w:r>
              <w:t>References of other bank statements in the same file are preserved.</w:t>
            </w:r>
          </w:p>
        </w:tc>
      </w:tr>
      <w:tr>
        <w:tc>
          <w:tcPr>
            <w:tcW w:type="dxa" w:w="4320"/>
          </w:tcPr>
          <w:p>
            <w:r>
              <w:t>Added a guard so the NCOL offset cannot go negative.</w:t>
            </w:r>
          </w:p>
        </w:tc>
        <w:tc>
          <w:tcPr>
            <w:tcW w:type="dxa" w:w="4320"/>
          </w:tcPr>
          <w:p>
            <w:r>
              <w:t>Prevents a possible short-line runtime error.</w:t>
            </w:r>
          </w:p>
        </w:tc>
      </w:tr>
    </w:tbl>
    <w:p>
      <w:r>
        <w:t>Business logic that is intentionally driven by configuration was not changed — specifically the YFIBANK_EBS-FLAG master switch and the minimum-length (&gt; 7) rule for what qualifies as a storable reference.</w:t>
      </w:r>
    </w:p>
    <w:p>
      <w:pPr>
        <w:pStyle w:val="Heading2"/>
      </w:pPr>
      <w:r>
        <w:rPr>
          <w:color w:val="1F3A5F"/>
        </w:rPr>
        <w:t>3.2  ZXF01U01 — EBS user exit</w:t>
      </w:r>
    </w:p>
    <w:tbl>
      <w:tblPr>
        <w:tblStyle w:val="LightGrid-Accent1"/>
        <w:tblW w:type="auto" w:w="0"/>
        <w:tblLook w:firstColumn="1" w:firstRow="1" w:lastColumn="0" w:lastRow="0" w:noHBand="0" w:noVBand="1" w:val="04A0"/>
      </w:tblPr>
      <w:tblGrid>
        <w:gridCol w:w="4320"/>
        <w:gridCol w:w="4320"/>
      </w:tblGrid>
      <w:tr>
        <w:tc>
          <w:tcPr>
            <w:tcW w:type="dxa" w:w="4320"/>
          </w:tcPr>
          <w:p>
            <w:r>
              <w:rPr>
                <w:b/>
              </w:rPr>
              <w:t>Change</w:t>
            </w:r>
          </w:p>
        </w:tc>
        <w:tc>
          <w:tcPr>
            <w:tcW w:type="dxa" w:w="4320"/>
          </w:tcPr>
          <w:p>
            <w:r>
              <w:rPr>
                <w:b/>
              </w:rPr>
              <w:t>Effect</w:t>
            </w:r>
          </w:p>
        </w:tc>
      </w:tr>
      <w:tr>
        <w:tc>
          <w:tcPr>
            <w:tcW w:type="dxa" w:w="4320"/>
          </w:tcPr>
          <w:p>
            <w:r>
              <w:t>Read result captured in an explicit flag (LV_REF_FOUND) immediately after the reference read.</w:t>
            </w:r>
          </w:p>
        </w:tc>
        <w:tc>
          <w:tcPr>
            <w:tcW w:type="dxa" w:w="4320"/>
          </w:tcPr>
          <w:p>
            <w:r>
              <w:t>The replacement decision no longer depends on an unrelated, stale SY-SUBRC.</w:t>
            </w:r>
          </w:p>
        </w:tc>
      </w:tr>
      <w:tr>
        <w:tc>
          <w:tcPr>
            <w:tcW w:type="dxa" w:w="4320"/>
          </w:tcPr>
          <w:p>
            <w:r>
              <w:t>Reference replacement runs only when the reference was found and is non-initial.</w:t>
            </w:r>
          </w:p>
        </w:tc>
        <w:tc>
          <w:tcPr>
            <w:tcW w:type="dxa" w:w="4320"/>
          </w:tcPr>
          <w:p>
            <w:r>
              <w:t>Items are neither skipped incorrectly nor blanked with an empty reference.</w:t>
            </w:r>
          </w:p>
        </w:tc>
      </w:tr>
      <w:tr>
        <w:tc>
          <w:tcPr>
            <w:tcW w:type="dxa" w:w="4320"/>
          </w:tcPr>
          <w:p>
            <w:r>
              <w:t>Top-level CHECK narrowed to a scoped IF.</w:t>
            </w:r>
          </w:p>
        </w:tc>
        <w:tc>
          <w:tcPr>
            <w:tcW w:type="dxa" w:w="4320"/>
          </w:tcPr>
          <w:p>
            <w:r>
              <w:t>The NCOL / NSTO narrative (SGTXT) logic keeps running even when the buffer is empty.</w:t>
            </w:r>
          </w:p>
        </w:tc>
      </w:tr>
    </w:tbl>
    <w:p>
      <w:pPr>
        <w:pStyle w:val="Heading2"/>
      </w:pPr>
      <w:r>
        <w:rPr>
          <w:color w:val="1F3A5F"/>
        </w:rPr>
        <w:t>3.3  Other YDVRFI_EBS enhancement spots (no change)</w:t>
      </w:r>
    </w:p>
    <w:p>
      <w:r>
        <w:t>For completeness, the remaining enhancement spots were reviewed and require no code change; they are documented as-is:</w:t>
      </w:r>
    </w:p>
    <w:p>
      <w:pPr>
        <w:pStyle w:val="ListBullet"/>
      </w:pPr>
      <w:r>
        <w:t>Enhancement 2 – INSERT_FEBEP_AND_FEBRE (exports XFEBEP to memory).</w:t>
      </w:r>
    </w:p>
    <w:p>
      <w:pPr>
        <w:pStyle w:val="ListBullet"/>
      </w:pPr>
      <w:r>
        <w:t>Enhancement 3 – MEHRZWECKFELD (NSTO / SWEEP assignment capture).</w:t>
      </w:r>
    </w:p>
    <w:p>
      <w:pPr>
        <w:pStyle w:val="ListBullet"/>
      </w:pPr>
      <w:r>
        <w:t>Enhancement 5 – UMSATZZEILE start (TRFF → NTRF substitution).</w:t>
      </w:r>
    </w:p>
    <w:p>
      <w:pPr>
        <w:pStyle w:val="Heading1"/>
      </w:pPr>
      <w:r>
        <w:rPr>
          <w:color w:val="1F3A5F"/>
        </w:rPr>
        <w:t>4. Impact</w:t>
      </w:r>
    </w:p>
    <w:p>
      <w:pPr>
        <w:pStyle w:val="ListBullet"/>
      </w:pPr>
      <w:r>
        <w:t>Functional: For ICICI MT940 statements, the original bank reference is now applied consistently to every eligible line item, including NCOL / ICICI940 items and items in multi-statement files. This restores the intended matching / clearing in BRS.</w:t>
      </w:r>
    </w:p>
    <w:p>
      <w:pPr>
        <w:pStyle w:val="ListBullet"/>
      </w:pPr>
      <w:r>
        <w:t>No change to standard SAP code — all changes are within existing custom enhancement / exit objects.</w:t>
      </w:r>
    </w:p>
    <w:p>
      <w:pPr>
        <w:pStyle w:val="ListBullet"/>
      </w:pPr>
      <w:r>
        <w:t>No data migration required. The fix takes effect for statements uploaded after the transport is imported.</w:t>
      </w:r>
    </w:p>
    <w:p>
      <w:pPr>
        <w:pStyle w:val="Heading1"/>
      </w:pPr>
      <w:r>
        <w:rPr>
          <w:color w:val="1F3A5F"/>
        </w:rPr>
        <w:t>5. Testing recommendation (before production)</w:t>
      </w:r>
    </w:p>
    <w:p>
      <w:r>
        <w:t>Please validate in Quality with the following cases:</w:t>
      </w:r>
    </w:p>
    <w:p>
      <w:pPr>
        <w:pStyle w:val="ListNumber"/>
      </w:pPr>
      <w:r>
        <w:t>Single-statement ICICI MT940 file with NCOL / ICICI940 line items — confirm ZUONR / assignment is populated and the items match / clear in BRS.</w:t>
      </w:r>
    </w:p>
    <w:p>
      <w:pPr>
        <w:pStyle w:val="ListNumber"/>
      </w:pPr>
      <w:r>
        <w:t>Multi-statement file (more than one :62F: in a single file) — confirm the references of the earlier statements are retained (this was the main regression) and all items match / clear.</w:t>
      </w:r>
    </w:p>
    <w:p>
      <w:pPr>
        <w:pStyle w:val="ListNumber"/>
      </w:pPr>
      <w:r>
        <w:t>File with short references (≤ 7 characters) — confirm behaviour is as expected per the existing configuration rule.</w:t>
      </w:r>
    </w:p>
    <w:p>
      <w:pPr>
        <w:pStyle w:val="ListNumber"/>
      </w:pPr>
      <w:r>
        <w:t>Statement where no original reference exists — confirm the existing ZUONR is left untouched (not blanked) and the narrative / SGTXT logic still runs.</w:t>
      </w:r>
    </w:p>
    <w:p>
      <w:pPr>
        <w:pStyle w:val="Heading1"/>
      </w:pPr>
      <w:r>
        <w:rPr>
          <w:color w:val="1F3A5F"/>
        </w:rPr>
        <w:t>6. Notes for the technical team</w:t>
      </w:r>
    </w:p>
    <w:p>
      <w:pPr>
        <w:pStyle w:val="ListBullet"/>
      </w:pPr>
      <w:r>
        <w:t>All modifications are enclosed in the marked comment blocks noted in section 3, for easy review.</w:t>
      </w:r>
    </w:p>
    <w:p>
      <w:pPr>
        <w:pStyle w:val="ListBullet"/>
      </w:pPr>
      <w:r>
        <w:t>Please perform a syntax check and activation in the target system; the objects could not be compiled outside the SAP environment.</w:t>
      </w:r>
    </w:p>
    <w:p>
      <w:pPr>
        <w:pStyle w:val="ListBullet"/>
      </w:pPr>
      <w:r>
        <w:t>Objects to transport: enhancement implementation YDVRFI_EBS (in RFEKA400) and the EBS user-exit include ZXF01U01.</w:t>
      </w:r>
    </w:p>
    <w:p>
      <w:r>
        <w:rPr>
          <w:i/>
        </w:rPr>
        <w:t>Prepared by Vaibhav — 02.07.2026.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